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bookmarkStart w:id="2" w:name="_GoBack"/>
      <w:r>
        <w:rPr>
          <w:rFonts w:hint="eastAsia" w:ascii="Times New Roman" w:hAnsi="Times New Roman" w:eastAsia="方正小标宋简体" w:cs="Times New Roman"/>
          <w:sz w:val="44"/>
          <w:szCs w:val="44"/>
          <w:lang w:eastAsia="zh-CN"/>
        </w:rPr>
        <w:t>大城县县直工委</w:t>
      </w:r>
      <w:r>
        <w:rPr>
          <w:rFonts w:ascii="Times New Roman" w:hAnsi="Times New Roman" w:eastAsia="方正小标宋简体" w:cs="Times New Roman"/>
          <w:sz w:val="44"/>
          <w:szCs w:val="44"/>
        </w:rPr>
        <w:t>2019年部门预算信息公开</w:t>
      </w:r>
      <w:r>
        <w:rPr>
          <w:rFonts w:hint="eastAsia" w:ascii="Times New Roman" w:hAnsi="Times New Roman" w:eastAsia="方正小标宋简体" w:cs="Times New Roman"/>
          <w:sz w:val="44"/>
          <w:szCs w:val="44"/>
        </w:rPr>
        <w:t>情况说明</w:t>
      </w:r>
    </w:p>
    <w:bookmarkEnd w:id="2"/>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按照《预算法》、《地方预决算公开操作规程》和《河北省省级预算公开办法》规定，现将廊坊市</w:t>
      </w:r>
      <w:r>
        <w:rPr>
          <w:rFonts w:hint="eastAsia" w:ascii="Times New Roman" w:hAnsi="Times New Roman" w:eastAsia="仿宋_GB2312" w:cs="Times New Roman"/>
          <w:sz w:val="32"/>
          <w:szCs w:val="32"/>
        </w:rPr>
        <w:t>中国共产党大城县直属机关工作委员会</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pStyle w:val="16"/>
        <w:ind w:firstLine="0" w:firstLineChars="0"/>
        <w:rPr>
          <w:rFonts w:ascii="仿宋" w:hAnsi="仿宋" w:eastAsia="仿宋" w:cs="仿宋_GB2312"/>
          <w:kern w:val="0"/>
          <w:sz w:val="32"/>
          <w:szCs w:val="32"/>
        </w:rPr>
      </w:pPr>
      <w:r>
        <w:rPr>
          <w:rFonts w:ascii="宋体" w:hAnsi="宋体" w:cs="宋体"/>
          <w:kern w:val="0"/>
          <w:sz w:val="32"/>
          <w:szCs w:val="32"/>
        </w:rPr>
        <w:t xml:space="preserve">  </w:t>
      </w:r>
      <w:r>
        <w:rPr>
          <w:rFonts w:ascii="仿宋" w:hAnsi="仿宋" w:eastAsia="仿宋" w:cs="宋体"/>
          <w:kern w:val="0"/>
          <w:sz w:val="32"/>
          <w:szCs w:val="32"/>
        </w:rPr>
        <w:t xml:space="preserve">  </w:t>
      </w:r>
      <w:r>
        <w:rPr>
          <w:rFonts w:ascii="仿宋" w:hAnsi="仿宋" w:eastAsia="仿宋" w:cs="仿宋_GB2312"/>
          <w:kern w:val="0"/>
          <w:sz w:val="32"/>
          <w:szCs w:val="32"/>
        </w:rPr>
        <w:t>1</w:t>
      </w:r>
      <w:r>
        <w:rPr>
          <w:rFonts w:hint="eastAsia" w:ascii="仿宋" w:hAnsi="仿宋" w:eastAsia="仿宋" w:cs="仿宋_GB2312"/>
          <w:kern w:val="0"/>
          <w:sz w:val="32"/>
          <w:szCs w:val="32"/>
        </w:rPr>
        <w:t>、结合县直机关党建工作实际，贯彻执行党的路线、方针、政策和县委的指示、决议。</w:t>
      </w:r>
    </w:p>
    <w:p>
      <w:pPr>
        <w:pStyle w:val="16"/>
        <w:ind w:firstLine="0" w:firstLineChars="0"/>
        <w:rPr>
          <w:rFonts w:ascii="仿宋" w:hAnsi="仿宋" w:eastAsia="仿宋" w:cs="仿宋_GB2312"/>
          <w:sz w:val="32"/>
          <w:szCs w:val="32"/>
        </w:rPr>
      </w:pPr>
      <w:r>
        <w:rPr>
          <w:rFonts w:ascii="仿宋" w:hAnsi="仿宋" w:eastAsia="仿宋" w:cs="仿宋_GB2312"/>
          <w:sz w:val="32"/>
          <w:szCs w:val="32"/>
        </w:rPr>
        <w:t xml:space="preserve">    2</w:t>
      </w:r>
      <w:r>
        <w:rPr>
          <w:rFonts w:hint="eastAsia" w:ascii="仿宋" w:hAnsi="仿宋" w:eastAsia="仿宋" w:cs="仿宋_GB2312"/>
          <w:sz w:val="32"/>
          <w:szCs w:val="32"/>
        </w:rPr>
        <w:t>、按照县委的要求，制定县直机关党建规划，并监督检查落实。</w:t>
      </w:r>
    </w:p>
    <w:p>
      <w:pPr>
        <w:pStyle w:val="16"/>
        <w:ind w:firstLine="0" w:firstLineChars="0"/>
        <w:rPr>
          <w:rFonts w:ascii="仿宋" w:hAnsi="仿宋" w:eastAsia="仿宋" w:cs="仿宋_GB2312"/>
          <w:sz w:val="32"/>
          <w:szCs w:val="32"/>
        </w:rPr>
      </w:pPr>
      <w:r>
        <w:rPr>
          <w:rFonts w:ascii="仿宋" w:hAnsi="仿宋" w:eastAsia="仿宋" w:cs="仿宋_GB2312"/>
          <w:sz w:val="32"/>
          <w:szCs w:val="32"/>
        </w:rPr>
        <w:t xml:space="preserve">    3</w:t>
      </w:r>
      <w:r>
        <w:rPr>
          <w:rFonts w:hint="eastAsia" w:ascii="仿宋" w:hAnsi="仿宋" w:eastAsia="仿宋" w:cs="仿宋_GB2312"/>
          <w:sz w:val="32"/>
          <w:szCs w:val="32"/>
        </w:rPr>
        <w:t>、指导县直基层党组织搞好党的思想建设、组织建设、作风建设和制度建设，做好党员教育和管理工作，为经济建设提供思想、政治和组织保证。</w:t>
      </w:r>
    </w:p>
    <w:p>
      <w:pPr>
        <w:pStyle w:val="16"/>
        <w:ind w:firstLine="0" w:firstLineChars="0"/>
        <w:rPr>
          <w:rFonts w:ascii="仿宋" w:hAnsi="仿宋" w:eastAsia="仿宋" w:cs="仿宋_GB2312"/>
          <w:sz w:val="32"/>
          <w:szCs w:val="32"/>
        </w:rPr>
      </w:pPr>
      <w:r>
        <w:rPr>
          <w:rFonts w:ascii="仿宋" w:hAnsi="仿宋" w:eastAsia="仿宋" w:cs="仿宋_GB2312"/>
          <w:sz w:val="32"/>
          <w:szCs w:val="32"/>
        </w:rPr>
        <w:t xml:space="preserve">    4</w:t>
      </w:r>
      <w:r>
        <w:rPr>
          <w:rFonts w:hint="eastAsia" w:ascii="仿宋" w:hAnsi="仿宋" w:eastAsia="仿宋" w:cs="仿宋_GB2312"/>
          <w:sz w:val="32"/>
          <w:szCs w:val="32"/>
        </w:rPr>
        <w:t>、按照党章和基层党组织选举工作的有关规定，负责审批县直机关直属党组织设置及委员会组成。</w:t>
      </w:r>
    </w:p>
    <w:p>
      <w:pPr>
        <w:pStyle w:val="16"/>
        <w:ind w:firstLine="0" w:firstLineChars="0"/>
        <w:rPr>
          <w:rFonts w:ascii="仿宋" w:hAnsi="仿宋" w:eastAsia="仿宋" w:cs="仿宋_GB2312"/>
          <w:sz w:val="32"/>
          <w:szCs w:val="32"/>
        </w:rPr>
      </w:pPr>
      <w:r>
        <w:rPr>
          <w:rFonts w:ascii="仿宋" w:hAnsi="仿宋" w:eastAsia="仿宋" w:cs="仿宋_GB2312"/>
          <w:sz w:val="32"/>
          <w:szCs w:val="32"/>
        </w:rPr>
        <w:t xml:space="preserve">    5</w:t>
      </w:r>
      <w:r>
        <w:rPr>
          <w:rFonts w:hint="eastAsia" w:ascii="仿宋" w:hAnsi="仿宋" w:eastAsia="仿宋" w:cs="仿宋_GB2312"/>
          <w:sz w:val="32"/>
          <w:szCs w:val="32"/>
        </w:rPr>
        <w:t>、指导县直基层党组织实施对党员特别是党员领导干部的监督。监督领导干部做好双重组织生活。</w:t>
      </w:r>
    </w:p>
    <w:p>
      <w:pPr>
        <w:pStyle w:val="16"/>
        <w:ind w:firstLine="0" w:firstLineChars="0"/>
        <w:rPr>
          <w:rFonts w:ascii="仿宋" w:hAnsi="仿宋" w:eastAsia="仿宋" w:cs="仿宋_GB2312"/>
          <w:sz w:val="32"/>
          <w:szCs w:val="32"/>
        </w:rPr>
      </w:pPr>
      <w:r>
        <w:rPr>
          <w:rFonts w:ascii="仿宋" w:hAnsi="仿宋" w:eastAsia="仿宋" w:cs="仿宋_GB2312"/>
          <w:sz w:val="32"/>
          <w:szCs w:val="32"/>
        </w:rPr>
        <w:t xml:space="preserve">    6</w:t>
      </w:r>
      <w:r>
        <w:rPr>
          <w:rFonts w:hint="eastAsia" w:ascii="仿宋" w:hAnsi="仿宋" w:eastAsia="仿宋" w:cs="仿宋_GB2312"/>
          <w:sz w:val="32"/>
          <w:szCs w:val="32"/>
        </w:rPr>
        <w:t>、按照党章规定，做好新党员的发展工作。</w:t>
      </w:r>
    </w:p>
    <w:p>
      <w:pPr>
        <w:pStyle w:val="16"/>
        <w:ind w:firstLine="0" w:firstLineChars="0"/>
        <w:rPr>
          <w:rFonts w:ascii="仿宋" w:hAnsi="仿宋" w:eastAsia="仿宋" w:cs="仿宋_GB2312"/>
          <w:sz w:val="32"/>
          <w:szCs w:val="32"/>
        </w:rPr>
      </w:pPr>
      <w:r>
        <w:rPr>
          <w:rFonts w:ascii="仿宋" w:hAnsi="仿宋" w:eastAsia="仿宋" w:cs="仿宋_GB2312"/>
          <w:sz w:val="32"/>
          <w:szCs w:val="32"/>
        </w:rPr>
        <w:t xml:space="preserve">    7</w:t>
      </w:r>
      <w:r>
        <w:rPr>
          <w:rFonts w:hint="eastAsia" w:ascii="仿宋" w:hAnsi="仿宋" w:eastAsia="仿宋" w:cs="仿宋_GB2312"/>
          <w:sz w:val="32"/>
          <w:szCs w:val="32"/>
        </w:rPr>
        <w:t>、必要时组织召开县直党的代表会议。</w:t>
      </w:r>
    </w:p>
    <w:p>
      <w:pPr>
        <w:pStyle w:val="16"/>
        <w:ind w:firstLine="0" w:firstLineChars="0"/>
        <w:rPr>
          <w:rFonts w:ascii="仿宋" w:hAnsi="仿宋" w:eastAsia="仿宋" w:cs="仿宋_GB2312"/>
          <w:sz w:val="32"/>
          <w:szCs w:val="32"/>
        </w:rPr>
      </w:pPr>
      <w:r>
        <w:rPr>
          <w:rFonts w:ascii="仿宋" w:hAnsi="仿宋" w:eastAsia="仿宋" w:cs="仿宋_GB2312"/>
          <w:sz w:val="32"/>
          <w:szCs w:val="32"/>
        </w:rPr>
        <w:t xml:space="preserve">    8</w:t>
      </w:r>
      <w:r>
        <w:rPr>
          <w:rFonts w:hint="eastAsia" w:ascii="仿宋" w:hAnsi="仿宋" w:eastAsia="仿宋" w:cs="仿宋_GB2312"/>
          <w:sz w:val="32"/>
          <w:szCs w:val="32"/>
        </w:rPr>
        <w:t>、完成县委交办的其他任务。</w:t>
      </w:r>
    </w:p>
    <w:p>
      <w:pPr>
        <w:spacing w:line="584" w:lineRule="exact"/>
        <w:ind w:firstLine="660"/>
        <w:rPr>
          <w:rFonts w:ascii="Times New Roman" w:hAnsi="Times New Roman" w:eastAsia="仿宋_GB2312" w:cs="Times New Roman"/>
          <w:sz w:val="32"/>
          <w:szCs w:val="32"/>
        </w:rPr>
      </w:pPr>
    </w:p>
    <w:p>
      <w:pPr>
        <w:autoSpaceDE w:val="0"/>
        <w:autoSpaceDN w:val="0"/>
        <w:adjustRightInd w:val="0"/>
        <w:ind w:firstLine="643" w:firstLineChars="200"/>
        <w:jc w:val="left"/>
        <w:rPr>
          <w:rFonts w:ascii="仿宋" w:hAnsi="仿宋" w:eastAsia="仿宋"/>
          <w:b/>
          <w:sz w:val="32"/>
          <w:szCs w:val="32"/>
        </w:rPr>
      </w:pPr>
      <w:r>
        <w:rPr>
          <w:rFonts w:hint="eastAsia" w:ascii="仿宋" w:hAnsi="仿宋" w:eastAsia="仿宋" w:cs="仿宋_GB2312"/>
          <w:b/>
          <w:sz w:val="32"/>
          <w:szCs w:val="32"/>
        </w:rPr>
        <w:t>机构设置：</w:t>
      </w:r>
    </w:p>
    <w:p>
      <w:pPr>
        <w:jc w:val="center"/>
        <w:outlineLvl w:val="0"/>
        <w:rPr>
          <w:rFonts w:ascii="仿宋" w:hAnsi="仿宋" w:eastAsia="仿宋"/>
          <w:sz w:val="32"/>
          <w:szCs w:val="24"/>
        </w:rPr>
      </w:pPr>
      <w:r>
        <w:rPr>
          <w:rFonts w:hint="eastAsia" w:ascii="仿宋" w:hAnsi="仿宋" w:eastAsia="仿宋"/>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0" w:hRule="atLeast"/>
          <w:tblHeader/>
          <w:jc w:val="center"/>
        </w:trPr>
        <w:tc>
          <w:tcPr>
            <w:tcW w:w="4443" w:type="dxa"/>
            <w:vMerge w:val="restart"/>
            <w:vAlign w:val="center"/>
          </w:tcPr>
          <w:p>
            <w:pPr>
              <w:spacing w:line="300" w:lineRule="exact"/>
              <w:jc w:val="center"/>
              <w:rPr>
                <w:rFonts w:ascii="仿宋" w:hAnsi="仿宋" w:eastAsia="仿宋"/>
                <w:szCs w:val="24"/>
              </w:rPr>
            </w:pPr>
            <w:r>
              <w:rPr>
                <w:rFonts w:hint="eastAsia" w:ascii="仿宋" w:hAnsi="仿宋" w:eastAsia="仿宋"/>
                <w:szCs w:val="24"/>
              </w:rPr>
              <w:t>单位名称</w:t>
            </w:r>
          </w:p>
        </w:tc>
        <w:tc>
          <w:tcPr>
            <w:tcW w:w="1134" w:type="dxa"/>
            <w:vMerge w:val="restart"/>
            <w:vAlign w:val="center"/>
          </w:tcPr>
          <w:p>
            <w:pPr>
              <w:spacing w:line="300" w:lineRule="exact"/>
              <w:jc w:val="center"/>
              <w:rPr>
                <w:rFonts w:ascii="仿宋" w:hAnsi="仿宋" w:eastAsia="仿宋"/>
                <w:szCs w:val="24"/>
              </w:rPr>
            </w:pPr>
            <w:r>
              <w:rPr>
                <w:rFonts w:hint="eastAsia" w:ascii="仿宋" w:hAnsi="仿宋" w:eastAsia="仿宋"/>
                <w:szCs w:val="24"/>
              </w:rPr>
              <w:t>单位性质</w:t>
            </w:r>
          </w:p>
        </w:tc>
        <w:tc>
          <w:tcPr>
            <w:tcW w:w="1276" w:type="dxa"/>
            <w:vMerge w:val="restart"/>
            <w:vAlign w:val="center"/>
          </w:tcPr>
          <w:p>
            <w:pPr>
              <w:spacing w:line="300" w:lineRule="exact"/>
              <w:jc w:val="center"/>
              <w:rPr>
                <w:rFonts w:ascii="仿宋" w:hAnsi="仿宋" w:eastAsia="仿宋"/>
                <w:szCs w:val="24"/>
              </w:rPr>
            </w:pPr>
            <w:r>
              <w:rPr>
                <w:rFonts w:hint="eastAsia" w:ascii="仿宋" w:hAnsi="仿宋" w:eastAsia="仿宋"/>
                <w:szCs w:val="24"/>
              </w:rPr>
              <w:t>单位规格</w:t>
            </w:r>
          </w:p>
        </w:tc>
        <w:tc>
          <w:tcPr>
            <w:tcW w:w="2902" w:type="dxa"/>
            <w:vMerge w:val="restart"/>
            <w:vAlign w:val="center"/>
          </w:tcPr>
          <w:p>
            <w:pPr>
              <w:spacing w:line="300" w:lineRule="exact"/>
              <w:jc w:val="center"/>
              <w:rPr>
                <w:rFonts w:ascii="仿宋" w:hAnsi="仿宋" w:eastAsia="仿宋"/>
                <w:szCs w:val="24"/>
              </w:rPr>
            </w:pPr>
            <w:r>
              <w:rPr>
                <w:rFonts w:hint="eastAsia" w:ascii="仿宋" w:hAnsi="仿宋" w:eastAsia="仿宋"/>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0" w:hRule="atLeast"/>
          <w:tblHeader/>
          <w:jc w:val="center"/>
        </w:trPr>
        <w:tc>
          <w:tcPr>
            <w:tcW w:w="4443" w:type="dxa"/>
            <w:vMerge w:val="continue"/>
            <w:vAlign w:val="center"/>
          </w:tcPr>
          <w:p>
            <w:pPr>
              <w:spacing w:line="300" w:lineRule="exact"/>
              <w:jc w:val="left"/>
              <w:outlineLvl w:val="0"/>
              <w:rPr>
                <w:rFonts w:ascii="仿宋" w:hAnsi="仿宋" w:eastAsia="仿宋"/>
                <w:szCs w:val="24"/>
              </w:rPr>
            </w:pPr>
          </w:p>
        </w:tc>
        <w:tc>
          <w:tcPr>
            <w:tcW w:w="1134" w:type="dxa"/>
            <w:vMerge w:val="continue"/>
            <w:vAlign w:val="center"/>
          </w:tcPr>
          <w:p>
            <w:pPr>
              <w:spacing w:line="300" w:lineRule="exact"/>
              <w:jc w:val="left"/>
              <w:outlineLvl w:val="0"/>
              <w:rPr>
                <w:rFonts w:ascii="仿宋" w:hAnsi="仿宋" w:eastAsia="仿宋"/>
                <w:szCs w:val="24"/>
              </w:rPr>
            </w:pPr>
          </w:p>
        </w:tc>
        <w:tc>
          <w:tcPr>
            <w:tcW w:w="1276" w:type="dxa"/>
            <w:vMerge w:val="continue"/>
            <w:vAlign w:val="center"/>
          </w:tcPr>
          <w:p>
            <w:pPr>
              <w:spacing w:line="300" w:lineRule="exact"/>
              <w:jc w:val="left"/>
              <w:outlineLvl w:val="0"/>
              <w:rPr>
                <w:rFonts w:ascii="仿宋" w:hAnsi="仿宋" w:eastAsia="仿宋"/>
                <w:szCs w:val="24"/>
              </w:rPr>
            </w:pPr>
          </w:p>
        </w:tc>
        <w:tc>
          <w:tcPr>
            <w:tcW w:w="2902" w:type="dxa"/>
            <w:vMerge w:val="continue"/>
            <w:vAlign w:val="center"/>
          </w:tcPr>
          <w:p>
            <w:pPr>
              <w:spacing w:line="300" w:lineRule="exact"/>
              <w:jc w:val="left"/>
              <w:outlineLvl w:val="0"/>
              <w:rPr>
                <w:rFonts w:ascii="仿宋" w:hAnsi="仿宋" w:eastAsia="仿宋"/>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jc w:val="center"/>
        </w:trPr>
        <w:tc>
          <w:tcPr>
            <w:tcW w:w="4443" w:type="dxa"/>
            <w:vAlign w:val="center"/>
          </w:tcPr>
          <w:p>
            <w:pPr>
              <w:spacing w:line="300" w:lineRule="exact"/>
              <w:jc w:val="left"/>
              <w:rPr>
                <w:rFonts w:ascii="仿宋" w:hAnsi="仿宋" w:eastAsia="仿宋"/>
                <w:szCs w:val="24"/>
              </w:rPr>
            </w:pPr>
            <w:r>
              <w:rPr>
                <w:rFonts w:hint="eastAsia" w:ascii="仿宋" w:hAnsi="仿宋" w:eastAsia="仿宋"/>
                <w:szCs w:val="24"/>
              </w:rPr>
              <w:t>中国共产党大城县直属机关工作委员会</w:t>
            </w:r>
          </w:p>
        </w:tc>
        <w:tc>
          <w:tcPr>
            <w:tcW w:w="1134" w:type="dxa"/>
            <w:vAlign w:val="center"/>
          </w:tcPr>
          <w:p>
            <w:pPr>
              <w:spacing w:line="300" w:lineRule="exact"/>
              <w:jc w:val="left"/>
              <w:rPr>
                <w:rFonts w:ascii="仿宋" w:hAnsi="仿宋" w:eastAsia="仿宋"/>
                <w:szCs w:val="24"/>
              </w:rPr>
            </w:pPr>
            <w:r>
              <w:rPr>
                <w:rFonts w:hint="eastAsia" w:ascii="仿宋" w:hAnsi="仿宋" w:eastAsia="仿宋"/>
                <w:szCs w:val="24"/>
              </w:rPr>
              <w:t>行政单位</w:t>
            </w:r>
          </w:p>
        </w:tc>
        <w:tc>
          <w:tcPr>
            <w:tcW w:w="1276" w:type="dxa"/>
            <w:vAlign w:val="center"/>
          </w:tcPr>
          <w:p>
            <w:pPr>
              <w:spacing w:line="300" w:lineRule="exact"/>
              <w:jc w:val="left"/>
              <w:rPr>
                <w:rFonts w:ascii="仿宋" w:hAnsi="仿宋" w:eastAsia="仿宋"/>
                <w:szCs w:val="24"/>
              </w:rPr>
            </w:pPr>
            <w:r>
              <w:rPr>
                <w:rFonts w:hint="eastAsia" w:ascii="仿宋" w:hAnsi="仿宋" w:eastAsia="仿宋"/>
                <w:szCs w:val="24"/>
              </w:rPr>
              <w:t>正科级</w:t>
            </w:r>
          </w:p>
        </w:tc>
        <w:tc>
          <w:tcPr>
            <w:tcW w:w="2902" w:type="dxa"/>
            <w:vAlign w:val="center"/>
          </w:tcPr>
          <w:p>
            <w:pPr>
              <w:spacing w:line="300" w:lineRule="exact"/>
              <w:jc w:val="left"/>
              <w:rPr>
                <w:rFonts w:ascii="仿宋" w:hAnsi="仿宋" w:eastAsia="仿宋"/>
                <w:szCs w:val="24"/>
              </w:rPr>
            </w:pPr>
            <w:r>
              <w:rPr>
                <w:rFonts w:hint="eastAsia" w:ascii="仿宋" w:hAnsi="仿宋" w:eastAsia="仿宋"/>
                <w:szCs w:val="24"/>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按照预算管理有关规定，目前我市部门预算的编制实行综合预算制度，即全部收入和支出都反映在预算中。廊坊市</w:t>
      </w:r>
      <w:r>
        <w:rPr>
          <w:rFonts w:hint="eastAsia" w:ascii="Times New Roman" w:hAnsi="Times New Roman" w:eastAsia="仿宋_GB2312" w:cs="Times New Roman"/>
          <w:sz w:val="32"/>
          <w:szCs w:val="32"/>
          <w:lang w:eastAsia="zh-CN"/>
        </w:rPr>
        <w:t>县直</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82.87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w:t>
      </w:r>
      <w:r>
        <w:rPr>
          <w:rFonts w:ascii="Times New Roman" w:hAnsi="Times New Roman" w:eastAsia="仿宋_GB2312" w:cs="Times New Roman"/>
          <w:sz w:val="32"/>
          <w:szCs w:val="32"/>
        </w:rPr>
        <w:t>部门</w:t>
      </w:r>
      <w:r>
        <w:rPr>
          <w:rFonts w:hint="eastAsia" w:ascii="Times New Roman" w:hAnsi="Times New Roman" w:eastAsia="仿宋_GB2312" w:cs="Times New Roman"/>
          <w:sz w:val="32"/>
          <w:szCs w:val="32"/>
          <w:lang w:val="en-US" w:eastAsia="zh-CN"/>
        </w:rPr>
        <w:t>2019</w:t>
      </w:r>
      <w:r>
        <w:rPr>
          <w:rFonts w:ascii="Times New Roman" w:hAnsi="Times New Roman" w:eastAsia="仿宋_GB2312" w:cs="Times New Roman"/>
          <w:sz w:val="32"/>
          <w:szCs w:val="32"/>
        </w:rPr>
        <w:t>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82.87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72.27</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lang w:val="en-US" w:eastAsia="zh-CN"/>
        </w:rPr>
        <w:t>64.2</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lang w:val="en-US" w:eastAsia="zh-CN"/>
        </w:rPr>
        <w:t>8.07</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lang w:val="en-US" w:eastAsia="zh-CN"/>
        </w:rPr>
        <w:t>10.6</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10</w:t>
      </w:r>
      <w:r>
        <w:rPr>
          <w:rFonts w:ascii="Times New Roman" w:hAnsi="Times New Roman" w:eastAsia="仿宋_GB2312" w:cs="Times New Roman"/>
          <w:sz w:val="32"/>
          <w:szCs w:val="32"/>
        </w:rPr>
        <w:t>万元和</w:t>
      </w:r>
      <w:r>
        <w:rPr>
          <w:rFonts w:ascii="Times New Roman" w:hAnsi="Times New Roman" w:eastAsia="仿宋_GB2312" w:cs="Times New Roman"/>
          <w:sz w:val="32"/>
          <w:szCs w:val="32"/>
          <w:highlight w:val="none"/>
        </w:rPr>
        <w:t>对下补助支出</w:t>
      </w:r>
      <w:r>
        <w:rPr>
          <w:rFonts w:hint="eastAsia" w:ascii="Times New Roman" w:hAnsi="Times New Roman" w:eastAsia="仿宋_GB2312" w:cs="Times New Roman"/>
          <w:sz w:val="32"/>
          <w:szCs w:val="32"/>
          <w:lang w:val="en-US" w:eastAsia="zh-CN"/>
        </w:rPr>
        <w:t>0.6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扶贫支出。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82.87</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7.2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4.91</w:t>
      </w:r>
      <w:r>
        <w:rPr>
          <w:rFonts w:ascii="Times New Roman" w:hAnsi="Times New Roman" w:eastAsia="仿宋_GB2312" w:cs="Times New Roman"/>
          <w:sz w:val="32"/>
          <w:szCs w:val="32"/>
        </w:rPr>
        <w:t>万元，主要为支出；项目支出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2.3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；人员经费减少</w:t>
      </w:r>
      <w:r>
        <w:rPr>
          <w:rFonts w:hint="eastAsia" w:ascii="Times New Roman" w:hAnsi="Times New Roman" w:eastAsia="仿宋_GB2312" w:cs="Times New Roman"/>
          <w:sz w:val="32"/>
          <w:szCs w:val="32"/>
          <w:lang w:val="en-US" w:eastAsia="zh-CN"/>
        </w:rPr>
        <w:t>4.18万元。</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8.07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我部门</w:t>
      </w:r>
      <w:r>
        <w:rPr>
          <w:rFonts w:ascii="Times New Roman" w:hAnsi="Times New Roman" w:eastAsia="仿宋_GB2312" w:cs="Times New Roman"/>
          <w:sz w:val="32"/>
          <w:szCs w:val="32"/>
        </w:rPr>
        <w:t>的日常维修、办公用房水电费</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日常运行支出。</w:t>
      </w:r>
    </w:p>
    <w:p>
      <w:pPr>
        <w:autoSpaceDE w:val="0"/>
        <w:autoSpaceDN w:val="0"/>
        <w:adjustRightInd w:val="0"/>
        <w:spacing w:line="584" w:lineRule="exact"/>
        <w:ind w:left="198"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highlight w:val="none"/>
          <w:lang w:eastAsia="zh-CN"/>
        </w:rPr>
        <w:t>增加</w:t>
      </w:r>
      <w:r>
        <w:rPr>
          <w:rFonts w:hint="eastAsia" w:ascii="Times New Roman" w:hAnsi="Times New Roman" w:eastAsia="仿宋_GB2312" w:cs="Times New Roman"/>
          <w:sz w:val="32"/>
          <w:szCs w:val="32"/>
          <w:highlight w:val="none"/>
          <w:lang w:val="en-US" w:eastAsia="zh-CN"/>
        </w:rPr>
        <w:t>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万元（其中：公务用车运维费</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560" w:lineRule="exact"/>
        <w:ind w:firstLine="640" w:firstLineChars="200"/>
        <w:rPr>
          <w:rFonts w:ascii="Times New Roman" w:hAnsi="Times New Roman" w:eastAsia="楷体_GB2312" w:cs="Times New Roman"/>
          <w:b/>
          <w:sz w:val="32"/>
          <w:szCs w:val="32"/>
        </w:rPr>
      </w:pPr>
      <w:r>
        <w:rPr>
          <w:rFonts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年，县直机关党建工作将立足党的建设与大城经济和社会各项事业发展的有机结合、相互促进，着眼于推动科学发展，着眼于促进社会和谐，着眼于推动改革创新，着眼于建设“六型机关”</w:t>
      </w:r>
      <w:r>
        <w:rPr>
          <w:rFonts w:hint="eastAsia" w:ascii="仿宋" w:hAnsi="仿宋" w:eastAsia="仿宋"/>
          <w:sz w:val="32"/>
        </w:rPr>
        <w:t>（学习型、服务型、创新型、效能型、廉政型、和谐型）</w:t>
      </w:r>
      <w:r>
        <w:rPr>
          <w:rFonts w:hint="eastAsia" w:ascii="仿宋" w:hAnsi="仿宋" w:eastAsia="仿宋"/>
          <w:sz w:val="32"/>
          <w:szCs w:val="32"/>
        </w:rPr>
        <w:t>，以党的十九大精神为指导，深入推进党的群众路线建设为重点，不断活化活动载体，使县直机关在大城又好又快发展的过程中做出新的更大的贡献。</w:t>
      </w:r>
    </w:p>
    <w:p>
      <w:pPr>
        <w:spacing w:line="584" w:lineRule="exact"/>
        <w:ind w:firstLine="560"/>
        <w:rPr>
          <w:rFonts w:ascii="Times New Roman" w:hAnsi="Times New Roman" w:eastAsia="楷体_GB2312" w:cs="Times New Roman"/>
          <w:b/>
          <w:sz w:val="32"/>
          <w:szCs w:val="24"/>
        </w:rPr>
      </w:pPr>
      <w:r>
        <w:rPr>
          <w:rFonts w:ascii="Times New Roman" w:hAnsi="Times New Roman" w:eastAsia="楷体_GB2312" w:cs="Times New Roman"/>
          <w:b/>
          <w:sz w:val="32"/>
          <w:szCs w:val="32"/>
        </w:rPr>
        <w:t>部门职责及工作活动绩效目标指标：</w:t>
      </w:r>
    </w:p>
    <w:bookmarkEnd w:id="0"/>
    <w:p>
      <w:pPr>
        <w:jc w:val="center"/>
        <w:outlineLvl w:val="0"/>
        <w:rPr>
          <w:rFonts w:ascii="仿宋" w:hAnsi="仿宋" w:eastAsia="仿宋"/>
          <w:sz w:val="32"/>
        </w:rPr>
      </w:pPr>
      <w:bookmarkStart w:id="1" w:name="_Toc508719300"/>
      <w:r>
        <w:rPr>
          <w:rFonts w:hint="eastAsia" w:ascii="仿宋" w:hAnsi="仿宋" w:eastAsia="仿宋"/>
          <w:sz w:val="32"/>
        </w:rPr>
        <w:t>部门职责</w:t>
      </w:r>
      <w:r>
        <w:rPr>
          <w:rFonts w:ascii="仿宋" w:hAnsi="仿宋" w:eastAsia="仿宋"/>
          <w:sz w:val="32"/>
        </w:rPr>
        <w:t>-</w:t>
      </w:r>
      <w:r>
        <w:rPr>
          <w:rFonts w:hint="eastAsia" w:ascii="仿宋" w:hAnsi="仿宋" w:eastAsia="仿宋"/>
          <w:sz w:val="32"/>
        </w:rPr>
        <w:t>工作活动绩效目标</w:t>
      </w:r>
      <w:bookmarkEnd w:id="1"/>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仿宋" w:hAnsi="仿宋" w:eastAsia="仿宋"/>
                <w:sz w:val="24"/>
              </w:rPr>
            </w:pPr>
            <w:r>
              <w:rPr>
                <w:rFonts w:ascii="仿宋" w:hAnsi="仿宋" w:eastAsia="仿宋"/>
                <w:sz w:val="24"/>
              </w:rPr>
              <w:t>286</w:t>
            </w:r>
            <w:r>
              <w:rPr>
                <w:rFonts w:hint="eastAsia" w:ascii="仿宋" w:hAnsi="仿宋" w:eastAsia="仿宋"/>
                <w:sz w:val="24"/>
              </w:rPr>
              <w:t>大城县直属机关工作委员会</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仿宋" w:hAnsi="仿宋" w:eastAsia="仿宋"/>
                <w:sz w:val="24"/>
              </w:rPr>
            </w:pPr>
            <w:r>
              <w:rPr>
                <w:rFonts w:hint="eastAsia" w:ascii="仿宋" w:hAnsi="仿宋" w:eastAsia="仿宋"/>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仿宋" w:hAnsi="仿宋" w:eastAsia="仿宋"/>
                <w:b/>
              </w:rPr>
            </w:pPr>
            <w:r>
              <w:rPr>
                <w:rFonts w:hint="eastAsia" w:ascii="仿宋" w:hAnsi="仿宋" w:eastAsia="仿宋"/>
                <w:b/>
              </w:rPr>
              <w:t>职责活动</w:t>
            </w:r>
          </w:p>
        </w:tc>
        <w:tc>
          <w:tcPr>
            <w:tcW w:w="1276" w:type="dxa"/>
            <w:vMerge w:val="restart"/>
            <w:vAlign w:val="center"/>
          </w:tcPr>
          <w:p>
            <w:pPr>
              <w:spacing w:line="300" w:lineRule="exact"/>
              <w:jc w:val="center"/>
              <w:rPr>
                <w:rFonts w:ascii="仿宋" w:hAnsi="仿宋" w:eastAsia="仿宋"/>
                <w:b/>
              </w:rPr>
            </w:pPr>
            <w:r>
              <w:rPr>
                <w:rFonts w:hint="eastAsia" w:ascii="仿宋" w:hAnsi="仿宋" w:eastAsia="仿宋"/>
                <w:b/>
              </w:rPr>
              <w:t>年度预算数</w:t>
            </w:r>
          </w:p>
        </w:tc>
        <w:tc>
          <w:tcPr>
            <w:tcW w:w="2976" w:type="dxa"/>
            <w:vMerge w:val="restart"/>
            <w:vAlign w:val="center"/>
          </w:tcPr>
          <w:p>
            <w:pPr>
              <w:spacing w:line="300" w:lineRule="exact"/>
              <w:jc w:val="center"/>
              <w:rPr>
                <w:rFonts w:ascii="仿宋" w:hAnsi="仿宋" w:eastAsia="仿宋"/>
                <w:b/>
              </w:rPr>
            </w:pPr>
            <w:r>
              <w:rPr>
                <w:rFonts w:hint="eastAsia" w:ascii="仿宋" w:hAnsi="仿宋" w:eastAsia="仿宋"/>
                <w:b/>
              </w:rPr>
              <w:t>内容描述</w:t>
            </w:r>
          </w:p>
        </w:tc>
        <w:tc>
          <w:tcPr>
            <w:tcW w:w="2976" w:type="dxa"/>
            <w:vMerge w:val="restart"/>
            <w:vAlign w:val="center"/>
          </w:tcPr>
          <w:p>
            <w:pPr>
              <w:spacing w:line="300" w:lineRule="exact"/>
              <w:jc w:val="center"/>
              <w:rPr>
                <w:rFonts w:ascii="仿宋" w:hAnsi="仿宋" w:eastAsia="仿宋"/>
                <w:b/>
              </w:rPr>
            </w:pPr>
            <w:r>
              <w:rPr>
                <w:rFonts w:hint="eastAsia" w:ascii="仿宋" w:hAnsi="仿宋" w:eastAsia="仿宋"/>
                <w:b/>
              </w:rPr>
              <w:t>绩效目标</w:t>
            </w:r>
          </w:p>
        </w:tc>
        <w:tc>
          <w:tcPr>
            <w:tcW w:w="1417" w:type="dxa"/>
            <w:vMerge w:val="restart"/>
            <w:vAlign w:val="center"/>
          </w:tcPr>
          <w:p>
            <w:pPr>
              <w:spacing w:line="300" w:lineRule="exact"/>
              <w:jc w:val="center"/>
              <w:rPr>
                <w:rFonts w:ascii="仿宋" w:hAnsi="仿宋" w:eastAsia="仿宋"/>
                <w:b/>
              </w:rPr>
            </w:pPr>
            <w:r>
              <w:rPr>
                <w:rFonts w:hint="eastAsia" w:ascii="仿宋" w:hAnsi="仿宋" w:eastAsia="仿宋"/>
                <w:b/>
              </w:rPr>
              <w:t>绩效指标</w:t>
            </w:r>
          </w:p>
        </w:tc>
        <w:tc>
          <w:tcPr>
            <w:tcW w:w="2948" w:type="dxa"/>
            <w:gridSpan w:val="4"/>
            <w:vAlign w:val="center"/>
          </w:tcPr>
          <w:p>
            <w:pPr>
              <w:spacing w:line="300" w:lineRule="exact"/>
              <w:jc w:val="center"/>
              <w:rPr>
                <w:rFonts w:ascii="仿宋" w:hAnsi="仿宋" w:eastAsia="仿宋"/>
                <w:b/>
              </w:rPr>
            </w:pPr>
            <w:r>
              <w:rPr>
                <w:rFonts w:hint="eastAsia" w:ascii="仿宋" w:hAnsi="仿宋" w:eastAsia="仿宋"/>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rPr>
                <w:rFonts w:ascii="仿宋" w:hAnsi="仿宋" w:eastAsia="仿宋"/>
              </w:rPr>
            </w:pPr>
          </w:p>
        </w:tc>
        <w:tc>
          <w:tcPr>
            <w:tcW w:w="1276" w:type="dxa"/>
            <w:vMerge w:val="continue"/>
            <w:vAlign w:val="center"/>
          </w:tcPr>
          <w:p>
            <w:pPr>
              <w:spacing w:line="300" w:lineRule="exact"/>
              <w:jc w:val="left"/>
              <w:outlineLvl w:val="0"/>
              <w:rPr>
                <w:rFonts w:ascii="仿宋" w:hAnsi="仿宋" w:eastAsia="仿宋"/>
              </w:rPr>
            </w:pPr>
          </w:p>
        </w:tc>
        <w:tc>
          <w:tcPr>
            <w:tcW w:w="2976" w:type="dxa"/>
            <w:vMerge w:val="continue"/>
            <w:vAlign w:val="center"/>
          </w:tcPr>
          <w:p>
            <w:pPr>
              <w:spacing w:line="300" w:lineRule="exact"/>
              <w:jc w:val="left"/>
              <w:outlineLvl w:val="0"/>
              <w:rPr>
                <w:rFonts w:ascii="仿宋" w:hAnsi="仿宋" w:eastAsia="仿宋"/>
              </w:rPr>
            </w:pPr>
          </w:p>
        </w:tc>
        <w:tc>
          <w:tcPr>
            <w:tcW w:w="2976" w:type="dxa"/>
            <w:vMerge w:val="continue"/>
            <w:vAlign w:val="center"/>
          </w:tcPr>
          <w:p>
            <w:pPr>
              <w:spacing w:line="300" w:lineRule="exact"/>
              <w:jc w:val="left"/>
              <w:outlineLvl w:val="0"/>
              <w:rPr>
                <w:rFonts w:ascii="仿宋" w:hAnsi="仿宋" w:eastAsia="仿宋"/>
              </w:rPr>
            </w:pPr>
          </w:p>
        </w:tc>
        <w:tc>
          <w:tcPr>
            <w:tcW w:w="1417" w:type="dxa"/>
            <w:vMerge w:val="continue"/>
            <w:vAlign w:val="center"/>
          </w:tcPr>
          <w:p>
            <w:pPr>
              <w:spacing w:line="300" w:lineRule="exact"/>
              <w:jc w:val="left"/>
              <w:outlineLvl w:val="0"/>
              <w:rPr>
                <w:rFonts w:ascii="仿宋" w:hAnsi="仿宋" w:eastAsia="仿宋"/>
              </w:rPr>
            </w:pPr>
          </w:p>
        </w:tc>
        <w:tc>
          <w:tcPr>
            <w:tcW w:w="737" w:type="dxa"/>
            <w:vAlign w:val="center"/>
          </w:tcPr>
          <w:p>
            <w:pPr>
              <w:spacing w:line="300" w:lineRule="exact"/>
              <w:jc w:val="center"/>
              <w:rPr>
                <w:rFonts w:ascii="仿宋" w:hAnsi="仿宋" w:eastAsia="仿宋"/>
                <w:b/>
              </w:rPr>
            </w:pPr>
            <w:r>
              <w:rPr>
                <w:rFonts w:hint="eastAsia" w:ascii="仿宋" w:hAnsi="仿宋" w:eastAsia="仿宋"/>
                <w:b/>
              </w:rPr>
              <w:t>优</w:t>
            </w:r>
          </w:p>
        </w:tc>
        <w:tc>
          <w:tcPr>
            <w:tcW w:w="737" w:type="dxa"/>
            <w:vAlign w:val="center"/>
          </w:tcPr>
          <w:p>
            <w:pPr>
              <w:spacing w:line="300" w:lineRule="exact"/>
              <w:jc w:val="center"/>
              <w:rPr>
                <w:rFonts w:ascii="仿宋" w:hAnsi="仿宋" w:eastAsia="仿宋"/>
                <w:b/>
              </w:rPr>
            </w:pPr>
            <w:r>
              <w:rPr>
                <w:rFonts w:hint="eastAsia" w:ascii="仿宋" w:hAnsi="仿宋" w:eastAsia="仿宋"/>
                <w:b/>
              </w:rPr>
              <w:t>良</w:t>
            </w:r>
          </w:p>
        </w:tc>
        <w:tc>
          <w:tcPr>
            <w:tcW w:w="737" w:type="dxa"/>
            <w:vAlign w:val="center"/>
          </w:tcPr>
          <w:p>
            <w:pPr>
              <w:spacing w:line="300" w:lineRule="exact"/>
              <w:jc w:val="center"/>
              <w:rPr>
                <w:rFonts w:ascii="仿宋" w:hAnsi="仿宋" w:eastAsia="仿宋"/>
                <w:b/>
              </w:rPr>
            </w:pPr>
            <w:r>
              <w:rPr>
                <w:rFonts w:hint="eastAsia" w:ascii="仿宋" w:hAnsi="仿宋" w:eastAsia="仿宋"/>
                <w:b/>
              </w:rPr>
              <w:t>中</w:t>
            </w:r>
          </w:p>
        </w:tc>
        <w:tc>
          <w:tcPr>
            <w:tcW w:w="737" w:type="dxa"/>
            <w:vAlign w:val="center"/>
          </w:tcPr>
          <w:p>
            <w:pPr>
              <w:spacing w:line="300" w:lineRule="exact"/>
              <w:jc w:val="center"/>
              <w:rPr>
                <w:rFonts w:ascii="仿宋" w:hAnsi="仿宋" w:eastAsia="仿宋"/>
                <w:b/>
              </w:rPr>
            </w:pPr>
            <w:r>
              <w:rPr>
                <w:rFonts w:hint="eastAsia" w:ascii="仿宋" w:hAnsi="仿宋" w:eastAsia="仿宋"/>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b/>
              </w:rPr>
            </w:pPr>
            <w:r>
              <w:rPr>
                <w:rFonts w:hint="eastAsia" w:ascii="仿宋" w:hAnsi="仿宋" w:eastAsia="仿宋"/>
                <w:b/>
              </w:rPr>
              <w:t>一、县直机关党的建设</w:t>
            </w:r>
          </w:p>
        </w:tc>
        <w:tc>
          <w:tcPr>
            <w:tcW w:w="1276" w:type="dxa"/>
            <w:vAlign w:val="center"/>
          </w:tcPr>
          <w:p>
            <w:pPr>
              <w:spacing w:line="300" w:lineRule="exact"/>
              <w:jc w:val="left"/>
              <w:rPr>
                <w:rFonts w:hint="eastAsia" w:ascii="仿宋" w:hAnsi="仿宋" w:eastAsia="仿宋"/>
                <w:lang w:val="en-US" w:eastAsia="zh-CN"/>
              </w:rPr>
            </w:pPr>
            <w:r>
              <w:rPr>
                <w:rFonts w:hint="eastAsia" w:ascii="仿宋" w:hAnsi="仿宋" w:eastAsia="仿宋"/>
                <w:lang w:val="en-US" w:eastAsia="zh-CN"/>
              </w:rPr>
              <w:t>8.6</w:t>
            </w:r>
          </w:p>
        </w:tc>
        <w:tc>
          <w:tcPr>
            <w:tcW w:w="2976" w:type="dxa"/>
            <w:vAlign w:val="center"/>
          </w:tcPr>
          <w:p>
            <w:pPr>
              <w:spacing w:line="300" w:lineRule="exact"/>
              <w:jc w:val="left"/>
              <w:rPr>
                <w:rFonts w:ascii="仿宋" w:hAnsi="仿宋" w:eastAsia="仿宋"/>
              </w:rPr>
            </w:pPr>
            <w:r>
              <w:rPr>
                <w:rFonts w:hint="eastAsia" w:ascii="仿宋" w:hAnsi="仿宋" w:eastAsia="仿宋"/>
              </w:rPr>
              <w:t>加强县直机关党的思想政治建设、组织建设、作风建设、制度建设和反腐倡廉建设，做好县直机关其他党建工作。</w:t>
            </w:r>
          </w:p>
        </w:tc>
        <w:tc>
          <w:tcPr>
            <w:tcW w:w="2976" w:type="dxa"/>
            <w:vAlign w:val="center"/>
          </w:tcPr>
          <w:p>
            <w:pPr>
              <w:spacing w:line="300" w:lineRule="exact"/>
              <w:jc w:val="left"/>
              <w:rPr>
                <w:rFonts w:ascii="仿宋" w:hAnsi="仿宋" w:eastAsia="仿宋"/>
              </w:rPr>
            </w:pPr>
            <w:r>
              <w:rPr>
                <w:rFonts w:hint="eastAsia" w:ascii="仿宋" w:hAnsi="仿宋" w:eastAsia="仿宋"/>
              </w:rPr>
              <w:t>政治觉悟和思想道德素质明显提高；党组织战斗堡垒作用和党员先锋模范作用进一步增强；其他党建工作得到有效落实。</w:t>
            </w:r>
          </w:p>
        </w:tc>
        <w:tc>
          <w:tcPr>
            <w:tcW w:w="1417" w:type="dxa"/>
            <w:vAlign w:val="center"/>
          </w:tcPr>
          <w:p>
            <w:pPr>
              <w:spacing w:line="300" w:lineRule="exact"/>
              <w:jc w:val="left"/>
              <w:rPr>
                <w:rFonts w:ascii="仿宋" w:hAnsi="仿宋" w:eastAsia="仿宋"/>
              </w:rPr>
            </w:pPr>
          </w:p>
        </w:tc>
        <w:tc>
          <w:tcPr>
            <w:tcW w:w="737" w:type="dxa"/>
            <w:vAlign w:val="center"/>
          </w:tcPr>
          <w:p>
            <w:pPr>
              <w:spacing w:line="300" w:lineRule="exact"/>
              <w:jc w:val="center"/>
              <w:rPr>
                <w:rFonts w:ascii="仿宋" w:hAnsi="仿宋" w:eastAsia="仿宋"/>
              </w:rPr>
            </w:pPr>
          </w:p>
        </w:tc>
        <w:tc>
          <w:tcPr>
            <w:tcW w:w="737" w:type="dxa"/>
            <w:vAlign w:val="center"/>
          </w:tcPr>
          <w:p>
            <w:pPr>
              <w:spacing w:line="300" w:lineRule="exact"/>
              <w:jc w:val="center"/>
              <w:rPr>
                <w:rFonts w:ascii="仿宋" w:hAnsi="仿宋" w:eastAsia="仿宋"/>
              </w:rPr>
            </w:pPr>
          </w:p>
        </w:tc>
        <w:tc>
          <w:tcPr>
            <w:tcW w:w="737" w:type="dxa"/>
            <w:vAlign w:val="center"/>
          </w:tcPr>
          <w:p>
            <w:pPr>
              <w:spacing w:line="300" w:lineRule="exact"/>
              <w:jc w:val="center"/>
              <w:rPr>
                <w:rFonts w:ascii="仿宋" w:hAnsi="仿宋" w:eastAsia="仿宋"/>
              </w:rPr>
            </w:pPr>
          </w:p>
        </w:tc>
        <w:tc>
          <w:tcPr>
            <w:tcW w:w="737" w:type="dxa"/>
            <w:vAlign w:val="center"/>
          </w:tcPr>
          <w:p>
            <w:pPr>
              <w:spacing w:line="300" w:lineRule="exact"/>
              <w:jc w:val="center"/>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b/>
              </w:rPr>
            </w:pPr>
            <w:r>
              <w:rPr>
                <w:rFonts w:hint="eastAsia" w:ascii="仿宋" w:hAnsi="仿宋" w:eastAsia="仿宋"/>
                <w:b/>
              </w:rPr>
              <w:t>　　</w:t>
            </w:r>
            <w:r>
              <w:rPr>
                <w:rFonts w:ascii="仿宋" w:hAnsi="仿宋" w:eastAsia="仿宋"/>
                <w:b/>
              </w:rPr>
              <w:t>1</w:t>
            </w:r>
            <w:r>
              <w:rPr>
                <w:rFonts w:hint="eastAsia" w:ascii="仿宋" w:hAnsi="仿宋" w:eastAsia="仿宋"/>
                <w:b/>
              </w:rPr>
              <w:t>、思想政治建设</w:t>
            </w:r>
          </w:p>
        </w:tc>
        <w:tc>
          <w:tcPr>
            <w:tcW w:w="1276" w:type="dxa"/>
            <w:vMerge w:val="restart"/>
            <w:vAlign w:val="center"/>
          </w:tcPr>
          <w:p>
            <w:pPr>
              <w:spacing w:line="300" w:lineRule="exact"/>
              <w:jc w:val="left"/>
              <w:rPr>
                <w:rFonts w:hint="eastAsia" w:ascii="仿宋" w:hAnsi="仿宋" w:eastAsia="仿宋"/>
                <w:lang w:eastAsia="zh-CN"/>
              </w:rPr>
            </w:pPr>
            <w:r>
              <w:rPr>
                <w:rFonts w:hint="eastAsia" w:ascii="仿宋" w:hAnsi="仿宋" w:eastAsia="仿宋"/>
                <w:lang w:val="en-US" w:eastAsia="zh-CN"/>
              </w:rPr>
              <w:t>6</w:t>
            </w:r>
          </w:p>
        </w:tc>
        <w:tc>
          <w:tcPr>
            <w:tcW w:w="2976" w:type="dxa"/>
            <w:vMerge w:val="restart"/>
            <w:vAlign w:val="center"/>
          </w:tcPr>
          <w:p>
            <w:pPr>
              <w:spacing w:line="300" w:lineRule="exact"/>
              <w:jc w:val="left"/>
              <w:rPr>
                <w:rFonts w:ascii="仿宋" w:hAnsi="仿宋" w:eastAsia="仿宋"/>
              </w:rPr>
            </w:pPr>
            <w:r>
              <w:rPr>
                <w:rFonts w:hint="eastAsia" w:ascii="仿宋" w:hAnsi="仿宋" w:eastAsia="仿宋"/>
              </w:rPr>
              <w:t>指导县直机关各级党组织用马克思主义中国化的最新理论成果，教育县直党员干部树立正确的世界观、人生观和价值观；指导县直加强学习型党组织建设和中心组理论学习。负责县直精神文明建设及普法工作。</w:t>
            </w:r>
          </w:p>
        </w:tc>
        <w:tc>
          <w:tcPr>
            <w:tcW w:w="2976" w:type="dxa"/>
            <w:vMerge w:val="restart"/>
            <w:vAlign w:val="center"/>
          </w:tcPr>
          <w:p>
            <w:pPr>
              <w:spacing w:line="300" w:lineRule="exact"/>
              <w:jc w:val="left"/>
              <w:rPr>
                <w:rFonts w:ascii="仿宋" w:hAnsi="仿宋" w:eastAsia="仿宋"/>
              </w:rPr>
            </w:pPr>
            <w:r>
              <w:rPr>
                <w:rFonts w:hint="eastAsia" w:ascii="仿宋" w:hAnsi="仿宋" w:eastAsia="仿宋"/>
              </w:rPr>
              <w:t>利用各种有效载体开展宣传教育活动</w:t>
            </w:r>
            <w:r>
              <w:rPr>
                <w:rFonts w:ascii="仿宋" w:hAnsi="仿宋" w:eastAsia="仿宋"/>
              </w:rPr>
              <w:t>,</w:t>
            </w:r>
            <w:r>
              <w:rPr>
                <w:rFonts w:hint="eastAsia" w:ascii="仿宋" w:hAnsi="仿宋" w:eastAsia="仿宋"/>
              </w:rPr>
              <w:t>效果明显</w:t>
            </w:r>
            <w:r>
              <w:rPr>
                <w:rFonts w:ascii="仿宋" w:hAnsi="仿宋" w:eastAsia="仿宋"/>
              </w:rPr>
              <w:t>;</w:t>
            </w:r>
            <w:r>
              <w:rPr>
                <w:rFonts w:hint="eastAsia" w:ascii="仿宋" w:hAnsi="仿宋" w:eastAsia="仿宋"/>
              </w:rPr>
              <w:t>学习制度得到普遍落实，各项活动普遍参加</w:t>
            </w:r>
            <w:r>
              <w:rPr>
                <w:rFonts w:ascii="仿宋" w:hAnsi="仿宋" w:eastAsia="仿宋"/>
              </w:rPr>
              <w:t>;</w:t>
            </w:r>
            <w:r>
              <w:rPr>
                <w:rFonts w:hint="eastAsia" w:ascii="仿宋" w:hAnsi="仿宋" w:eastAsia="仿宋"/>
              </w:rPr>
              <w:t>精神文明创建活动参与广泛，公民道德素质、各项活动满意率明显提高。</w:t>
            </w:r>
          </w:p>
        </w:tc>
        <w:tc>
          <w:tcPr>
            <w:tcW w:w="1417" w:type="dxa"/>
            <w:vAlign w:val="center"/>
          </w:tcPr>
          <w:p>
            <w:pPr>
              <w:spacing w:line="300" w:lineRule="exact"/>
              <w:jc w:val="left"/>
              <w:rPr>
                <w:rFonts w:ascii="仿宋" w:hAnsi="仿宋" w:eastAsia="仿宋"/>
              </w:rPr>
            </w:pPr>
            <w:r>
              <w:rPr>
                <w:rFonts w:hint="eastAsia" w:ascii="仿宋" w:hAnsi="仿宋" w:eastAsia="仿宋"/>
              </w:rPr>
              <w:t>领导干部参与率</w:t>
            </w:r>
          </w:p>
        </w:tc>
        <w:tc>
          <w:tcPr>
            <w:tcW w:w="737" w:type="dxa"/>
            <w:vAlign w:val="center"/>
          </w:tcPr>
          <w:p>
            <w:pPr>
              <w:spacing w:line="300" w:lineRule="exact"/>
              <w:jc w:val="center"/>
              <w:rPr>
                <w:rFonts w:ascii="仿宋" w:hAnsi="仿宋" w:eastAsia="仿宋"/>
              </w:rPr>
            </w:pPr>
            <w:r>
              <w:rPr>
                <w:rFonts w:ascii="仿宋" w:hAnsi="仿宋" w:eastAsia="仿宋"/>
              </w:rPr>
              <w:t>100%</w:t>
            </w:r>
          </w:p>
        </w:tc>
        <w:tc>
          <w:tcPr>
            <w:tcW w:w="73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95%</w:t>
            </w:r>
          </w:p>
        </w:tc>
        <w:tc>
          <w:tcPr>
            <w:tcW w:w="73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737" w:type="dxa"/>
            <w:vAlign w:val="center"/>
          </w:tcPr>
          <w:p>
            <w:pPr>
              <w:spacing w:line="300" w:lineRule="exact"/>
              <w:jc w:val="center"/>
              <w:rPr>
                <w:rFonts w:ascii="仿宋" w:hAnsi="仿宋" w:eastAsia="仿宋"/>
              </w:rPr>
            </w:pPr>
            <w:r>
              <w:rPr>
                <w:rFonts w:ascii="仿宋" w:hAnsi="仿宋" w:eastAsia="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b/>
              </w:rPr>
            </w:pPr>
          </w:p>
        </w:tc>
        <w:tc>
          <w:tcPr>
            <w:tcW w:w="1276" w:type="dxa"/>
            <w:vMerge w:val="continue"/>
            <w:vAlign w:val="center"/>
          </w:tcPr>
          <w:p>
            <w:pPr>
              <w:spacing w:line="300" w:lineRule="exact"/>
              <w:jc w:val="left"/>
              <w:rPr>
                <w:rFonts w:ascii="仿宋" w:hAnsi="仿宋" w:eastAsia="仿宋"/>
              </w:rPr>
            </w:pPr>
          </w:p>
        </w:tc>
        <w:tc>
          <w:tcPr>
            <w:tcW w:w="2976" w:type="dxa"/>
            <w:vMerge w:val="continue"/>
            <w:vAlign w:val="center"/>
          </w:tcPr>
          <w:p>
            <w:pPr>
              <w:spacing w:line="300" w:lineRule="exact"/>
              <w:jc w:val="left"/>
              <w:rPr>
                <w:rFonts w:ascii="仿宋" w:hAnsi="仿宋" w:eastAsia="仿宋"/>
              </w:rPr>
            </w:pPr>
          </w:p>
        </w:tc>
        <w:tc>
          <w:tcPr>
            <w:tcW w:w="2976" w:type="dxa"/>
            <w:vMerge w:val="continue"/>
            <w:vAlign w:val="center"/>
          </w:tcPr>
          <w:p>
            <w:pPr>
              <w:spacing w:line="300" w:lineRule="exact"/>
              <w:jc w:val="left"/>
              <w:rPr>
                <w:rFonts w:ascii="仿宋" w:hAnsi="仿宋" w:eastAsia="仿宋"/>
              </w:rPr>
            </w:pPr>
          </w:p>
        </w:tc>
        <w:tc>
          <w:tcPr>
            <w:tcW w:w="1417" w:type="dxa"/>
            <w:vAlign w:val="center"/>
          </w:tcPr>
          <w:p>
            <w:pPr>
              <w:spacing w:line="300" w:lineRule="exact"/>
              <w:jc w:val="left"/>
              <w:rPr>
                <w:rFonts w:ascii="仿宋" w:hAnsi="仿宋" w:eastAsia="仿宋"/>
              </w:rPr>
            </w:pPr>
            <w:r>
              <w:rPr>
                <w:rFonts w:hint="eastAsia" w:ascii="仿宋" w:hAnsi="仿宋" w:eastAsia="仿宋"/>
              </w:rPr>
              <w:t>干部职工参与率</w:t>
            </w:r>
          </w:p>
        </w:tc>
        <w:tc>
          <w:tcPr>
            <w:tcW w:w="737" w:type="dxa"/>
            <w:vAlign w:val="center"/>
          </w:tcPr>
          <w:p>
            <w:pPr>
              <w:spacing w:line="300" w:lineRule="exact"/>
              <w:jc w:val="center"/>
              <w:rPr>
                <w:rFonts w:ascii="仿宋" w:hAnsi="仿宋" w:eastAsia="仿宋"/>
              </w:rPr>
            </w:pPr>
            <w:r>
              <w:rPr>
                <w:rFonts w:ascii="仿宋" w:hAnsi="仿宋" w:eastAsia="仿宋"/>
              </w:rPr>
              <w:t>100%</w:t>
            </w:r>
          </w:p>
        </w:tc>
        <w:tc>
          <w:tcPr>
            <w:tcW w:w="73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95%</w:t>
            </w:r>
          </w:p>
        </w:tc>
        <w:tc>
          <w:tcPr>
            <w:tcW w:w="73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737" w:type="dxa"/>
            <w:vAlign w:val="center"/>
          </w:tcPr>
          <w:p>
            <w:pPr>
              <w:spacing w:line="300" w:lineRule="exact"/>
              <w:jc w:val="center"/>
              <w:rPr>
                <w:rFonts w:ascii="仿宋" w:hAnsi="仿宋" w:eastAsia="仿宋"/>
              </w:rPr>
            </w:pPr>
            <w:r>
              <w:rPr>
                <w:rFonts w:ascii="仿宋" w:hAnsi="仿宋" w:eastAsia="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b/>
              </w:rPr>
            </w:pPr>
          </w:p>
        </w:tc>
        <w:tc>
          <w:tcPr>
            <w:tcW w:w="1276" w:type="dxa"/>
            <w:vMerge w:val="continue"/>
            <w:vAlign w:val="center"/>
          </w:tcPr>
          <w:p>
            <w:pPr>
              <w:spacing w:line="300" w:lineRule="exact"/>
              <w:jc w:val="left"/>
              <w:rPr>
                <w:rFonts w:ascii="仿宋" w:hAnsi="仿宋" w:eastAsia="仿宋"/>
              </w:rPr>
            </w:pPr>
          </w:p>
        </w:tc>
        <w:tc>
          <w:tcPr>
            <w:tcW w:w="2976" w:type="dxa"/>
            <w:vMerge w:val="continue"/>
            <w:vAlign w:val="center"/>
          </w:tcPr>
          <w:p>
            <w:pPr>
              <w:spacing w:line="300" w:lineRule="exact"/>
              <w:jc w:val="left"/>
              <w:rPr>
                <w:rFonts w:ascii="仿宋" w:hAnsi="仿宋" w:eastAsia="仿宋"/>
              </w:rPr>
            </w:pPr>
          </w:p>
        </w:tc>
        <w:tc>
          <w:tcPr>
            <w:tcW w:w="2976" w:type="dxa"/>
            <w:vMerge w:val="continue"/>
            <w:vAlign w:val="center"/>
          </w:tcPr>
          <w:p>
            <w:pPr>
              <w:spacing w:line="300" w:lineRule="exact"/>
              <w:jc w:val="left"/>
              <w:rPr>
                <w:rFonts w:ascii="仿宋" w:hAnsi="仿宋" w:eastAsia="仿宋"/>
              </w:rPr>
            </w:pPr>
          </w:p>
        </w:tc>
        <w:tc>
          <w:tcPr>
            <w:tcW w:w="1417" w:type="dxa"/>
            <w:vAlign w:val="center"/>
          </w:tcPr>
          <w:p>
            <w:pPr>
              <w:spacing w:line="300" w:lineRule="exact"/>
              <w:jc w:val="left"/>
              <w:rPr>
                <w:rFonts w:ascii="仿宋" w:hAnsi="仿宋" w:eastAsia="仿宋"/>
              </w:rPr>
            </w:pPr>
            <w:r>
              <w:rPr>
                <w:rFonts w:hint="eastAsia" w:ascii="仿宋" w:hAnsi="仿宋" w:eastAsia="仿宋"/>
              </w:rPr>
              <w:t>党员干部教育覆盖率</w:t>
            </w:r>
          </w:p>
        </w:tc>
        <w:tc>
          <w:tcPr>
            <w:tcW w:w="737" w:type="dxa"/>
            <w:vAlign w:val="center"/>
          </w:tcPr>
          <w:p>
            <w:pPr>
              <w:spacing w:line="300" w:lineRule="exact"/>
              <w:jc w:val="center"/>
              <w:rPr>
                <w:rFonts w:ascii="仿宋" w:hAnsi="仿宋" w:eastAsia="仿宋"/>
              </w:rPr>
            </w:pPr>
            <w:r>
              <w:rPr>
                <w:rFonts w:ascii="仿宋" w:hAnsi="仿宋" w:eastAsia="仿宋"/>
              </w:rPr>
              <w:t>100%</w:t>
            </w:r>
          </w:p>
        </w:tc>
        <w:tc>
          <w:tcPr>
            <w:tcW w:w="73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73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737" w:type="dxa"/>
            <w:vAlign w:val="center"/>
          </w:tcPr>
          <w:p>
            <w:pPr>
              <w:spacing w:line="300" w:lineRule="exact"/>
              <w:jc w:val="center"/>
              <w:rPr>
                <w:rFonts w:ascii="仿宋" w:hAnsi="仿宋" w:eastAsia="仿宋"/>
              </w:rPr>
            </w:pPr>
            <w:r>
              <w:rPr>
                <w:rFonts w:ascii="仿宋" w:hAnsi="仿宋" w:eastAsia="仿宋"/>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b/>
              </w:rPr>
            </w:pPr>
          </w:p>
        </w:tc>
        <w:tc>
          <w:tcPr>
            <w:tcW w:w="1276" w:type="dxa"/>
            <w:vMerge w:val="continue"/>
            <w:vAlign w:val="center"/>
          </w:tcPr>
          <w:p>
            <w:pPr>
              <w:spacing w:line="300" w:lineRule="exact"/>
              <w:jc w:val="left"/>
              <w:rPr>
                <w:rFonts w:ascii="仿宋" w:hAnsi="仿宋" w:eastAsia="仿宋"/>
              </w:rPr>
            </w:pPr>
          </w:p>
        </w:tc>
        <w:tc>
          <w:tcPr>
            <w:tcW w:w="2976" w:type="dxa"/>
            <w:vMerge w:val="continue"/>
            <w:vAlign w:val="center"/>
          </w:tcPr>
          <w:p>
            <w:pPr>
              <w:spacing w:line="300" w:lineRule="exact"/>
              <w:jc w:val="left"/>
              <w:rPr>
                <w:rFonts w:ascii="仿宋" w:hAnsi="仿宋" w:eastAsia="仿宋"/>
              </w:rPr>
            </w:pPr>
          </w:p>
        </w:tc>
        <w:tc>
          <w:tcPr>
            <w:tcW w:w="2976" w:type="dxa"/>
            <w:vMerge w:val="continue"/>
            <w:vAlign w:val="center"/>
          </w:tcPr>
          <w:p>
            <w:pPr>
              <w:spacing w:line="300" w:lineRule="exact"/>
              <w:jc w:val="left"/>
              <w:rPr>
                <w:rFonts w:ascii="仿宋" w:hAnsi="仿宋" w:eastAsia="仿宋"/>
              </w:rPr>
            </w:pPr>
          </w:p>
        </w:tc>
        <w:tc>
          <w:tcPr>
            <w:tcW w:w="1417" w:type="dxa"/>
            <w:vAlign w:val="center"/>
          </w:tcPr>
          <w:p>
            <w:pPr>
              <w:spacing w:line="300" w:lineRule="exact"/>
              <w:jc w:val="left"/>
              <w:rPr>
                <w:rFonts w:ascii="仿宋" w:hAnsi="仿宋" w:eastAsia="仿宋"/>
              </w:rPr>
            </w:pPr>
            <w:r>
              <w:rPr>
                <w:rFonts w:hint="eastAsia" w:ascii="仿宋" w:hAnsi="仿宋" w:eastAsia="仿宋"/>
              </w:rPr>
              <w:t>思想教育活动完成率</w:t>
            </w:r>
          </w:p>
        </w:tc>
        <w:tc>
          <w:tcPr>
            <w:tcW w:w="737" w:type="dxa"/>
            <w:vAlign w:val="center"/>
          </w:tcPr>
          <w:p>
            <w:pPr>
              <w:spacing w:line="300" w:lineRule="exact"/>
              <w:jc w:val="center"/>
              <w:rPr>
                <w:rFonts w:ascii="仿宋" w:hAnsi="仿宋" w:eastAsia="仿宋"/>
              </w:rPr>
            </w:pPr>
            <w:r>
              <w:rPr>
                <w:rFonts w:ascii="仿宋" w:hAnsi="仿宋" w:eastAsia="仿宋"/>
              </w:rPr>
              <w:t>100%</w:t>
            </w:r>
          </w:p>
        </w:tc>
        <w:tc>
          <w:tcPr>
            <w:tcW w:w="73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73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737" w:type="dxa"/>
            <w:vAlign w:val="center"/>
          </w:tcPr>
          <w:p>
            <w:pPr>
              <w:spacing w:line="300" w:lineRule="exact"/>
              <w:jc w:val="center"/>
              <w:rPr>
                <w:rFonts w:ascii="仿宋" w:hAnsi="仿宋" w:eastAsia="仿宋"/>
              </w:rPr>
            </w:pPr>
            <w:r>
              <w:rPr>
                <w:rFonts w:ascii="仿宋" w:hAnsi="仿宋" w:eastAsia="仿宋"/>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b/>
              </w:rPr>
            </w:pPr>
            <w:r>
              <w:rPr>
                <w:rFonts w:hint="eastAsia" w:ascii="仿宋" w:hAnsi="仿宋" w:eastAsia="仿宋"/>
                <w:b/>
              </w:rPr>
              <w:t>　　</w:t>
            </w:r>
            <w:r>
              <w:rPr>
                <w:rFonts w:ascii="仿宋" w:hAnsi="仿宋" w:eastAsia="仿宋"/>
                <w:b/>
              </w:rPr>
              <w:t>2</w:t>
            </w:r>
            <w:r>
              <w:rPr>
                <w:rFonts w:hint="eastAsia" w:ascii="仿宋" w:hAnsi="仿宋" w:eastAsia="仿宋"/>
                <w:b/>
              </w:rPr>
              <w:t>、组织建设</w:t>
            </w:r>
          </w:p>
        </w:tc>
        <w:tc>
          <w:tcPr>
            <w:tcW w:w="1276" w:type="dxa"/>
            <w:vMerge w:val="restart"/>
            <w:vAlign w:val="center"/>
          </w:tcPr>
          <w:p>
            <w:pPr>
              <w:spacing w:line="300" w:lineRule="exact"/>
              <w:jc w:val="left"/>
              <w:rPr>
                <w:rFonts w:hint="eastAsia" w:ascii="仿宋" w:hAnsi="仿宋" w:eastAsia="仿宋"/>
                <w:lang w:val="en-US" w:eastAsia="zh-CN"/>
              </w:rPr>
            </w:pPr>
            <w:r>
              <w:rPr>
                <w:rFonts w:hint="eastAsia" w:ascii="仿宋" w:hAnsi="仿宋" w:eastAsia="仿宋"/>
                <w:lang w:val="en-US" w:eastAsia="zh-CN"/>
              </w:rPr>
              <w:t>2.7</w:t>
            </w:r>
          </w:p>
        </w:tc>
        <w:tc>
          <w:tcPr>
            <w:tcW w:w="2976" w:type="dxa"/>
            <w:vMerge w:val="restart"/>
            <w:vAlign w:val="center"/>
          </w:tcPr>
          <w:p>
            <w:pPr>
              <w:spacing w:line="300" w:lineRule="exact"/>
              <w:jc w:val="left"/>
              <w:rPr>
                <w:rFonts w:ascii="仿宋" w:hAnsi="仿宋" w:eastAsia="仿宋"/>
              </w:rPr>
            </w:pPr>
            <w:r>
              <w:rPr>
                <w:rFonts w:hint="eastAsia" w:ascii="仿宋" w:hAnsi="仿宋" w:eastAsia="仿宋"/>
              </w:rPr>
              <w:t>指导县直机关认真落实《中国共产党章程》，加强基层党组织建设，严格组织生活制度，丰富党建活动内容，做好党员发展、教育、管理、服务和党务干部的教育培训工作，充分发挥党组织的战斗堡垒作用和党员的先锋模范作用。</w:t>
            </w:r>
          </w:p>
        </w:tc>
        <w:tc>
          <w:tcPr>
            <w:tcW w:w="2976" w:type="dxa"/>
            <w:vMerge w:val="restart"/>
            <w:vAlign w:val="center"/>
          </w:tcPr>
          <w:p>
            <w:pPr>
              <w:spacing w:line="300" w:lineRule="exact"/>
              <w:jc w:val="left"/>
              <w:rPr>
                <w:rFonts w:ascii="仿宋" w:hAnsi="仿宋" w:eastAsia="仿宋"/>
              </w:rPr>
            </w:pPr>
            <w:r>
              <w:rPr>
                <w:rFonts w:hint="eastAsia" w:ascii="仿宋" w:hAnsi="仿宋" w:eastAsia="仿宋"/>
              </w:rPr>
              <w:t>党组织、党员作用突出。</w:t>
            </w:r>
          </w:p>
        </w:tc>
        <w:tc>
          <w:tcPr>
            <w:tcW w:w="1417" w:type="dxa"/>
            <w:vAlign w:val="center"/>
          </w:tcPr>
          <w:p>
            <w:pPr>
              <w:spacing w:line="300" w:lineRule="exact"/>
              <w:jc w:val="left"/>
              <w:rPr>
                <w:rFonts w:ascii="仿宋" w:hAnsi="仿宋" w:eastAsia="仿宋"/>
              </w:rPr>
            </w:pPr>
            <w:r>
              <w:rPr>
                <w:rFonts w:hint="eastAsia" w:ascii="仿宋" w:hAnsi="仿宋" w:eastAsia="仿宋"/>
              </w:rPr>
              <w:t>党务干部党务工作考核优秀率</w:t>
            </w:r>
          </w:p>
        </w:tc>
        <w:tc>
          <w:tcPr>
            <w:tcW w:w="73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73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73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737" w:type="dxa"/>
            <w:vAlign w:val="center"/>
          </w:tcPr>
          <w:p>
            <w:pPr>
              <w:spacing w:line="300" w:lineRule="exact"/>
              <w:jc w:val="center"/>
              <w:rPr>
                <w:rFonts w:ascii="仿宋" w:hAnsi="仿宋" w:eastAsia="仿宋"/>
              </w:rPr>
            </w:pPr>
            <w:r>
              <w:rPr>
                <w:rFonts w:ascii="仿宋" w:hAnsi="仿宋" w:eastAsia="仿宋"/>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b/>
              </w:rPr>
            </w:pPr>
          </w:p>
        </w:tc>
        <w:tc>
          <w:tcPr>
            <w:tcW w:w="1276" w:type="dxa"/>
            <w:vMerge w:val="continue"/>
            <w:vAlign w:val="center"/>
          </w:tcPr>
          <w:p>
            <w:pPr>
              <w:spacing w:line="300" w:lineRule="exact"/>
              <w:jc w:val="left"/>
              <w:rPr>
                <w:rFonts w:ascii="仿宋" w:hAnsi="仿宋" w:eastAsia="仿宋"/>
              </w:rPr>
            </w:pPr>
          </w:p>
        </w:tc>
        <w:tc>
          <w:tcPr>
            <w:tcW w:w="2976" w:type="dxa"/>
            <w:vMerge w:val="continue"/>
            <w:vAlign w:val="center"/>
          </w:tcPr>
          <w:p>
            <w:pPr>
              <w:spacing w:line="300" w:lineRule="exact"/>
              <w:jc w:val="left"/>
              <w:rPr>
                <w:rFonts w:ascii="仿宋" w:hAnsi="仿宋" w:eastAsia="仿宋"/>
              </w:rPr>
            </w:pPr>
          </w:p>
        </w:tc>
        <w:tc>
          <w:tcPr>
            <w:tcW w:w="2976" w:type="dxa"/>
            <w:vMerge w:val="continue"/>
            <w:vAlign w:val="center"/>
          </w:tcPr>
          <w:p>
            <w:pPr>
              <w:spacing w:line="300" w:lineRule="exact"/>
              <w:jc w:val="left"/>
              <w:rPr>
                <w:rFonts w:ascii="仿宋" w:hAnsi="仿宋" w:eastAsia="仿宋"/>
              </w:rPr>
            </w:pPr>
          </w:p>
        </w:tc>
        <w:tc>
          <w:tcPr>
            <w:tcW w:w="1417" w:type="dxa"/>
            <w:vAlign w:val="center"/>
          </w:tcPr>
          <w:p>
            <w:pPr>
              <w:spacing w:line="300" w:lineRule="exact"/>
              <w:jc w:val="left"/>
              <w:rPr>
                <w:rFonts w:ascii="仿宋" w:hAnsi="仿宋" w:eastAsia="仿宋"/>
              </w:rPr>
            </w:pPr>
            <w:r>
              <w:rPr>
                <w:rFonts w:hint="eastAsia" w:ascii="仿宋" w:hAnsi="仿宋" w:eastAsia="仿宋"/>
              </w:rPr>
              <w:t>基层党组织建设工作完成率</w:t>
            </w:r>
          </w:p>
        </w:tc>
        <w:tc>
          <w:tcPr>
            <w:tcW w:w="737" w:type="dxa"/>
            <w:vAlign w:val="center"/>
          </w:tcPr>
          <w:p>
            <w:pPr>
              <w:spacing w:line="300" w:lineRule="exact"/>
              <w:jc w:val="center"/>
              <w:rPr>
                <w:rFonts w:ascii="仿宋" w:hAnsi="仿宋" w:eastAsia="仿宋"/>
              </w:rPr>
            </w:pPr>
            <w:r>
              <w:rPr>
                <w:rFonts w:ascii="仿宋" w:hAnsi="仿宋" w:eastAsia="仿宋"/>
              </w:rPr>
              <w:t>100%</w:t>
            </w:r>
          </w:p>
        </w:tc>
        <w:tc>
          <w:tcPr>
            <w:tcW w:w="73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95%</w:t>
            </w:r>
          </w:p>
        </w:tc>
        <w:tc>
          <w:tcPr>
            <w:tcW w:w="73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737" w:type="dxa"/>
            <w:vAlign w:val="center"/>
          </w:tcPr>
          <w:p>
            <w:pPr>
              <w:spacing w:line="300" w:lineRule="exact"/>
              <w:jc w:val="center"/>
              <w:rPr>
                <w:rFonts w:ascii="仿宋" w:hAnsi="仿宋" w:eastAsia="仿宋"/>
              </w:rPr>
            </w:pPr>
            <w:r>
              <w:rPr>
                <w:rFonts w:ascii="仿宋" w:hAnsi="仿宋" w:eastAsia="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b/>
              </w:rPr>
            </w:pPr>
            <w:r>
              <w:rPr>
                <w:rFonts w:hint="eastAsia" w:ascii="仿宋" w:hAnsi="仿宋" w:eastAsia="仿宋"/>
                <w:b/>
              </w:rPr>
              <w:t>二、工委事务管理</w:t>
            </w:r>
          </w:p>
        </w:tc>
        <w:tc>
          <w:tcPr>
            <w:tcW w:w="1276" w:type="dxa"/>
            <w:vAlign w:val="center"/>
          </w:tcPr>
          <w:p>
            <w:pPr>
              <w:spacing w:line="300" w:lineRule="exact"/>
              <w:jc w:val="left"/>
              <w:rPr>
                <w:rFonts w:ascii="仿宋" w:hAnsi="仿宋" w:eastAsia="仿宋"/>
              </w:rPr>
            </w:pPr>
            <w:r>
              <w:rPr>
                <w:rFonts w:ascii="仿宋" w:hAnsi="仿宋" w:eastAsia="仿宋"/>
              </w:rPr>
              <w:t>4.00</w:t>
            </w:r>
          </w:p>
        </w:tc>
        <w:tc>
          <w:tcPr>
            <w:tcW w:w="2976" w:type="dxa"/>
            <w:vAlign w:val="center"/>
          </w:tcPr>
          <w:p>
            <w:pPr>
              <w:spacing w:line="300" w:lineRule="exact"/>
              <w:jc w:val="left"/>
              <w:rPr>
                <w:rFonts w:ascii="仿宋" w:hAnsi="仿宋" w:eastAsia="仿宋"/>
              </w:rPr>
            </w:pPr>
            <w:r>
              <w:rPr>
                <w:rFonts w:hint="eastAsia" w:ascii="仿宋" w:hAnsi="仿宋" w:eastAsia="仿宋"/>
              </w:rPr>
              <w:t>完成好县直机关党委、机关党建网络建设、调研交流工作以及县直机关文化活动开展、反邪教和老龄工作。</w:t>
            </w:r>
          </w:p>
        </w:tc>
        <w:tc>
          <w:tcPr>
            <w:tcW w:w="2976" w:type="dxa"/>
            <w:vAlign w:val="center"/>
          </w:tcPr>
          <w:p>
            <w:pPr>
              <w:spacing w:line="300" w:lineRule="exact"/>
              <w:jc w:val="left"/>
              <w:rPr>
                <w:rFonts w:ascii="仿宋" w:hAnsi="仿宋" w:eastAsia="仿宋"/>
              </w:rPr>
            </w:pPr>
            <w:r>
              <w:rPr>
                <w:rFonts w:hint="eastAsia" w:ascii="仿宋" w:hAnsi="仿宋" w:eastAsia="仿宋"/>
              </w:rPr>
              <w:t>各项工作全部落实</w:t>
            </w:r>
          </w:p>
        </w:tc>
        <w:tc>
          <w:tcPr>
            <w:tcW w:w="1417" w:type="dxa"/>
            <w:vAlign w:val="center"/>
          </w:tcPr>
          <w:p>
            <w:pPr>
              <w:spacing w:line="300" w:lineRule="exact"/>
              <w:jc w:val="left"/>
              <w:rPr>
                <w:rFonts w:ascii="仿宋" w:hAnsi="仿宋" w:eastAsia="仿宋"/>
              </w:rPr>
            </w:pPr>
          </w:p>
        </w:tc>
        <w:tc>
          <w:tcPr>
            <w:tcW w:w="737" w:type="dxa"/>
            <w:vAlign w:val="center"/>
          </w:tcPr>
          <w:p>
            <w:pPr>
              <w:spacing w:line="300" w:lineRule="exact"/>
              <w:jc w:val="center"/>
              <w:rPr>
                <w:rFonts w:ascii="仿宋" w:hAnsi="仿宋" w:eastAsia="仿宋"/>
              </w:rPr>
            </w:pPr>
          </w:p>
        </w:tc>
        <w:tc>
          <w:tcPr>
            <w:tcW w:w="737" w:type="dxa"/>
            <w:vAlign w:val="center"/>
          </w:tcPr>
          <w:p>
            <w:pPr>
              <w:spacing w:line="300" w:lineRule="exact"/>
              <w:jc w:val="center"/>
              <w:rPr>
                <w:rFonts w:ascii="仿宋" w:hAnsi="仿宋" w:eastAsia="仿宋"/>
              </w:rPr>
            </w:pPr>
          </w:p>
        </w:tc>
        <w:tc>
          <w:tcPr>
            <w:tcW w:w="737" w:type="dxa"/>
            <w:vAlign w:val="center"/>
          </w:tcPr>
          <w:p>
            <w:pPr>
              <w:spacing w:line="300" w:lineRule="exact"/>
              <w:jc w:val="center"/>
              <w:rPr>
                <w:rFonts w:ascii="仿宋" w:hAnsi="仿宋" w:eastAsia="仿宋"/>
              </w:rPr>
            </w:pPr>
          </w:p>
        </w:tc>
        <w:tc>
          <w:tcPr>
            <w:tcW w:w="737" w:type="dxa"/>
            <w:vAlign w:val="center"/>
          </w:tcPr>
          <w:p>
            <w:pPr>
              <w:spacing w:line="300" w:lineRule="exact"/>
              <w:jc w:val="center"/>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b/>
              </w:rPr>
            </w:pPr>
            <w:r>
              <w:rPr>
                <w:rFonts w:hint="eastAsia" w:ascii="仿宋" w:hAnsi="仿宋" w:eastAsia="仿宋"/>
                <w:b/>
              </w:rPr>
              <w:t>　　</w:t>
            </w:r>
            <w:r>
              <w:rPr>
                <w:rFonts w:ascii="仿宋" w:hAnsi="仿宋" w:eastAsia="仿宋"/>
                <w:b/>
              </w:rPr>
              <w:t>1</w:t>
            </w:r>
            <w:r>
              <w:rPr>
                <w:rFonts w:hint="eastAsia" w:ascii="仿宋" w:hAnsi="仿宋" w:eastAsia="仿宋"/>
                <w:b/>
              </w:rPr>
              <w:t>、综合业务管理</w:t>
            </w:r>
          </w:p>
        </w:tc>
        <w:tc>
          <w:tcPr>
            <w:tcW w:w="1276" w:type="dxa"/>
            <w:vAlign w:val="center"/>
          </w:tcPr>
          <w:p>
            <w:pPr>
              <w:spacing w:line="300" w:lineRule="exact"/>
              <w:jc w:val="left"/>
              <w:rPr>
                <w:rFonts w:ascii="仿宋" w:hAnsi="仿宋" w:eastAsia="仿宋"/>
              </w:rPr>
            </w:pPr>
            <w:r>
              <w:rPr>
                <w:rFonts w:ascii="仿宋" w:hAnsi="仿宋" w:eastAsia="仿宋"/>
              </w:rPr>
              <w:t>4.00</w:t>
            </w:r>
          </w:p>
        </w:tc>
        <w:tc>
          <w:tcPr>
            <w:tcW w:w="2976" w:type="dxa"/>
            <w:vAlign w:val="center"/>
          </w:tcPr>
          <w:p>
            <w:pPr>
              <w:spacing w:line="300" w:lineRule="exact"/>
              <w:jc w:val="left"/>
              <w:rPr>
                <w:rFonts w:ascii="仿宋" w:hAnsi="仿宋" w:eastAsia="仿宋"/>
              </w:rPr>
            </w:pPr>
            <w:r>
              <w:rPr>
                <w:rFonts w:hint="eastAsia" w:ascii="仿宋" w:hAnsi="仿宋" w:eastAsia="仿宋"/>
              </w:rPr>
              <w:t>做好县直机关党委和纪委负责人任免、考核、培训工作；活跃县直机关文化生活，建好机关党建工作信息平台，加强全县机关党建工作调研交流，做好县直反邪教、维稳和老龄协调工作。</w:t>
            </w:r>
          </w:p>
        </w:tc>
        <w:tc>
          <w:tcPr>
            <w:tcW w:w="2976" w:type="dxa"/>
            <w:vAlign w:val="center"/>
          </w:tcPr>
          <w:p>
            <w:pPr>
              <w:spacing w:line="300" w:lineRule="exact"/>
              <w:jc w:val="left"/>
              <w:rPr>
                <w:rFonts w:ascii="仿宋" w:hAnsi="仿宋" w:eastAsia="仿宋"/>
              </w:rPr>
            </w:pPr>
            <w:r>
              <w:rPr>
                <w:rFonts w:hint="eastAsia" w:ascii="仿宋" w:hAnsi="仿宋" w:eastAsia="仿宋"/>
              </w:rPr>
              <w:t>各项工作全部落实。</w:t>
            </w:r>
          </w:p>
        </w:tc>
        <w:tc>
          <w:tcPr>
            <w:tcW w:w="1417" w:type="dxa"/>
            <w:vAlign w:val="center"/>
          </w:tcPr>
          <w:p>
            <w:pPr>
              <w:spacing w:line="300" w:lineRule="exact"/>
              <w:jc w:val="left"/>
              <w:rPr>
                <w:rFonts w:ascii="仿宋" w:hAnsi="仿宋" w:eastAsia="仿宋"/>
              </w:rPr>
            </w:pPr>
            <w:r>
              <w:rPr>
                <w:rFonts w:hint="eastAsia" w:ascii="仿宋" w:hAnsi="仿宋" w:eastAsia="仿宋"/>
              </w:rPr>
              <w:t>综合业务工作完成率</w:t>
            </w:r>
          </w:p>
        </w:tc>
        <w:tc>
          <w:tcPr>
            <w:tcW w:w="737" w:type="dxa"/>
            <w:vAlign w:val="center"/>
          </w:tcPr>
          <w:p>
            <w:pPr>
              <w:spacing w:line="300" w:lineRule="exact"/>
              <w:jc w:val="center"/>
              <w:rPr>
                <w:rFonts w:ascii="仿宋" w:hAnsi="仿宋" w:eastAsia="仿宋"/>
              </w:rPr>
            </w:pPr>
            <w:r>
              <w:rPr>
                <w:rFonts w:ascii="仿宋" w:hAnsi="仿宋" w:eastAsia="仿宋"/>
              </w:rPr>
              <w:t>100%</w:t>
            </w:r>
          </w:p>
        </w:tc>
        <w:tc>
          <w:tcPr>
            <w:tcW w:w="73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95%</w:t>
            </w:r>
          </w:p>
        </w:tc>
        <w:tc>
          <w:tcPr>
            <w:tcW w:w="73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737" w:type="dxa"/>
            <w:vAlign w:val="center"/>
          </w:tcPr>
          <w:p>
            <w:pPr>
              <w:spacing w:line="300" w:lineRule="exact"/>
              <w:jc w:val="center"/>
              <w:rPr>
                <w:rFonts w:ascii="仿宋" w:hAnsi="仿宋" w:eastAsia="仿宋"/>
              </w:rPr>
            </w:pPr>
            <w:r>
              <w:rPr>
                <w:rFonts w:ascii="仿宋" w:hAnsi="仿宋" w:eastAsia="仿宋"/>
              </w:rPr>
              <w:t>&lt;90%</w:t>
            </w:r>
          </w:p>
        </w:tc>
      </w:tr>
    </w:tbl>
    <w:p>
      <w:pPr>
        <w:spacing w:line="584" w:lineRule="exact"/>
        <w:jc w:val="left"/>
        <w:outlineLvl w:val="0"/>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仿宋_GB2312" w:cs="Times New Roman"/>
        </w:rPr>
      </w:pPr>
      <w:r>
        <w:rPr>
          <w:rFonts w:hint="eastAsia" w:ascii="Times New Roman" w:hAnsi="黑体" w:eastAsia="黑体" w:cs="Times New Roman"/>
          <w:sz w:val="32"/>
          <w:szCs w:val="32"/>
          <w:lang w:eastAsia="zh-CN"/>
        </w:rPr>
        <w:t>六、</w:t>
      </w:r>
      <w:r>
        <w:rPr>
          <w:rFonts w:ascii="Times New Roman" w:hAnsi="黑体" w:eastAsia="黑体" w:cs="Times New Roman"/>
          <w:sz w:val="32"/>
          <w:szCs w:val="32"/>
        </w:rPr>
        <w:t>政府采购预算情况</w:t>
      </w:r>
    </w:p>
    <w:p>
      <w:pPr>
        <w:spacing w:line="584" w:lineRule="exact"/>
        <w:jc w:val="left"/>
        <w:outlineLvl w:val="0"/>
        <w:rPr>
          <w:rFonts w:hint="eastAsia" w:ascii="Times New Roman" w:hAnsi="Times New Roman" w:eastAsia="仿宋" w:cs="Times New Roman"/>
          <w:lang w:eastAsia="zh-CN"/>
        </w:rPr>
        <w:sectPr>
          <w:footerReference r:id="rId3" w:type="default"/>
          <w:pgSz w:w="16839" w:h="11907" w:orient="landscape"/>
          <w:pgMar w:top="1361" w:right="1020" w:bottom="1361" w:left="1020" w:header="851" w:footer="992" w:gutter="0"/>
          <w:cols w:space="425" w:num="1"/>
          <w:docGrid w:type="lines" w:linePitch="312" w:charSpace="0"/>
        </w:sectPr>
      </w:pPr>
      <w:r>
        <w:rPr>
          <w:rFonts w:ascii="仿宋_GB2312" w:hAnsi="仿宋_GB2312" w:eastAsia="仿宋_GB2312" w:cs="仿宋_GB2312"/>
          <w:sz w:val="32"/>
          <w:szCs w:val="24"/>
        </w:rPr>
        <w:t xml:space="preserve"> </w:t>
      </w:r>
      <w:r>
        <w:rPr>
          <w:rFonts w:ascii="仿宋" w:hAnsi="仿宋" w:eastAsia="仿宋" w:cs="仿宋_GB2312"/>
          <w:sz w:val="32"/>
          <w:szCs w:val="24"/>
        </w:rPr>
        <w:t xml:space="preserve"> 201</w:t>
      </w:r>
      <w:r>
        <w:rPr>
          <w:rFonts w:hint="eastAsia" w:ascii="仿宋" w:hAnsi="仿宋" w:eastAsia="仿宋" w:cs="仿宋_GB2312"/>
          <w:sz w:val="32"/>
          <w:szCs w:val="24"/>
          <w:lang w:val="en-US" w:eastAsia="zh-CN"/>
        </w:rPr>
        <w:t>9</w:t>
      </w:r>
      <w:r>
        <w:rPr>
          <w:rFonts w:hint="eastAsia" w:ascii="仿宋" w:hAnsi="仿宋" w:eastAsia="仿宋" w:cs="仿宋_GB2312"/>
          <w:sz w:val="32"/>
          <w:szCs w:val="24"/>
        </w:rPr>
        <w:t>年，我部门无政府采购</w:t>
      </w:r>
      <w:r>
        <w:rPr>
          <w:rFonts w:hint="eastAsia" w:ascii="仿宋" w:hAnsi="仿宋" w:eastAsia="仿宋" w:cs="仿宋_GB2312"/>
          <w:sz w:val="32"/>
          <w:szCs w:val="24"/>
          <w:lang w:eastAsia="zh-CN"/>
        </w:rPr>
        <w:t>预算。</w:t>
      </w:r>
    </w:p>
    <w:p>
      <w:pPr>
        <w:autoSpaceDE w:val="0"/>
        <w:autoSpaceDN w:val="0"/>
        <w:adjustRightInd w:val="0"/>
        <w:spacing w:line="584" w:lineRule="exact"/>
        <w:jc w:val="left"/>
        <w:rPr>
          <w:rFonts w:ascii="Times New Roman" w:hAnsi="Times New Roman" w:eastAsia="黑体" w:cs="Times New Roman"/>
          <w:sz w:val="32"/>
          <w:szCs w:val="32"/>
        </w:rPr>
      </w:pPr>
      <w:r>
        <w:rPr>
          <w:rFonts w:hint="eastAsia" w:ascii="Times New Roman" w:hAnsi="黑体" w:eastAsia="黑体" w:cs="Times New Roman"/>
          <w:sz w:val="32"/>
          <w:szCs w:val="32"/>
          <w:lang w:eastAsia="zh-CN"/>
        </w:rPr>
        <w:t>七、</w:t>
      </w:r>
      <w:r>
        <w:rPr>
          <w:rFonts w:ascii="Times New Roman" w:hAnsi="黑体" w:eastAsia="黑体" w:cs="Times New Roman"/>
          <w:sz w:val="32"/>
          <w:szCs w:val="32"/>
        </w:rPr>
        <w:t>国有资产信息</w:t>
      </w:r>
    </w:p>
    <w:p>
      <w:pPr>
        <w:ind w:firstLine="640"/>
        <w:rPr>
          <w:rFonts w:ascii="仿宋" w:hAnsi="仿宋" w:eastAsia="仿宋"/>
          <w:sz w:val="32"/>
          <w:szCs w:val="32"/>
        </w:rPr>
      </w:pPr>
      <w:r>
        <w:rPr>
          <w:rFonts w:hint="eastAsia" w:ascii="仿宋" w:hAnsi="仿宋" w:eastAsia="仿宋"/>
          <w:sz w:val="32"/>
          <w:szCs w:val="32"/>
        </w:rPr>
        <w:t>大城县直工委上年末固定资产金额为</w:t>
      </w:r>
      <w:r>
        <w:rPr>
          <w:rFonts w:hint="eastAsia" w:ascii="仿宋" w:hAnsi="仿宋" w:eastAsia="仿宋" w:cs="仿宋_GB2312"/>
          <w:kern w:val="0"/>
          <w:sz w:val="32"/>
          <w:szCs w:val="32"/>
          <w:lang w:val="en-US" w:eastAsia="zh-CN"/>
        </w:rPr>
        <w:t>8.25</w:t>
      </w:r>
      <w:r>
        <w:rPr>
          <w:rFonts w:hint="eastAsia" w:ascii="仿宋" w:hAnsi="仿宋" w:eastAsia="仿宋"/>
          <w:sz w:val="32"/>
          <w:szCs w:val="32"/>
        </w:rPr>
        <w:t>万元，本年度未安排购置固定资产。详见下表。</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仿宋" w:hAnsi="仿宋" w:eastAsia="仿宋" w:cs="宋体"/>
                <w:b/>
                <w:bCs/>
                <w:kern w:val="0"/>
                <w:sz w:val="32"/>
                <w:szCs w:val="32"/>
              </w:rPr>
            </w:pPr>
            <w:r>
              <w:rPr>
                <w:rFonts w:hint="eastAsia" w:ascii="仿宋" w:hAnsi="仿宋" w:eastAsia="仿宋" w:cs="宋体"/>
                <w:b/>
                <w:bCs/>
                <w:kern w:val="0"/>
                <w:sz w:val="32"/>
                <w:szCs w:val="32"/>
              </w:rPr>
              <w:t>大城县直工委固定资产占用情况表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仿宋" w:hAnsi="仿宋" w:eastAsia="仿宋" w:cs="宋体"/>
                <w:kern w:val="0"/>
                <w:sz w:val="22"/>
              </w:rPr>
            </w:pPr>
            <w:r>
              <w:rPr>
                <w:rFonts w:hint="eastAsia" w:ascii="仿宋" w:hAnsi="仿宋" w:eastAsia="仿宋" w:cs="宋体"/>
                <w:kern w:val="0"/>
                <w:sz w:val="22"/>
              </w:rPr>
              <w:t>编制部门：大城县直工委</w:t>
            </w:r>
          </w:p>
        </w:tc>
        <w:tc>
          <w:tcPr>
            <w:tcW w:w="5103" w:type="dxa"/>
            <w:tcBorders>
              <w:top w:val="nil"/>
              <w:left w:val="nil"/>
              <w:bottom w:val="nil"/>
              <w:right w:val="nil"/>
            </w:tcBorders>
            <w:vAlign w:val="center"/>
          </w:tcPr>
          <w:p>
            <w:pPr>
              <w:widowControl/>
              <w:jc w:val="left"/>
              <w:rPr>
                <w:rFonts w:ascii="仿宋" w:hAnsi="仿宋" w:eastAsia="仿宋" w:cs="宋体"/>
                <w:kern w:val="0"/>
                <w:sz w:val="22"/>
              </w:rPr>
            </w:pPr>
            <w:r>
              <w:rPr>
                <w:rFonts w:hint="eastAsia" w:ascii="仿宋" w:hAnsi="仿宋" w:eastAsia="仿宋" w:cs="宋体"/>
                <w:kern w:val="0"/>
                <w:sz w:val="22"/>
              </w:rPr>
              <w:t>截止时间：</w:t>
            </w:r>
            <w:r>
              <w:rPr>
                <w:rFonts w:ascii="仿宋" w:hAnsi="仿宋" w:eastAsia="仿宋" w:cs="宋体"/>
                <w:kern w:val="0"/>
                <w:sz w:val="22"/>
              </w:rPr>
              <w:t>201</w:t>
            </w:r>
            <w:r>
              <w:rPr>
                <w:rFonts w:hint="eastAsia" w:ascii="仿宋" w:hAnsi="仿宋" w:eastAsia="仿宋" w:cs="宋体"/>
                <w:kern w:val="0"/>
                <w:sz w:val="22"/>
                <w:lang w:val="en-US" w:eastAsia="zh-CN"/>
              </w:rPr>
              <w:t>8</w:t>
            </w:r>
            <w:r>
              <w:rPr>
                <w:rFonts w:hint="eastAsia" w:ascii="仿宋" w:hAnsi="仿宋" w:eastAsia="仿宋" w:cs="宋体"/>
                <w:kern w:val="0"/>
                <w:sz w:val="22"/>
              </w:rPr>
              <w:t>年</w:t>
            </w:r>
            <w:r>
              <w:rPr>
                <w:rFonts w:ascii="仿宋" w:hAnsi="仿宋" w:eastAsia="仿宋" w:cs="宋体"/>
                <w:kern w:val="0"/>
                <w:sz w:val="22"/>
              </w:rPr>
              <w:t>12</w:t>
            </w:r>
            <w:r>
              <w:rPr>
                <w:rFonts w:hint="eastAsia" w:ascii="仿宋" w:hAnsi="仿宋" w:eastAsia="仿宋" w:cs="宋体"/>
                <w:kern w:val="0"/>
                <w:sz w:val="22"/>
              </w:rPr>
              <w:t>月</w:t>
            </w:r>
            <w:r>
              <w:rPr>
                <w:rFonts w:ascii="仿宋" w:hAnsi="仿宋" w:eastAsia="仿宋" w:cs="宋体"/>
                <w:kern w:val="0"/>
                <w:sz w:val="22"/>
              </w:rPr>
              <w:t>31</w:t>
            </w:r>
            <w:r>
              <w:rPr>
                <w:rFonts w:hint="eastAsia" w:ascii="仿宋" w:hAnsi="仿宋" w:eastAsia="仿宋" w:cs="宋体"/>
                <w:kern w:val="0"/>
                <w:sz w:val="22"/>
              </w:rPr>
              <w:t>日</w:t>
            </w:r>
            <w:r>
              <w:rPr>
                <w:rFonts w:ascii="仿宋" w:hAnsi="仿宋" w:eastAsia="仿宋" w:cs="宋体"/>
                <w:kern w:val="0"/>
                <w:sz w:val="22"/>
              </w:rPr>
              <w:t xml:space="preserve">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2"/>
              </w:rPr>
            </w:pPr>
            <w:r>
              <w:rPr>
                <w:rFonts w:hint="eastAsia" w:ascii="仿宋" w:hAnsi="仿宋" w:eastAsia="仿宋" w:cs="宋体"/>
                <w:b/>
                <w:bCs/>
                <w:kern w:val="0"/>
                <w:sz w:val="22"/>
              </w:rPr>
              <w:t>项</w:t>
            </w:r>
            <w:r>
              <w:rPr>
                <w:rFonts w:ascii="仿宋" w:hAnsi="仿宋" w:eastAsia="仿宋" w:cs="宋体"/>
                <w:b/>
                <w:bCs/>
                <w:kern w:val="0"/>
                <w:sz w:val="22"/>
              </w:rPr>
              <w:t xml:space="preserve">   </w:t>
            </w:r>
            <w:r>
              <w:rPr>
                <w:rFonts w:hint="eastAsia" w:ascii="仿宋" w:hAnsi="仿宋" w:eastAsia="仿宋" w:cs="宋体"/>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2"/>
              </w:rPr>
            </w:pPr>
            <w:r>
              <w:rPr>
                <w:rFonts w:hint="eastAsia" w:ascii="仿宋" w:hAnsi="仿宋" w:eastAsia="仿宋"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2"/>
              </w:rPr>
            </w:pPr>
            <w:r>
              <w:rPr>
                <w:rFonts w:hint="eastAsia" w:ascii="仿宋" w:hAnsi="仿宋" w:eastAsia="仿宋"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2"/>
              </w:rPr>
            </w:pPr>
            <w:r>
              <w:rPr>
                <w:rFonts w:hint="eastAsia" w:ascii="仿宋" w:hAnsi="仿宋" w:eastAsia="仿宋"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rPr>
            </w:pPr>
            <w:r>
              <w:rPr>
                <w:rFonts w:ascii="仿宋" w:hAnsi="仿宋" w:eastAsia="仿宋"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22"/>
                <w:lang w:val="en-US" w:eastAsia="zh-CN"/>
              </w:rPr>
            </w:pPr>
            <w:r>
              <w:rPr>
                <w:rFonts w:hint="eastAsia" w:ascii="仿宋" w:hAnsi="仿宋" w:eastAsia="仿宋" w:cs="宋体"/>
                <w:kern w:val="0"/>
                <w:sz w:val="22"/>
                <w:lang w:val="en-US" w:eastAsia="zh-CN"/>
              </w:rPr>
              <w:t>8.25</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rPr>
            </w:pPr>
            <w:r>
              <w:rPr>
                <w:rFonts w:ascii="仿宋" w:hAnsi="仿宋" w:eastAsia="仿宋" w:cs="宋体"/>
                <w:kern w:val="0"/>
                <w:sz w:val="22"/>
              </w:rPr>
              <w:t>1</w:t>
            </w:r>
            <w:r>
              <w:rPr>
                <w:rFonts w:hint="eastAsia" w:ascii="仿宋" w:hAnsi="仿宋" w:eastAsia="仿宋" w:cs="宋体"/>
                <w:kern w:val="0"/>
                <w:sz w:val="22"/>
              </w:rPr>
              <w:t>、房屋（平方米）</w:t>
            </w:r>
          </w:p>
        </w:tc>
        <w:tc>
          <w:tcPr>
            <w:tcW w:w="31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rPr>
            </w:pPr>
            <w:r>
              <w:rPr>
                <w:rFonts w:ascii="仿宋" w:hAnsi="仿宋" w:eastAsia="仿宋" w:cs="宋体"/>
                <w:kern w:val="0"/>
                <w:sz w:val="22"/>
              </w:rPr>
              <w:t xml:space="preserve">   </w:t>
            </w:r>
            <w:r>
              <w:rPr>
                <w:rFonts w:hint="eastAsia" w:ascii="仿宋" w:hAnsi="仿宋" w:eastAsia="仿宋" w:cs="宋体"/>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rPr>
            </w:pPr>
            <w:r>
              <w:rPr>
                <w:rFonts w:ascii="仿宋" w:hAnsi="仿宋" w:eastAsia="仿宋" w:cs="宋体"/>
                <w:kern w:val="0"/>
                <w:sz w:val="22"/>
              </w:rPr>
              <w:t>2</w:t>
            </w:r>
            <w:r>
              <w:rPr>
                <w:rFonts w:hint="eastAsia" w:ascii="仿宋" w:hAnsi="仿宋" w:eastAsia="仿宋" w:cs="宋体"/>
                <w:kern w:val="0"/>
                <w:sz w:val="22"/>
              </w:rPr>
              <w:t>、车辆（台、辆）</w:t>
            </w:r>
          </w:p>
        </w:tc>
        <w:tc>
          <w:tcPr>
            <w:tcW w:w="31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rPr>
            </w:pPr>
            <w:r>
              <w:rPr>
                <w:rFonts w:ascii="仿宋" w:hAnsi="仿宋" w:eastAsia="仿宋" w:cs="宋体"/>
                <w:kern w:val="0"/>
                <w:sz w:val="22"/>
              </w:rPr>
              <w:t>3</w:t>
            </w:r>
            <w:r>
              <w:rPr>
                <w:rFonts w:hint="eastAsia" w:ascii="仿宋" w:hAnsi="仿宋" w:eastAsia="仿宋" w:cs="宋体"/>
                <w:kern w:val="0"/>
                <w:sz w:val="22"/>
              </w:rPr>
              <w:t>、单价在</w:t>
            </w:r>
            <w:r>
              <w:rPr>
                <w:rFonts w:ascii="仿宋" w:hAnsi="仿宋" w:eastAsia="仿宋" w:cs="宋体"/>
                <w:kern w:val="0"/>
                <w:sz w:val="22"/>
              </w:rPr>
              <w:t>50</w:t>
            </w:r>
            <w:r>
              <w:rPr>
                <w:rFonts w:hint="eastAsia" w:ascii="仿宋" w:hAnsi="仿宋" w:eastAsia="仿宋" w:cs="宋体"/>
                <w:kern w:val="0"/>
                <w:sz w:val="2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rPr>
            </w:pPr>
            <w:r>
              <w:rPr>
                <w:rFonts w:ascii="仿宋" w:hAnsi="仿宋" w:eastAsia="仿宋" w:cs="宋体"/>
                <w:kern w:val="0"/>
                <w:sz w:val="22"/>
              </w:rPr>
              <w:t>4</w:t>
            </w:r>
            <w:r>
              <w:rPr>
                <w:rFonts w:hint="eastAsia" w:ascii="仿宋" w:hAnsi="仿宋" w:eastAsia="仿宋" w:cs="宋体"/>
                <w:kern w:val="0"/>
                <w:sz w:val="2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22"/>
                <w:lang w:val="en-US" w:eastAsia="zh-CN"/>
              </w:rPr>
            </w:pPr>
            <w:r>
              <w:rPr>
                <w:rFonts w:hint="eastAsia" w:ascii="仿宋" w:hAnsi="仿宋" w:eastAsia="仿宋" w:cs="仿宋_GB2312"/>
                <w:kern w:val="0"/>
                <w:sz w:val="32"/>
                <w:szCs w:val="32"/>
                <w:lang w:val="en-US" w:eastAsia="zh-CN"/>
              </w:rPr>
              <w:t>8.25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53CC"/>
    <w:rsid w:val="00010564"/>
    <w:rsid w:val="00037AF6"/>
    <w:rsid w:val="000410F2"/>
    <w:rsid w:val="0004565F"/>
    <w:rsid w:val="00072187"/>
    <w:rsid w:val="00075D5F"/>
    <w:rsid w:val="0008180F"/>
    <w:rsid w:val="00093DA3"/>
    <w:rsid w:val="000A125B"/>
    <w:rsid w:val="000B529B"/>
    <w:rsid w:val="000C24E6"/>
    <w:rsid w:val="000C345A"/>
    <w:rsid w:val="000C3A19"/>
    <w:rsid w:val="000E4305"/>
    <w:rsid w:val="000F0D09"/>
    <w:rsid w:val="001245BB"/>
    <w:rsid w:val="001251A3"/>
    <w:rsid w:val="0015229A"/>
    <w:rsid w:val="00160266"/>
    <w:rsid w:val="001643E8"/>
    <w:rsid w:val="00176C13"/>
    <w:rsid w:val="001919C4"/>
    <w:rsid w:val="0019723B"/>
    <w:rsid w:val="001A0943"/>
    <w:rsid w:val="001A5828"/>
    <w:rsid w:val="001B5C1D"/>
    <w:rsid w:val="001D287A"/>
    <w:rsid w:val="001E0757"/>
    <w:rsid w:val="001E6DDC"/>
    <w:rsid w:val="001E70E9"/>
    <w:rsid w:val="001F5C92"/>
    <w:rsid w:val="001F7873"/>
    <w:rsid w:val="00230E48"/>
    <w:rsid w:val="00241FD4"/>
    <w:rsid w:val="00246317"/>
    <w:rsid w:val="00251B12"/>
    <w:rsid w:val="00265318"/>
    <w:rsid w:val="00266BE3"/>
    <w:rsid w:val="002740C2"/>
    <w:rsid w:val="002835D7"/>
    <w:rsid w:val="00290FD6"/>
    <w:rsid w:val="00293364"/>
    <w:rsid w:val="00296113"/>
    <w:rsid w:val="002A673A"/>
    <w:rsid w:val="002C5E13"/>
    <w:rsid w:val="002C62BC"/>
    <w:rsid w:val="002E0449"/>
    <w:rsid w:val="002E0EB8"/>
    <w:rsid w:val="002F3E58"/>
    <w:rsid w:val="0030542C"/>
    <w:rsid w:val="00311B7A"/>
    <w:rsid w:val="003126B6"/>
    <w:rsid w:val="00313D9C"/>
    <w:rsid w:val="00325215"/>
    <w:rsid w:val="0033339C"/>
    <w:rsid w:val="00340B53"/>
    <w:rsid w:val="0035775D"/>
    <w:rsid w:val="0036086E"/>
    <w:rsid w:val="003874EF"/>
    <w:rsid w:val="003B6D37"/>
    <w:rsid w:val="003C7F80"/>
    <w:rsid w:val="00414BD3"/>
    <w:rsid w:val="00424943"/>
    <w:rsid w:val="0042727E"/>
    <w:rsid w:val="0043175C"/>
    <w:rsid w:val="00437296"/>
    <w:rsid w:val="00451590"/>
    <w:rsid w:val="00451871"/>
    <w:rsid w:val="004706DE"/>
    <w:rsid w:val="00472923"/>
    <w:rsid w:val="00486DCD"/>
    <w:rsid w:val="0049120C"/>
    <w:rsid w:val="004B0C3A"/>
    <w:rsid w:val="004C49A8"/>
    <w:rsid w:val="004D5788"/>
    <w:rsid w:val="004E3066"/>
    <w:rsid w:val="004E419C"/>
    <w:rsid w:val="004E74CD"/>
    <w:rsid w:val="004F05E7"/>
    <w:rsid w:val="00524EFD"/>
    <w:rsid w:val="00554F4B"/>
    <w:rsid w:val="00572067"/>
    <w:rsid w:val="00573562"/>
    <w:rsid w:val="00590ECE"/>
    <w:rsid w:val="005B3F56"/>
    <w:rsid w:val="005C0E90"/>
    <w:rsid w:val="005D0C27"/>
    <w:rsid w:val="005D37CA"/>
    <w:rsid w:val="005F5714"/>
    <w:rsid w:val="005F7AE1"/>
    <w:rsid w:val="00600299"/>
    <w:rsid w:val="00611D03"/>
    <w:rsid w:val="00614A29"/>
    <w:rsid w:val="00636109"/>
    <w:rsid w:val="00651BA2"/>
    <w:rsid w:val="00673D76"/>
    <w:rsid w:val="006854F0"/>
    <w:rsid w:val="006B1C4A"/>
    <w:rsid w:val="006B610D"/>
    <w:rsid w:val="006C206A"/>
    <w:rsid w:val="006E49F5"/>
    <w:rsid w:val="007013C8"/>
    <w:rsid w:val="00727C84"/>
    <w:rsid w:val="0074338E"/>
    <w:rsid w:val="00753836"/>
    <w:rsid w:val="0075393C"/>
    <w:rsid w:val="00754592"/>
    <w:rsid w:val="00776C08"/>
    <w:rsid w:val="007928BD"/>
    <w:rsid w:val="007B49AA"/>
    <w:rsid w:val="007C219A"/>
    <w:rsid w:val="007E1DA8"/>
    <w:rsid w:val="007F0BFC"/>
    <w:rsid w:val="007F1335"/>
    <w:rsid w:val="007F6C26"/>
    <w:rsid w:val="00800B4F"/>
    <w:rsid w:val="00800F72"/>
    <w:rsid w:val="00811795"/>
    <w:rsid w:val="00813208"/>
    <w:rsid w:val="00815157"/>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A6576"/>
    <w:rsid w:val="008B3CC5"/>
    <w:rsid w:val="008B52CD"/>
    <w:rsid w:val="008C7C4D"/>
    <w:rsid w:val="008E4261"/>
    <w:rsid w:val="008E70D4"/>
    <w:rsid w:val="008F4662"/>
    <w:rsid w:val="0090563F"/>
    <w:rsid w:val="00905D08"/>
    <w:rsid w:val="00906672"/>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6C86"/>
    <w:rsid w:val="009D37D3"/>
    <w:rsid w:val="00A16E6C"/>
    <w:rsid w:val="00A36F96"/>
    <w:rsid w:val="00A40F60"/>
    <w:rsid w:val="00A44E3D"/>
    <w:rsid w:val="00A539D4"/>
    <w:rsid w:val="00A72D2E"/>
    <w:rsid w:val="00A74447"/>
    <w:rsid w:val="00A74CE5"/>
    <w:rsid w:val="00A77500"/>
    <w:rsid w:val="00A8536F"/>
    <w:rsid w:val="00A911E7"/>
    <w:rsid w:val="00A939D9"/>
    <w:rsid w:val="00AB77AA"/>
    <w:rsid w:val="00AC4748"/>
    <w:rsid w:val="00AD5259"/>
    <w:rsid w:val="00B01D36"/>
    <w:rsid w:val="00B078CD"/>
    <w:rsid w:val="00B20712"/>
    <w:rsid w:val="00B43238"/>
    <w:rsid w:val="00B45DD3"/>
    <w:rsid w:val="00B54B90"/>
    <w:rsid w:val="00B64D40"/>
    <w:rsid w:val="00B64FA8"/>
    <w:rsid w:val="00B73582"/>
    <w:rsid w:val="00B75216"/>
    <w:rsid w:val="00B755A2"/>
    <w:rsid w:val="00B9104C"/>
    <w:rsid w:val="00B91D52"/>
    <w:rsid w:val="00B9490F"/>
    <w:rsid w:val="00BA1ACD"/>
    <w:rsid w:val="00BD09F8"/>
    <w:rsid w:val="00C005B2"/>
    <w:rsid w:val="00C1565C"/>
    <w:rsid w:val="00C21E0F"/>
    <w:rsid w:val="00C362CA"/>
    <w:rsid w:val="00C732BF"/>
    <w:rsid w:val="00C772C1"/>
    <w:rsid w:val="00CA7176"/>
    <w:rsid w:val="00CB51D7"/>
    <w:rsid w:val="00CC75B0"/>
    <w:rsid w:val="00CC7B84"/>
    <w:rsid w:val="00CD2773"/>
    <w:rsid w:val="00CE01BA"/>
    <w:rsid w:val="00CE143B"/>
    <w:rsid w:val="00CE3A91"/>
    <w:rsid w:val="00D07DBA"/>
    <w:rsid w:val="00D23C16"/>
    <w:rsid w:val="00D27003"/>
    <w:rsid w:val="00D324AD"/>
    <w:rsid w:val="00D9307A"/>
    <w:rsid w:val="00DA76CB"/>
    <w:rsid w:val="00DB4322"/>
    <w:rsid w:val="00DD1D0C"/>
    <w:rsid w:val="00DE186D"/>
    <w:rsid w:val="00E167C7"/>
    <w:rsid w:val="00E32E4D"/>
    <w:rsid w:val="00E55B78"/>
    <w:rsid w:val="00E76361"/>
    <w:rsid w:val="00E84020"/>
    <w:rsid w:val="00E906B2"/>
    <w:rsid w:val="00EB7A80"/>
    <w:rsid w:val="00EC47F6"/>
    <w:rsid w:val="00EE6D6D"/>
    <w:rsid w:val="00EF08C9"/>
    <w:rsid w:val="00EF535E"/>
    <w:rsid w:val="00F471F7"/>
    <w:rsid w:val="00F66032"/>
    <w:rsid w:val="00F83B96"/>
    <w:rsid w:val="00F8441D"/>
    <w:rsid w:val="00F87C1E"/>
    <w:rsid w:val="00F958C2"/>
    <w:rsid w:val="00FA740E"/>
    <w:rsid w:val="00FC06C7"/>
    <w:rsid w:val="00FD5DB4"/>
    <w:rsid w:val="00FD676E"/>
    <w:rsid w:val="00FE1724"/>
    <w:rsid w:val="00FE5FBF"/>
    <w:rsid w:val="00FE753C"/>
    <w:rsid w:val="00FF2346"/>
    <w:rsid w:val="02862C81"/>
    <w:rsid w:val="041540A8"/>
    <w:rsid w:val="06AD39BB"/>
    <w:rsid w:val="08C321EC"/>
    <w:rsid w:val="0BA35744"/>
    <w:rsid w:val="134D0C22"/>
    <w:rsid w:val="21AA4A7C"/>
    <w:rsid w:val="27D266FE"/>
    <w:rsid w:val="2863078E"/>
    <w:rsid w:val="2BF87B0B"/>
    <w:rsid w:val="2E2E7175"/>
    <w:rsid w:val="2FF3767A"/>
    <w:rsid w:val="3523644C"/>
    <w:rsid w:val="38B05B49"/>
    <w:rsid w:val="3E5E2106"/>
    <w:rsid w:val="3FBD3B8F"/>
    <w:rsid w:val="42C03429"/>
    <w:rsid w:val="43DF3B3D"/>
    <w:rsid w:val="45375081"/>
    <w:rsid w:val="46667476"/>
    <w:rsid w:val="4C2B7DF5"/>
    <w:rsid w:val="4FC2090A"/>
    <w:rsid w:val="5AC37155"/>
    <w:rsid w:val="5B81661B"/>
    <w:rsid w:val="62104A4D"/>
    <w:rsid w:val="623665CE"/>
    <w:rsid w:val="63255433"/>
    <w:rsid w:val="6FAB2D5F"/>
    <w:rsid w:val="75BD40F6"/>
    <w:rsid w:val="7A8B2A8D"/>
    <w:rsid w:val="7D0E65B0"/>
    <w:rsid w:val="7FAB63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列出段落1"/>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35F07-82AA-40D6-92CE-759812EE076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423</Words>
  <Characters>2417</Characters>
  <Lines>20</Lines>
  <Paragraphs>5</Paragraphs>
  <TotalTime>2</TotalTime>
  <ScaleCrop>false</ScaleCrop>
  <LinksUpToDate>false</LinksUpToDate>
  <CharactersWithSpaces>2835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2019-01-16T09:51:00Z</dcterms:created>
  <dc:creator>guest</dc:creator>
  <cp:lastModifiedBy>陈怡君</cp:lastModifiedBy>
  <cp:lastPrinted>2018-01-30T06:12:00Z</cp:lastPrinted>
  <dcterms:modified xsi:type="dcterms:W3CDTF">2024-03-05T08:47:42Z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E7546BA02BA7427BBD33C105C6F7716C</vt:lpwstr>
  </property>
</Properties>
</file>