
<file path=[Content_Types].xml><?xml version="1.0" encoding="utf-8"?>
<Types xmlns="http://schemas.openxmlformats.org/package/2006/content-types">
  <Default Extension="xml" ContentType="application/xml"/>
  <Default Extension="xlsx" ContentType="application/vnd.openxmlformats-officedocument.spreadsheetml.sheet"/>
  <Default Extension="emf" ContentType="image/x-emf"/>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ectPr>
          <w:headerReference r:id="rId5" w:type="first"/>
          <w:footerReference r:id="rId8" w:type="first"/>
          <w:headerReference r:id="rId3" w:type="default"/>
          <w:footerReference r:id="rId6" w:type="default"/>
          <w:headerReference r:id="rId4" w:type="even"/>
          <w:footerReference r:id="rId7" w:type="even"/>
          <w:pgSz w:w="11906" w:h="16838"/>
          <w:pgMar w:top="0" w:right="0" w:bottom="0" w:left="0" w:header="851" w:footer="992" w:gutter="0"/>
          <w:cols w:space="720" w:num="1"/>
          <w:titlePg/>
          <w:docGrid w:type="lines" w:linePitch="312" w:charSpace="0"/>
        </w:sectPr>
      </w:pPr>
      <w:r>
        <w:pict>
          <v:shape id="文本框 20" o:spid="_x0000_s2066" o:spt="202" type="#_x0000_t202" style="position:absolute;left:0pt;margin-left:106.25pt;margin-top:693.55pt;height:38.4pt;width:404.15pt;z-index:251663360;mso-width-relative:page;mso-height-relative:page;" filled="f" stroked="f" coordsize="21600,21600">
            <v:path/>
            <v:fill on="f" focussize="0,0"/>
            <v:stroke on="f" joinstyle="miter"/>
            <v:imagedata o:title=""/>
            <o:lock v:ext="edit"/>
            <v:textbox style="mso-fit-shape-to-text:t;">
              <w:txbxContent>
                <w:p>
                  <w:pPr>
                    <w:jc w:val="center"/>
                    <w:rPr>
                      <w:rFonts w:ascii="楷体_GB2312" w:eastAsia="楷体_GB2312" w:cs="楷体_GB2312"/>
                      <w:color w:val="000000"/>
                      <w:kern w:val="0"/>
                      <w:sz w:val="44"/>
                      <w:szCs w:val="44"/>
                    </w:rPr>
                  </w:pPr>
                  <w:r>
                    <w:rPr>
                      <w:rFonts w:hint="eastAsia" w:ascii="楷体_GB2312" w:eastAsia="楷体_GB2312" w:cs="楷体_GB2312"/>
                      <w:color w:val="000000"/>
                      <w:kern w:val="0"/>
                      <w:sz w:val="44"/>
                      <w:szCs w:val="44"/>
                    </w:rPr>
                    <w:t>二〇二〇年十一月</w:t>
                  </w:r>
                </w:p>
              </w:txbxContent>
            </v:textbox>
          </v:shape>
        </w:pict>
      </w:r>
      <w:r>
        <w:pict>
          <v:shape id="椭圆 23" o:spid="_x0000_s2065" o:spt="3" type="#_x0000_t3" style="position:absolute;left:0pt;margin-left:53.5pt;margin-top:232.45pt;height:121.95pt;width:121.95pt;z-index:251660288;mso-width-relative:page;mso-height-relative:page;" stroked="f" coordsize="21600,21600">
            <v:path/>
            <v:fill focussize="0,0"/>
            <v:stroke on="f"/>
            <v:imagedata o:title=""/>
            <o:lock v:ext="edit"/>
            <v:textbox>
              <w:txbxContent>
                <w:p>
                  <w:pPr>
                    <w:jc w:val="center"/>
                  </w:pPr>
                </w:p>
              </w:txbxContent>
            </v:textbox>
          </v:shape>
        </w:pict>
      </w:r>
      <w:r>
        <w:pict>
          <v:rect id="矩形 26" o:spid="_x0000_s2064" o:spt="1" style="position:absolute;left:0pt;margin-left:33.6pt;margin-top:256.75pt;height:69.6pt;width:160.65pt;z-index:251665408;mso-width-relative:page;mso-height-relative:page;" filled="f" stroked="f" coordsize="21600,21600">
            <v:path/>
            <v:fill on="f" focussize="0,0"/>
            <v:stroke on="f"/>
            <v:imagedata o:title=""/>
            <o:lock v:ext="edit"/>
            <v:textbox style="mso-fit-shape-to-text:t;">
              <w:txbxContent>
                <w:p>
                  <w:pPr>
                    <w:spacing w:line="360" w:lineRule="auto"/>
                    <w:jc w:val="center"/>
                    <w:rPr>
                      <w:kern w:val="0"/>
                      <w:sz w:val="28"/>
                      <w:szCs w:val="28"/>
                    </w:rPr>
                  </w:pPr>
                  <w:r>
                    <w:rPr>
                      <w:rFonts w:hint="eastAsia" w:ascii="Yu Gothic UI Semibold" w:hAnsi="Yu Gothic UI Semibold" w:eastAsia="宋体"/>
                      <w:color w:val="FFFFFF"/>
                      <w:kern w:val="24"/>
                      <w:sz w:val="72"/>
                      <w:szCs w:val="72"/>
                    </w:rPr>
                    <w:t>2019</w:t>
                  </w:r>
                </w:p>
              </w:txbxContent>
            </v:textbox>
          </v:rect>
        </w:pict>
      </w:r>
      <w:r>
        <w:pict>
          <v:shape id="椭圆 29" o:spid="_x0000_s2063" o:spt="3" type="#_x0000_t3" style="position:absolute;left:0pt;margin-left:62.2pt;margin-top:242.75pt;height:103.45pt;width:103.45pt;z-index:251664384;mso-width-relative:page;mso-height-relative:page;" fillcolor="#1F2959" filled="t" stroked="f" coordsize="21600,21600">
            <v:path/>
            <v:fill on="t" focussize="0,0"/>
            <v:stroke on="f"/>
            <v:imagedata o:title=""/>
            <o:lock v:ext="edit"/>
            <v:textbox>
              <w:txbxContent>
                <w:p>
                  <w:pPr>
                    <w:jc w:val="center"/>
                  </w:pPr>
                </w:p>
              </w:txbxContent>
            </v:textbox>
          </v:shape>
        </w:pict>
      </w:r>
      <w:r>
        <w:pict>
          <v:group id="组合 34" o:spid="_x0000_s2060" o:spt="203" style="position:absolute;left:0pt;margin-left:1.25pt;margin-top:821.7pt;height:0pt;width:595.25pt;z-index:251661312;mso-width-relative:page;mso-height-relative:page;" coordorigin="25,16434" coordsize="11905,0">
            <o:lock v:ext="edit"/>
            <v:rect id="_s35" o:spid="_x0000_s2062" o:spt="1" style="position:absolute;left:25;top:16434;height:0;width:1125;" fillcolor="#FDBC11" filled="t" stroked="f" coordsize="21600,21600">
              <v:path/>
              <v:fill on="t" focussize="0,0"/>
              <v:stroke on="f"/>
              <v:imagedata o:title=""/>
              <o:lock v:ext="edit"/>
            </v:rect>
            <v:rect id="_s36" o:spid="_x0000_s2061" o:spt="1" style="position:absolute;left:1150;top:16434;height:0;width:10780;" fillcolor="#1F2959" filled="t" stroked="f" coordsize="21600,21600">
              <v:path/>
              <v:fill on="t" focussize="0,0"/>
              <v:stroke on="f"/>
              <v:imagedata o:title=""/>
              <o:lock v:ext="edit"/>
            </v:rect>
          </v:group>
        </w:pict>
      </w:r>
      <w:r>
        <w:pict>
          <v:group id="组合 42" o:spid="_x0000_s2057" o:spt="203" style="position:absolute;left:0pt;margin-left:-2.5pt;margin-top:-3.35pt;height:69.6pt;width:600.25pt;z-index:-251644928;mso-width-relative:page;mso-height-relative:page;" coordorigin="-49,-67" coordsize="12005,1392">
            <o:lock v:ext="edit"/>
            <v:rect id="_s43" o:spid="_x0000_s2059" o:spt="1" style="position:absolute;left:-49;top:0;height:6;width:12005;" fillcolor="#FDBC11" filled="t" stroked="f" coordsize="21600,21600">
              <v:path/>
              <v:fill on="t" focussize="0,0"/>
              <v:stroke on="f"/>
              <v:imagedata o:title=""/>
              <o:lock v:ext="edit"/>
            </v:rect>
            <v:shape id="_s44" o:spid="_x0000_s2058" o:spt="202" type="#_x0000_t202" style="position:absolute;left:3556;top:-67;height:1392;width:8083;" filled="f" stroked="f" coordsize="21600,21600">
              <v:path/>
              <v:fill on="f" focussize="0,0"/>
              <v:stroke on="f" joinstyle="miter"/>
              <v:imagedata o:title=""/>
              <o:lock v:ext="edit"/>
              <v:textbox style="mso-fit-shape-to-text:t;">
                <w:txbxContent>
                  <w:p>
                    <w:pPr>
                      <w:jc w:val="left"/>
                      <w:rPr>
                        <w:color w:val="000000"/>
                        <w:kern w:val="0"/>
                        <w:sz w:val="92"/>
                        <w:szCs w:val="92"/>
                      </w:rPr>
                    </w:pPr>
                    <w:r>
                      <w:rPr>
                        <w:rFonts w:hint="eastAsia" w:ascii="思源黑体 HW Bold" w:eastAsia="思源黑体 HW Bold"/>
                        <w:color w:val="000000"/>
                        <w:kern w:val="24"/>
                        <w:sz w:val="92"/>
                        <w:szCs w:val="92"/>
                      </w:rPr>
                      <w:t>部门决算公开文本</w:t>
                    </w:r>
                  </w:p>
                </w:txbxContent>
              </v:textbox>
            </v:shape>
          </v:group>
        </w:pict>
      </w:r>
      <w:r>
        <w:pict>
          <v:rect id="矩形 47" o:spid="_x0000_s2056" o:spt="1" style="position:absolute;left:0pt;margin-left:184.75pt;margin-top:286.6pt;height:22.8pt;width:15.15pt;mso-wrap-style:none;z-index:251662336;mso-width-relative:page;mso-height-relative:page;" filled="f" stroked="f" coordsize="21600,21600">
            <v:path/>
            <v:fill on="f" focussize="0,0"/>
            <v:stroke on="f"/>
            <v:imagedata o:title=""/>
            <o:lock v:ext="edit"/>
            <v:textbox style="mso-fit-shape-to-text:t;">
              <w:txbxContent>
                <w:p/>
              </w:txbxContent>
            </v:textbox>
          </v:rect>
        </w:pict>
      </w:r>
    </w:p>
    <w:p/>
    <w:p>
      <w:pPr>
        <w:jc w:val="center"/>
        <w:rPr>
          <w:rFonts w:ascii="黑体" w:eastAsia="黑体" w:cs="黑体"/>
          <w:sz w:val="56"/>
          <w:szCs w:val="72"/>
        </w:rPr>
      </w:pPr>
    </w:p>
    <w:p>
      <w:pPr>
        <w:jc w:val="center"/>
        <w:rPr>
          <w:rFonts w:ascii="黑体" w:eastAsia="黑体" w:cs="黑体"/>
          <w:sz w:val="56"/>
          <w:szCs w:val="72"/>
        </w:rPr>
      </w:pPr>
    </w:p>
    <w:p>
      <w:pPr>
        <w:rPr>
          <w:rFonts w:ascii="黑体" w:eastAsia="黑体" w:cs="Times New Roman"/>
          <w:sz w:val="48"/>
          <w:szCs w:val="48"/>
        </w:rPr>
      </w:pPr>
      <w:r>
        <w:rPr>
          <w:rFonts w:hint="eastAsia" w:ascii="黑体" w:eastAsia="黑体" w:cs="Times New Roman"/>
          <w:sz w:val="48"/>
          <w:szCs w:val="48"/>
        </w:rPr>
        <w:br w:type="page"/>
      </w:r>
    </w:p>
    <w:p>
      <w:pPr>
        <w:tabs>
          <w:tab w:val="left" w:pos="2728"/>
        </w:tabs>
        <w:rPr>
          <w:rFonts w:ascii="黑体" w:eastAsia="黑体" w:cs="Times New Roman"/>
          <w:sz w:val="48"/>
          <w:szCs w:val="48"/>
        </w:rPr>
      </w:pPr>
      <w:r>
        <w:rPr>
          <w:rFonts w:hint="eastAsia" w:ascii="黑体" w:eastAsia="黑体" w:cs="Times New Roman"/>
          <w:sz w:val="48"/>
          <w:szCs w:val="48"/>
        </w:rPr>
        <w:tab/>
      </w:r>
    </w:p>
    <w:p>
      <w:pPr>
        <w:rPr>
          <w:rFonts w:ascii="黑体" w:eastAsia="黑体" w:cs="黑体"/>
          <w:sz w:val="56"/>
          <w:szCs w:val="72"/>
        </w:rPr>
      </w:pPr>
    </w:p>
    <w:p>
      <w:pPr>
        <w:rPr>
          <w:rFonts w:ascii="黑体" w:eastAsia="黑体" w:cs="黑体"/>
          <w:b/>
          <w:bCs/>
          <w:sz w:val="72"/>
          <w:szCs w:val="96"/>
        </w:rPr>
      </w:pPr>
      <w:r>
        <w:rPr>
          <w:rFonts w:hint="eastAsia" w:ascii="黑体" w:eastAsia="黑体" w:cs="黑体"/>
          <w:b/>
          <w:bCs/>
          <w:sz w:val="72"/>
          <w:szCs w:val="96"/>
        </w:rPr>
        <w:t>2019年度部门决算公开文本</w:t>
      </w:r>
    </w:p>
    <w:p>
      <w:pPr>
        <w:spacing w:line="360" w:lineRule="auto"/>
        <w:jc w:val="center"/>
        <w:rPr>
          <w:rFonts w:ascii="黑体" w:eastAsia="黑体" w:cs="黑体"/>
          <w:sz w:val="56"/>
          <w:szCs w:val="72"/>
        </w:rPr>
      </w:pPr>
    </w:p>
    <w:p>
      <w:pPr>
        <w:spacing w:line="600" w:lineRule="auto"/>
        <w:jc w:val="center"/>
        <w:rPr>
          <w:rFonts w:ascii="黑体" w:eastAsia="黑体" w:cs="黑体"/>
          <w:sz w:val="56"/>
          <w:szCs w:val="72"/>
        </w:rPr>
      </w:pPr>
    </w:p>
    <w:p>
      <w:pPr>
        <w:spacing w:line="600" w:lineRule="auto"/>
        <w:jc w:val="center"/>
        <w:rPr>
          <w:rFonts w:ascii="黑体" w:eastAsia="黑体" w:cs="黑体"/>
          <w:sz w:val="56"/>
          <w:szCs w:val="72"/>
        </w:rPr>
      </w:pPr>
    </w:p>
    <w:p>
      <w:pPr>
        <w:spacing w:line="600" w:lineRule="auto"/>
        <w:jc w:val="center"/>
        <w:rPr>
          <w:rFonts w:ascii="黑体" w:eastAsia="黑体" w:cs="黑体"/>
          <w:sz w:val="56"/>
          <w:szCs w:val="72"/>
        </w:rPr>
      </w:pPr>
    </w:p>
    <w:p>
      <w:pPr>
        <w:spacing w:line="600" w:lineRule="auto"/>
        <w:jc w:val="center"/>
        <w:rPr>
          <w:rFonts w:ascii="黑体" w:eastAsia="黑体" w:cs="黑体"/>
          <w:sz w:val="56"/>
          <w:szCs w:val="72"/>
        </w:rPr>
      </w:pPr>
    </w:p>
    <w:p>
      <w:pPr>
        <w:spacing w:line="480" w:lineRule="auto"/>
        <w:jc w:val="center"/>
        <w:rPr>
          <w:rFonts w:ascii="黑体" w:eastAsia="黑体" w:cs="黑体"/>
          <w:sz w:val="56"/>
          <w:szCs w:val="72"/>
        </w:rPr>
      </w:pPr>
    </w:p>
    <w:p>
      <w:pPr>
        <w:spacing w:line="480" w:lineRule="auto"/>
        <w:jc w:val="center"/>
        <w:rPr>
          <w:rFonts w:ascii="黑体" w:eastAsia="黑体" w:cs="黑体"/>
          <w:sz w:val="56"/>
          <w:szCs w:val="72"/>
        </w:rPr>
      </w:pPr>
    </w:p>
    <w:p>
      <w:pPr>
        <w:spacing w:line="480" w:lineRule="auto"/>
        <w:jc w:val="center"/>
        <w:rPr>
          <w:rFonts w:ascii="黑体" w:eastAsia="黑体" w:cs="黑体"/>
          <w:sz w:val="56"/>
          <w:szCs w:val="72"/>
        </w:rPr>
      </w:pPr>
    </w:p>
    <w:p>
      <w:pPr>
        <w:snapToGrid w:val="0"/>
        <w:spacing w:line="480" w:lineRule="auto"/>
        <w:jc w:val="center"/>
        <w:rPr>
          <w:rFonts w:ascii="黑体" w:eastAsia="黑体" w:cs="黑体"/>
          <w:sz w:val="56"/>
          <w:szCs w:val="72"/>
        </w:rPr>
      </w:pPr>
    </w:p>
    <w:p>
      <w:pPr>
        <w:snapToGrid w:val="0"/>
        <w:jc w:val="center"/>
        <w:rPr>
          <w:rFonts w:ascii="楷体_GB2312" w:eastAsia="楷体_GB2312" w:cs="楷体_GB2312"/>
          <w:color w:val="000000"/>
          <w:kern w:val="0"/>
          <w:sz w:val="44"/>
          <w:szCs w:val="44"/>
        </w:rPr>
      </w:pPr>
      <w:r>
        <w:rPr>
          <w:rFonts w:hint="eastAsia" w:ascii="楷体_GB2312" w:eastAsia="楷体_GB2312" w:cs="楷体_GB2312"/>
          <w:color w:val="000000"/>
          <w:kern w:val="0"/>
          <w:sz w:val="44"/>
          <w:szCs w:val="44"/>
        </w:rPr>
        <w:t>中国共产主义青年团大城县委员会</w:t>
      </w:r>
    </w:p>
    <w:p>
      <w:pPr>
        <w:snapToGrid w:val="0"/>
        <w:jc w:val="center"/>
        <w:rPr>
          <w:rFonts w:ascii="楷体_GB2312" w:eastAsia="楷体_GB2312" w:cs="楷体_GB2312"/>
          <w:color w:val="000000"/>
          <w:kern w:val="0"/>
          <w:sz w:val="44"/>
          <w:szCs w:val="44"/>
        </w:rPr>
        <w:sectPr>
          <w:headerReference r:id="rId10" w:type="first"/>
          <w:footerReference r:id="rId11" w:type="first"/>
          <w:headerReference r:id="rId9" w:type="default"/>
          <w:type w:val="continuous"/>
          <w:pgSz w:w="11906" w:h="16838"/>
          <w:pgMar w:top="2041" w:right="1531" w:bottom="2041" w:left="1531" w:header="851" w:footer="992" w:gutter="0"/>
          <w:cols w:space="720" w:num="1"/>
          <w:titlePg/>
          <w:docGrid w:type="lines" w:linePitch="312" w:charSpace="0"/>
        </w:sectPr>
      </w:pPr>
      <w:r>
        <w:rPr>
          <w:rFonts w:hint="eastAsia" w:ascii="楷体_GB2312" w:eastAsia="楷体_GB2312" w:cs="楷体_GB2312"/>
          <w:color w:val="000000"/>
          <w:kern w:val="0"/>
          <w:sz w:val="44"/>
          <w:szCs w:val="44"/>
        </w:rPr>
        <w:t>二〇二〇年十一月</w:t>
      </w:r>
    </w:p>
    <w:p>
      <w:pPr>
        <w:widowControl/>
        <w:spacing w:line="600" w:lineRule="exact"/>
        <w:jc w:val="left"/>
        <w:rPr>
          <w:rFonts w:ascii="黑体" w:eastAsia="黑体" w:cs="黑体"/>
          <w:bCs/>
          <w:sz w:val="32"/>
          <w:szCs w:val="32"/>
          <w:highlight w:val="yellow"/>
        </w:rPr>
      </w:pPr>
    </w:p>
    <w:p>
      <w:pPr>
        <w:rPr>
          <w:rFonts w:ascii="黑体" w:eastAsia="黑体" w:cs="黑体"/>
          <w:bCs/>
          <w:sz w:val="32"/>
          <w:szCs w:val="32"/>
        </w:rPr>
      </w:pPr>
    </w:p>
    <w:p>
      <w:pPr>
        <w:rPr>
          <w:rFonts w:ascii="黑体" w:eastAsia="黑体" w:cs="Times New Roman"/>
          <w:sz w:val="48"/>
          <w:szCs w:val="48"/>
        </w:rPr>
      </w:pPr>
      <w:r>
        <w:rPr>
          <w:rFonts w:hint="eastAsia" w:ascii="黑体" w:eastAsia="黑体" w:cs="Times New Roman"/>
          <w:sz w:val="48"/>
          <w:szCs w:val="48"/>
        </w:rPr>
        <w:br w:type="page"/>
      </w:r>
    </w:p>
    <w:p>
      <w:pPr>
        <w:tabs>
          <w:tab w:val="left" w:pos="2728"/>
        </w:tabs>
        <w:jc w:val="center"/>
        <w:rPr>
          <w:rFonts w:ascii="黑体" w:eastAsia="黑体" w:cs="Times New Roman"/>
          <w:sz w:val="48"/>
          <w:szCs w:val="48"/>
        </w:rPr>
      </w:pPr>
    </w:p>
    <w:p>
      <w:pPr>
        <w:tabs>
          <w:tab w:val="left" w:pos="2728"/>
        </w:tabs>
        <w:jc w:val="center"/>
        <w:rPr>
          <w:rFonts w:ascii="黑体" w:eastAsia="黑体" w:cs="Times New Roman"/>
          <w:sz w:val="48"/>
          <w:szCs w:val="48"/>
        </w:rPr>
      </w:pPr>
      <w:r>
        <w:rPr>
          <w:rFonts w:hint="eastAsia" w:ascii="黑体" w:eastAsia="黑体" w:cs="Times New Roman"/>
          <w:sz w:val="48"/>
          <w:szCs w:val="48"/>
        </w:rPr>
        <w:t>目    录</w:t>
      </w:r>
    </w:p>
    <w:p>
      <w:pPr>
        <w:widowControl/>
        <w:spacing w:after="160" w:line="580" w:lineRule="exact"/>
        <w:ind w:firstLine="640" w:firstLineChars="200"/>
        <w:rPr>
          <w:rFonts w:ascii="Times New Roman" w:eastAsia="黑体" w:cs="Times New Roman"/>
          <w:sz w:val="32"/>
          <w:szCs w:val="32"/>
        </w:rPr>
      </w:pPr>
    </w:p>
    <w:p>
      <w:pPr>
        <w:widowControl/>
        <w:spacing w:after="160" w:line="580" w:lineRule="exact"/>
        <w:ind w:firstLine="640" w:firstLineChars="200"/>
        <w:rPr>
          <w:rFonts w:ascii="Times New Roman" w:eastAsia="仿宋_GB2312" w:cs="Times New Roman"/>
          <w:sz w:val="24"/>
          <w:szCs w:val="32"/>
        </w:rPr>
      </w:pPr>
      <w:r>
        <w:rPr>
          <w:rFonts w:ascii="Times New Roman" w:eastAsia="黑体" w:cs="Times New Roman"/>
          <w:sz w:val="32"/>
          <w:szCs w:val="32"/>
        </w:rPr>
        <w:t>第一部分   部门概况</w:t>
      </w:r>
    </w:p>
    <w:p>
      <w:pPr>
        <w:widowControl/>
        <w:spacing w:after="160" w:line="580" w:lineRule="exact"/>
        <w:ind w:firstLine="1273" w:firstLineChars="398"/>
        <w:rPr>
          <w:rFonts w:ascii="Times New Roman" w:eastAsia="仿宋_GB2312" w:cs="Times New Roman"/>
          <w:sz w:val="32"/>
          <w:szCs w:val="32"/>
        </w:rPr>
      </w:pPr>
      <w:r>
        <w:rPr>
          <w:rFonts w:ascii="Times New Roman" w:eastAsia="仿宋_GB2312" w:cs="Times New Roman"/>
          <w:sz w:val="32"/>
          <w:szCs w:val="32"/>
        </w:rPr>
        <w:t>一、部门</w:t>
      </w:r>
      <w:r>
        <w:rPr>
          <w:rFonts w:hint="eastAsia" w:ascii="Times New Roman" w:eastAsia="仿宋_GB2312" w:cs="Times New Roman"/>
          <w:sz w:val="32"/>
          <w:szCs w:val="32"/>
        </w:rPr>
        <w:t>职责</w:t>
      </w:r>
    </w:p>
    <w:p>
      <w:pPr>
        <w:widowControl/>
        <w:spacing w:after="160" w:line="580" w:lineRule="exact"/>
        <w:ind w:firstLine="1273" w:firstLineChars="398"/>
        <w:rPr>
          <w:rFonts w:ascii="Times New Roman" w:eastAsia="仿宋_GB2312" w:cs="Times New Roman"/>
          <w:sz w:val="32"/>
          <w:szCs w:val="32"/>
        </w:rPr>
      </w:pPr>
      <w:r>
        <w:rPr>
          <w:rFonts w:ascii="Times New Roman" w:eastAsia="仿宋_GB2312" w:cs="Times New Roman"/>
          <w:sz w:val="32"/>
          <w:szCs w:val="32"/>
        </w:rPr>
        <w:t>二、</w:t>
      </w:r>
      <w:r>
        <w:rPr>
          <w:rFonts w:hint="eastAsia" w:ascii="Times New Roman" w:eastAsia="仿宋_GB2312" w:cs="Times New Roman"/>
          <w:sz w:val="32"/>
          <w:szCs w:val="32"/>
        </w:rPr>
        <w:t>机构设置</w:t>
      </w:r>
    </w:p>
    <w:p>
      <w:pPr>
        <w:widowControl/>
        <w:spacing w:after="160" w:line="580" w:lineRule="exact"/>
        <w:ind w:firstLine="640" w:firstLineChars="200"/>
        <w:rPr>
          <w:rFonts w:ascii="Times New Roman" w:eastAsia="黑体" w:cs="Times New Roman"/>
          <w:sz w:val="32"/>
          <w:szCs w:val="32"/>
        </w:rPr>
      </w:pPr>
      <w:r>
        <w:rPr>
          <w:rFonts w:ascii="Times New Roman" w:eastAsia="黑体" w:cs="Times New Roman"/>
          <w:sz w:val="32"/>
          <w:szCs w:val="32"/>
        </w:rPr>
        <w:t>第二部分   201</w:t>
      </w:r>
      <w:r>
        <w:rPr>
          <w:rFonts w:hint="eastAsia" w:ascii="Times New Roman" w:eastAsia="黑体" w:cs="Times New Roman"/>
          <w:sz w:val="32"/>
          <w:szCs w:val="32"/>
        </w:rPr>
        <w:t>9</w:t>
      </w:r>
      <w:r>
        <w:rPr>
          <w:rFonts w:ascii="Times New Roman" w:eastAsia="黑体" w:cs="Times New Roman"/>
          <w:sz w:val="32"/>
          <w:szCs w:val="32"/>
        </w:rPr>
        <w:t>年部门决算情况说明</w:t>
      </w:r>
    </w:p>
    <w:p>
      <w:pPr>
        <w:widowControl/>
        <w:spacing w:after="160" w:line="580" w:lineRule="exact"/>
        <w:ind w:left="640" w:firstLine="640" w:firstLineChars="200"/>
        <w:rPr>
          <w:rFonts w:ascii="Times New Roman" w:eastAsia="仿宋_GB2312" w:cs="Times New Roman"/>
          <w:sz w:val="32"/>
          <w:szCs w:val="32"/>
        </w:rPr>
      </w:pPr>
      <w:r>
        <w:rPr>
          <w:rFonts w:ascii="Times New Roman" w:eastAsia="仿宋_GB2312" w:cs="Times New Roman"/>
          <w:sz w:val="32"/>
          <w:szCs w:val="32"/>
        </w:rPr>
        <w:t>一、收入支出决算总体情况说明</w:t>
      </w:r>
    </w:p>
    <w:p>
      <w:pPr>
        <w:widowControl/>
        <w:spacing w:after="160" w:line="580" w:lineRule="exact"/>
        <w:ind w:left="640" w:firstLine="640" w:firstLineChars="200"/>
        <w:rPr>
          <w:rFonts w:ascii="Times New Roman" w:eastAsia="仿宋_GB2312" w:cs="Times New Roman"/>
          <w:sz w:val="32"/>
          <w:szCs w:val="32"/>
        </w:rPr>
      </w:pPr>
      <w:r>
        <w:rPr>
          <w:rFonts w:ascii="Times New Roman" w:eastAsia="仿宋_GB2312" w:cs="Times New Roman"/>
          <w:sz w:val="32"/>
          <w:szCs w:val="32"/>
        </w:rPr>
        <w:t>二、收入决算情况说明</w:t>
      </w:r>
    </w:p>
    <w:p>
      <w:pPr>
        <w:widowControl/>
        <w:spacing w:after="160" w:line="580" w:lineRule="exact"/>
        <w:ind w:left="640" w:firstLine="640" w:firstLineChars="200"/>
        <w:rPr>
          <w:rFonts w:ascii="Times New Roman" w:eastAsia="仿宋_GB2312" w:cs="Times New Roman"/>
          <w:sz w:val="32"/>
          <w:szCs w:val="32"/>
        </w:rPr>
      </w:pPr>
      <w:r>
        <w:rPr>
          <w:rFonts w:ascii="Times New Roman" w:eastAsia="仿宋_GB2312" w:cs="Times New Roman"/>
          <w:sz w:val="32"/>
          <w:szCs w:val="32"/>
        </w:rPr>
        <w:t>三、支出决算情况说明</w:t>
      </w:r>
    </w:p>
    <w:p>
      <w:pPr>
        <w:widowControl/>
        <w:spacing w:after="160" w:line="580" w:lineRule="exact"/>
        <w:ind w:left="640" w:firstLine="640" w:firstLineChars="200"/>
        <w:rPr>
          <w:rFonts w:ascii="Times New Roman" w:eastAsia="仿宋_GB2312" w:cs="Times New Roman"/>
          <w:sz w:val="32"/>
          <w:szCs w:val="32"/>
        </w:rPr>
      </w:pPr>
      <w:r>
        <w:rPr>
          <w:rFonts w:ascii="Times New Roman" w:eastAsia="仿宋_GB2312" w:cs="Times New Roman"/>
          <w:sz w:val="32"/>
          <w:szCs w:val="32"/>
        </w:rPr>
        <w:t>四、财政拨款收入支出决算总体情况说明</w:t>
      </w:r>
    </w:p>
    <w:p>
      <w:pPr>
        <w:widowControl/>
        <w:spacing w:after="160" w:line="580" w:lineRule="exact"/>
        <w:ind w:left="640" w:firstLine="640" w:firstLineChars="200"/>
        <w:rPr>
          <w:rFonts w:ascii="Times New Roman" w:eastAsia="仿宋_GB2312" w:cs="Times New Roman"/>
          <w:sz w:val="32"/>
          <w:szCs w:val="32"/>
        </w:rPr>
      </w:pPr>
      <w:r>
        <w:rPr>
          <w:rFonts w:hint="eastAsia" w:ascii="Times New Roman" w:eastAsia="仿宋_GB2312" w:cs="Times New Roman"/>
          <w:sz w:val="32"/>
          <w:szCs w:val="32"/>
        </w:rPr>
        <w:t>五、一般公共预算</w:t>
      </w:r>
      <w:r>
        <w:rPr>
          <w:rFonts w:ascii="Times New Roman" w:eastAsia="仿宋_GB2312" w:cs="Times New Roman"/>
          <w:sz w:val="32"/>
          <w:szCs w:val="32"/>
        </w:rPr>
        <w:t>“三公”经费支出决算情况说明</w:t>
      </w:r>
    </w:p>
    <w:p>
      <w:pPr>
        <w:widowControl/>
        <w:spacing w:after="160" w:line="580" w:lineRule="exact"/>
        <w:ind w:left="640" w:firstLine="640" w:firstLineChars="200"/>
        <w:rPr>
          <w:rFonts w:ascii="Times New Roman" w:eastAsia="仿宋_GB2312" w:cs="Times New Roman"/>
          <w:sz w:val="32"/>
          <w:szCs w:val="32"/>
        </w:rPr>
      </w:pPr>
      <w:r>
        <w:rPr>
          <w:rFonts w:hint="eastAsia" w:ascii="Times New Roman" w:eastAsia="仿宋_GB2312" w:cs="Times New Roman"/>
          <w:sz w:val="32"/>
          <w:szCs w:val="32"/>
        </w:rPr>
        <w:t>六</w:t>
      </w:r>
      <w:r>
        <w:rPr>
          <w:rFonts w:ascii="Times New Roman" w:eastAsia="仿宋_GB2312" w:cs="Times New Roman"/>
          <w:sz w:val="32"/>
          <w:szCs w:val="32"/>
        </w:rPr>
        <w:t>、预算绩效情况说明</w:t>
      </w:r>
    </w:p>
    <w:p>
      <w:pPr>
        <w:widowControl/>
        <w:spacing w:after="160" w:line="580" w:lineRule="exact"/>
        <w:ind w:left="640" w:firstLine="640" w:firstLineChars="200"/>
        <w:rPr>
          <w:rFonts w:ascii="Times New Roman" w:eastAsia="仿宋_GB2312" w:cs="Times New Roman"/>
          <w:sz w:val="32"/>
          <w:szCs w:val="32"/>
        </w:rPr>
      </w:pPr>
      <w:r>
        <w:rPr>
          <w:rFonts w:hint="eastAsia" w:ascii="Times New Roman" w:eastAsia="仿宋_GB2312" w:cs="Times New Roman"/>
          <w:sz w:val="32"/>
          <w:szCs w:val="32"/>
        </w:rPr>
        <w:t>七</w:t>
      </w:r>
      <w:r>
        <w:rPr>
          <w:rFonts w:ascii="Times New Roman" w:eastAsia="仿宋_GB2312" w:cs="Times New Roman"/>
          <w:sz w:val="32"/>
          <w:szCs w:val="32"/>
        </w:rPr>
        <w:t>、其他重要事项的说明</w:t>
      </w:r>
    </w:p>
    <w:p>
      <w:pPr>
        <w:widowControl/>
        <w:spacing w:after="160" w:line="580" w:lineRule="exact"/>
        <w:ind w:firstLine="640" w:firstLineChars="200"/>
        <w:rPr>
          <w:rFonts w:ascii="Times New Roman" w:eastAsia="黑体" w:cs="Times New Roman"/>
          <w:sz w:val="32"/>
          <w:szCs w:val="32"/>
        </w:rPr>
      </w:pPr>
      <w:r>
        <w:rPr>
          <w:rFonts w:ascii="Times New Roman" w:eastAsia="黑体" w:cs="Times New Roman"/>
          <w:sz w:val="32"/>
          <w:szCs w:val="32"/>
        </w:rPr>
        <w:t>第三部分名词解释</w:t>
      </w:r>
    </w:p>
    <w:p>
      <w:pPr>
        <w:widowControl/>
        <w:spacing w:after="160" w:line="580" w:lineRule="exact"/>
        <w:ind w:firstLine="640" w:firstLineChars="200"/>
        <w:rPr>
          <w:rFonts w:ascii="Times New Roman" w:eastAsia="仿宋_GB2312" w:cs="Times New Roman"/>
          <w:sz w:val="20"/>
          <w:szCs w:val="32"/>
        </w:rPr>
      </w:pPr>
      <w:r>
        <w:rPr>
          <w:rFonts w:ascii="Times New Roman" w:eastAsia="黑体" w:cs="Times New Roman"/>
          <w:sz w:val="32"/>
          <w:szCs w:val="32"/>
        </w:rPr>
        <w:t>第</w:t>
      </w:r>
      <w:r>
        <w:rPr>
          <w:rFonts w:hint="eastAsia" w:ascii="Times New Roman" w:eastAsia="黑体" w:cs="Times New Roman"/>
          <w:sz w:val="32"/>
          <w:szCs w:val="32"/>
        </w:rPr>
        <w:t>四</w:t>
      </w:r>
      <w:r>
        <w:rPr>
          <w:rFonts w:ascii="Times New Roman" w:eastAsia="黑体" w:cs="Times New Roman"/>
          <w:sz w:val="32"/>
          <w:szCs w:val="32"/>
        </w:rPr>
        <w:t>部分201</w:t>
      </w:r>
      <w:r>
        <w:rPr>
          <w:rFonts w:hint="eastAsia" w:ascii="Times New Roman" w:eastAsia="黑体" w:cs="Times New Roman"/>
          <w:sz w:val="32"/>
          <w:szCs w:val="32"/>
        </w:rPr>
        <w:t>9</w:t>
      </w:r>
      <w:r>
        <w:rPr>
          <w:rFonts w:ascii="Times New Roman" w:eastAsia="黑体" w:cs="Times New Roman"/>
          <w:sz w:val="32"/>
          <w:szCs w:val="32"/>
        </w:rPr>
        <w:t>年度部门决算报表</w:t>
      </w:r>
    </w:p>
    <w:p>
      <w:pPr>
        <w:widowControl/>
        <w:spacing w:after="160" w:line="580" w:lineRule="exact"/>
        <w:ind w:firstLine="640" w:firstLineChars="200"/>
        <w:rPr>
          <w:rFonts w:ascii="Times New Roman" w:eastAsia="黑体" w:cs="Times New Roman"/>
          <w:sz w:val="32"/>
          <w:szCs w:val="32"/>
        </w:rPr>
      </w:pPr>
    </w:p>
    <w:p>
      <w:pPr>
        <w:widowControl/>
        <w:spacing w:after="160" w:line="580" w:lineRule="exact"/>
        <w:ind w:firstLine="640" w:firstLineChars="200"/>
        <w:rPr>
          <w:rFonts w:ascii="Times New Roman" w:eastAsia="黑体" w:cs="Times New Roman"/>
          <w:sz w:val="32"/>
          <w:szCs w:val="32"/>
        </w:rPr>
        <w:sectPr>
          <w:headerReference r:id="rId13" w:type="first"/>
          <w:footerReference r:id="rId15" w:type="first"/>
          <w:headerReference r:id="rId12" w:type="default"/>
          <w:footerReference r:id="rId14" w:type="default"/>
          <w:type w:val="continuous"/>
          <w:pgSz w:w="11906" w:h="16838"/>
          <w:pgMar w:top="2041" w:right="1531" w:bottom="2041" w:left="1531" w:header="851" w:footer="992" w:gutter="0"/>
          <w:cols w:space="720" w:num="1"/>
          <w:titlePg/>
          <w:docGrid w:type="lines" w:linePitch="312" w:charSpace="0"/>
        </w:sect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r>
        <w:rPr>
          <w:sz w:val="72"/>
        </w:rPr>
        <w:pict>
          <v:shape id="文本框 73" o:spid="_x0000_s2055" o:spt="202" type="#_x0000_t202" style="position:absolute;left:0pt;margin-left:-85.7pt;margin-top:80.7pt;height:263.1pt;width:613.65pt;z-index:251666432;v-text-anchor:middle;mso-width-relative:page;mso-height-relative:page;" fillcolor="#FFD966" filled="t" stroked="t" coordsize="21600,21600">
            <v:path/>
            <v:fill type="pattern" on="t" o:title="5%" focussize="0,0" r:id="rId31"/>
            <v:stroke weight="1pt" color="#FFD966" joinstyle="miter"/>
            <v:imagedata o:title=""/>
            <o:lock v:ext="edit"/>
            <v:textbox>
              <w:txbxContent>
                <w:p>
                  <w:pPr>
                    <w:widowControl/>
                    <w:jc w:val="center"/>
                    <w:rPr>
                      <w:rFonts w:ascii="黑体" w:eastAsia="黑体" w:cs="黑体"/>
                      <w:color w:val="000000"/>
                      <w:sz w:val="96"/>
                      <w:szCs w:val="96"/>
                    </w:rPr>
                  </w:pPr>
                  <w:r>
                    <w:rPr>
                      <w:rFonts w:hint="eastAsia" w:ascii="黑体" w:eastAsia="黑体" w:cs="黑体"/>
                      <w:color w:val="000000"/>
                      <w:sz w:val="96"/>
                      <w:szCs w:val="96"/>
                    </w:rPr>
                    <w:t>第一部分  部门概况</w:t>
                  </w:r>
                </w:p>
              </w:txbxContent>
            </v:textbox>
          </v:shape>
        </w:pict>
      </w:r>
      <w:r>
        <w:br w:type="page"/>
      </w:r>
    </w:p>
    <w:p>
      <w:pPr>
        <w:pStyle w:val="2"/>
        <w:spacing w:before="0" w:after="0" w:line="580" w:lineRule="exact"/>
        <w:ind w:firstLine="640" w:firstLineChars="200"/>
        <w:jc w:val="left"/>
        <w:rPr>
          <w:rFonts w:ascii="黑体" w:eastAsia="黑体" w:cs="黑体"/>
          <w:b w:val="0"/>
          <w:bCs w:val="0"/>
          <w:kern w:val="0"/>
          <w:sz w:val="32"/>
          <w:szCs w:val="32"/>
        </w:rPr>
      </w:pPr>
      <w:r>
        <w:rPr>
          <w:rFonts w:hint="eastAsia" w:ascii="黑体" w:eastAsia="黑体" w:cs="黑体"/>
          <w:b w:val="0"/>
          <w:bCs w:val="0"/>
          <w:kern w:val="0"/>
          <w:sz w:val="32"/>
          <w:szCs w:val="32"/>
        </w:rPr>
        <w:t>一、部门职责</w:t>
      </w:r>
    </w:p>
    <w:p>
      <w:pPr>
        <w:ind w:firstLine="640" w:firstLineChars="200"/>
        <w:jc w:val="left"/>
        <w:rPr>
          <w:rFonts w:eastAsia="仿宋_GB2312"/>
          <w:sz w:val="32"/>
        </w:rPr>
      </w:pPr>
      <w:r>
        <w:rPr>
          <w:rFonts w:eastAsia="仿宋_GB2312"/>
          <w:sz w:val="32"/>
        </w:rPr>
        <w:t>1</w:t>
      </w:r>
      <w:r>
        <w:rPr>
          <w:rFonts w:hint="eastAsia" w:eastAsia="仿宋_GB2312"/>
          <w:sz w:val="32"/>
        </w:rPr>
        <w:t>、领导全县共青团工作、指导全县少先队工作，对全县性青年社团组织进行指导和管理。</w:t>
      </w:r>
    </w:p>
    <w:p>
      <w:pPr>
        <w:ind w:firstLine="640" w:firstLineChars="200"/>
        <w:jc w:val="left"/>
        <w:rPr>
          <w:rFonts w:eastAsia="仿宋_GB2312"/>
          <w:sz w:val="32"/>
        </w:rPr>
      </w:pPr>
      <w:r>
        <w:rPr>
          <w:rFonts w:eastAsia="仿宋_GB2312"/>
          <w:sz w:val="32"/>
        </w:rPr>
        <w:t>2</w:t>
      </w:r>
      <w:r>
        <w:rPr>
          <w:rFonts w:hint="eastAsia" w:eastAsia="仿宋_GB2312"/>
          <w:sz w:val="32"/>
        </w:rPr>
        <w:t>、参与制定本县的青少年事业发展规划和青少年工作方针、政策，对青年工作学校、青少年活动阵地和青少年服务机构的建设等事务进行规划和管理。</w:t>
      </w:r>
    </w:p>
    <w:p>
      <w:pPr>
        <w:ind w:firstLine="640" w:firstLineChars="200"/>
        <w:jc w:val="left"/>
        <w:rPr>
          <w:rFonts w:eastAsia="仿宋_GB2312"/>
          <w:sz w:val="32"/>
        </w:rPr>
      </w:pPr>
      <w:r>
        <w:rPr>
          <w:rFonts w:eastAsia="仿宋_GB2312"/>
          <w:sz w:val="32"/>
        </w:rPr>
        <w:t>3</w:t>
      </w:r>
      <w:r>
        <w:rPr>
          <w:rFonts w:hint="eastAsia" w:eastAsia="仿宋_GB2312"/>
          <w:sz w:val="32"/>
        </w:rPr>
        <w:t>、参与本县有关青少年事务的法律、地方性法规的制定和实施，协助县委和县政府处理、协调与青少年利益相关的事务。</w:t>
      </w:r>
    </w:p>
    <w:p>
      <w:pPr>
        <w:ind w:firstLine="640" w:firstLineChars="200"/>
        <w:jc w:val="left"/>
        <w:rPr>
          <w:rFonts w:eastAsia="仿宋_GB2312"/>
          <w:sz w:val="32"/>
        </w:rPr>
      </w:pPr>
      <w:r>
        <w:rPr>
          <w:rFonts w:eastAsia="仿宋_GB2312"/>
          <w:sz w:val="32"/>
        </w:rPr>
        <w:t>4</w:t>
      </w:r>
      <w:r>
        <w:rPr>
          <w:rFonts w:hint="eastAsia" w:eastAsia="仿宋_GB2312"/>
          <w:sz w:val="32"/>
        </w:rPr>
        <w:t>、调查青年思想动态和青年工作状况，研究青少年运动、青少年工作理论和思想教育问题，提出相应对策，开展各种活动。</w:t>
      </w:r>
    </w:p>
    <w:p>
      <w:pPr>
        <w:ind w:firstLine="640" w:firstLineChars="200"/>
        <w:jc w:val="left"/>
        <w:rPr>
          <w:rFonts w:eastAsia="仿宋_GB2312"/>
          <w:sz w:val="32"/>
        </w:rPr>
      </w:pPr>
      <w:r>
        <w:rPr>
          <w:rFonts w:eastAsia="仿宋_GB2312"/>
          <w:sz w:val="32"/>
        </w:rPr>
        <w:t>5</w:t>
      </w:r>
      <w:r>
        <w:rPr>
          <w:rFonts w:hint="eastAsia" w:eastAsia="仿宋_GB2312"/>
          <w:sz w:val="32"/>
        </w:rPr>
        <w:t>、协助县政府教育部门做好中小学生的教育管理工作，维护学校稳定和社会安定团结。</w:t>
      </w:r>
    </w:p>
    <w:p>
      <w:pPr>
        <w:ind w:firstLine="640" w:firstLineChars="200"/>
        <w:jc w:val="left"/>
        <w:rPr>
          <w:rFonts w:eastAsia="仿宋_GB2312"/>
          <w:sz w:val="32"/>
        </w:rPr>
      </w:pPr>
      <w:r>
        <w:rPr>
          <w:rFonts w:eastAsia="仿宋_GB2312"/>
          <w:sz w:val="32"/>
        </w:rPr>
        <w:t>6</w:t>
      </w:r>
      <w:r>
        <w:rPr>
          <w:rFonts w:hint="eastAsia" w:eastAsia="仿宋_GB2312"/>
          <w:sz w:val="32"/>
        </w:rPr>
        <w:t>、在国家经济建设中，组织和带领青年发挥生力军和突击队作用。</w:t>
      </w:r>
    </w:p>
    <w:p>
      <w:pPr>
        <w:ind w:firstLine="640" w:firstLineChars="200"/>
        <w:jc w:val="left"/>
        <w:rPr>
          <w:rFonts w:eastAsia="仿宋_GB2312"/>
          <w:sz w:val="32"/>
        </w:rPr>
      </w:pPr>
      <w:r>
        <w:rPr>
          <w:rFonts w:eastAsia="仿宋_GB2312"/>
          <w:sz w:val="32"/>
        </w:rPr>
        <w:t>7</w:t>
      </w:r>
      <w:r>
        <w:rPr>
          <w:rFonts w:hint="eastAsia" w:eastAsia="仿宋_GB2312"/>
          <w:sz w:val="32"/>
        </w:rPr>
        <w:t>、会同有关部门对全县青少年外事工作实行归口管理和提供服务，参与制定、执行全县的青少年外事政策并落实有关工作。</w:t>
      </w:r>
    </w:p>
    <w:p>
      <w:pPr>
        <w:ind w:firstLine="640" w:firstLineChars="200"/>
        <w:jc w:val="left"/>
        <w:rPr>
          <w:rFonts w:eastAsia="仿宋_GB2312"/>
          <w:sz w:val="32"/>
        </w:rPr>
      </w:pPr>
      <w:r>
        <w:rPr>
          <w:rFonts w:eastAsia="仿宋_GB2312"/>
          <w:sz w:val="32"/>
        </w:rPr>
        <w:t>8</w:t>
      </w:r>
      <w:r>
        <w:rPr>
          <w:rFonts w:hint="eastAsia" w:eastAsia="仿宋_GB2312"/>
          <w:sz w:val="32"/>
        </w:rPr>
        <w:t>、参与制定有关本县的青年统战工作的政策，做好青年统战对象的团结教育工作，维护和促进祖国统一和民族团结。</w:t>
      </w:r>
    </w:p>
    <w:p>
      <w:pPr>
        <w:ind w:firstLine="640" w:firstLineChars="200"/>
        <w:jc w:val="left"/>
        <w:rPr>
          <w:rFonts w:eastAsia="仿宋_GB2312"/>
          <w:sz w:val="32"/>
        </w:rPr>
      </w:pPr>
      <w:r>
        <w:rPr>
          <w:rFonts w:eastAsia="仿宋_GB2312"/>
          <w:sz w:val="32"/>
        </w:rPr>
        <w:t>9</w:t>
      </w:r>
      <w:r>
        <w:rPr>
          <w:rFonts w:hint="eastAsia" w:eastAsia="仿宋_GB2312"/>
          <w:sz w:val="32"/>
        </w:rPr>
        <w:t>、制定青年志愿者行动发展规划，做好青年志愿者行动的组织、指导工作。</w:t>
      </w:r>
    </w:p>
    <w:p>
      <w:pPr>
        <w:ind w:firstLine="640" w:firstLineChars="200"/>
        <w:jc w:val="left"/>
        <w:rPr>
          <w:rFonts w:eastAsia="仿宋_GB2312"/>
          <w:sz w:val="32"/>
        </w:rPr>
      </w:pPr>
      <w:r>
        <w:rPr>
          <w:rFonts w:eastAsia="仿宋_GB2312"/>
          <w:sz w:val="32"/>
        </w:rPr>
        <w:t>10</w:t>
      </w:r>
      <w:r>
        <w:rPr>
          <w:rFonts w:hint="eastAsia" w:eastAsia="仿宋_GB2312"/>
          <w:sz w:val="32"/>
        </w:rPr>
        <w:t>、会同有关部门积极维护青少年合法权益。</w:t>
      </w:r>
    </w:p>
    <w:p>
      <w:pPr>
        <w:ind w:firstLine="640" w:firstLineChars="200"/>
        <w:jc w:val="left"/>
        <w:rPr>
          <w:rFonts w:eastAsia="仿宋_GB2312"/>
          <w:sz w:val="32"/>
        </w:rPr>
      </w:pPr>
      <w:r>
        <w:rPr>
          <w:rFonts w:eastAsia="仿宋_GB2312"/>
          <w:sz w:val="32"/>
        </w:rPr>
        <w:t>11</w:t>
      </w:r>
      <w:r>
        <w:rPr>
          <w:rFonts w:hint="eastAsia" w:eastAsia="仿宋_GB2312"/>
          <w:sz w:val="32"/>
        </w:rPr>
        <w:t>、承担县委、县政府、上级团的领导机关交办的有关事项。</w:t>
      </w:r>
    </w:p>
    <w:p>
      <w:pPr>
        <w:keepNext/>
        <w:keepLines/>
        <w:spacing w:line="580" w:lineRule="exact"/>
        <w:ind w:firstLine="640" w:firstLineChars="200"/>
        <w:jc w:val="left"/>
        <w:outlineLvl w:val="0"/>
        <w:rPr>
          <w:rFonts w:ascii="黑体" w:eastAsia="黑体" w:cs="黑体"/>
          <w:kern w:val="0"/>
          <w:sz w:val="32"/>
          <w:szCs w:val="32"/>
        </w:rPr>
      </w:pPr>
      <w:r>
        <w:rPr>
          <w:rFonts w:hint="eastAsia" w:ascii="黑体" w:eastAsia="黑体" w:cs="黑体"/>
          <w:kern w:val="0"/>
          <w:sz w:val="32"/>
          <w:szCs w:val="32"/>
        </w:rPr>
        <w:t>二、机构设置</w:t>
      </w:r>
    </w:p>
    <w:p>
      <w:pPr>
        <w:spacing w:line="580" w:lineRule="exact"/>
        <w:ind w:firstLine="640" w:firstLineChars="200"/>
        <w:rPr>
          <w:rFonts w:ascii="仿宋_GB2312" w:eastAsia="仿宋_GB2312" w:cs="ArialUnicodeMS"/>
          <w:kern w:val="0"/>
          <w:sz w:val="32"/>
          <w:szCs w:val="32"/>
        </w:rPr>
      </w:pPr>
      <w:r>
        <w:rPr>
          <w:rFonts w:hint="eastAsia" w:ascii="仿宋_GB2312" w:eastAsia="仿宋_GB2312" w:cs="ArialUnicodeMS"/>
          <w:kern w:val="0"/>
          <w:sz w:val="32"/>
          <w:szCs w:val="32"/>
        </w:rPr>
        <w:t>从决算编报单位构成看，纳入2019 年度本部门决算汇编范围的独立核算单位（以下简称“单位”）共1个，具体情况如下：</w:t>
      </w:r>
    </w:p>
    <w:tbl>
      <w:tblPr>
        <w:tblStyle w:val="9"/>
        <w:tblpPr w:leftFromText="180" w:rightFromText="180" w:vertAnchor="text" w:horzAnchor="page" w:tblpXSpec="center" w:tblpY="10"/>
        <w:tblOverlap w:val="never"/>
        <w:tblW w:w="9580" w:type="dxa"/>
        <w:tblInd w:w="0" w:type="dxa"/>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Layout w:type="fixed"/>
        <w:tblCellMar>
          <w:top w:w="0" w:type="dxa"/>
          <w:left w:w="108" w:type="dxa"/>
          <w:bottom w:w="0" w:type="dxa"/>
          <w:right w:w="108" w:type="dxa"/>
        </w:tblCellMar>
      </w:tblPr>
      <w:tblGrid>
        <w:gridCol w:w="985"/>
        <w:gridCol w:w="4510"/>
        <w:gridCol w:w="2268"/>
        <w:gridCol w:w="1817"/>
      </w:tblGrid>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811" w:hRule="atLeast"/>
        </w:trPr>
        <w:tc>
          <w:tcPr>
            <w:tcW w:w="985" w:type="dxa"/>
            <w:vAlign w:val="center"/>
          </w:tcPr>
          <w:p>
            <w:pPr>
              <w:spacing w:line="560" w:lineRule="exact"/>
              <w:jc w:val="center"/>
              <w:rPr>
                <w:rFonts w:ascii="仿宋_GB2312" w:eastAsia="仿宋_GB2312" w:cs="ArialUnicodeMS"/>
                <w:b/>
                <w:bCs/>
                <w:kern w:val="0"/>
                <w:sz w:val="28"/>
                <w:szCs w:val="28"/>
              </w:rPr>
            </w:pPr>
            <w:r>
              <w:rPr>
                <w:rFonts w:hint="eastAsia" w:ascii="仿宋_GB2312" w:eastAsia="仿宋_GB2312" w:cs="ArialUnicodeMS"/>
                <w:b/>
                <w:bCs/>
                <w:kern w:val="0"/>
                <w:sz w:val="28"/>
                <w:szCs w:val="28"/>
              </w:rPr>
              <w:t>序号</w:t>
            </w:r>
          </w:p>
        </w:tc>
        <w:tc>
          <w:tcPr>
            <w:tcW w:w="4510" w:type="dxa"/>
            <w:vAlign w:val="center"/>
          </w:tcPr>
          <w:p>
            <w:pPr>
              <w:spacing w:line="560" w:lineRule="exact"/>
              <w:jc w:val="center"/>
              <w:rPr>
                <w:rFonts w:ascii="仿宋_GB2312" w:eastAsia="仿宋_GB2312" w:cs="ArialUnicodeMS"/>
                <w:b/>
                <w:bCs/>
                <w:kern w:val="0"/>
                <w:sz w:val="28"/>
                <w:szCs w:val="28"/>
              </w:rPr>
            </w:pPr>
            <w:r>
              <w:rPr>
                <w:rFonts w:hint="eastAsia" w:ascii="仿宋_GB2312" w:eastAsia="仿宋_GB2312" w:cs="ArialUnicodeMS"/>
                <w:b/>
                <w:bCs/>
                <w:kern w:val="0"/>
                <w:sz w:val="28"/>
                <w:szCs w:val="28"/>
              </w:rPr>
              <w:t>单位名称</w:t>
            </w:r>
          </w:p>
        </w:tc>
        <w:tc>
          <w:tcPr>
            <w:tcW w:w="2268" w:type="dxa"/>
            <w:vAlign w:val="center"/>
          </w:tcPr>
          <w:p>
            <w:pPr>
              <w:spacing w:line="560" w:lineRule="exact"/>
              <w:jc w:val="center"/>
              <w:rPr>
                <w:rFonts w:ascii="仿宋_GB2312" w:eastAsia="仿宋_GB2312" w:cs="ArialUnicodeMS"/>
                <w:b/>
                <w:bCs/>
                <w:kern w:val="0"/>
                <w:sz w:val="28"/>
                <w:szCs w:val="28"/>
              </w:rPr>
            </w:pPr>
            <w:r>
              <w:rPr>
                <w:rFonts w:hint="eastAsia" w:ascii="仿宋_GB2312" w:eastAsia="仿宋_GB2312" w:cs="ArialUnicodeMS"/>
                <w:b/>
                <w:bCs/>
                <w:kern w:val="0"/>
                <w:sz w:val="28"/>
                <w:szCs w:val="28"/>
              </w:rPr>
              <w:t>单位基本性质</w:t>
            </w:r>
          </w:p>
        </w:tc>
        <w:tc>
          <w:tcPr>
            <w:tcW w:w="1817" w:type="dxa"/>
            <w:vAlign w:val="center"/>
          </w:tcPr>
          <w:p>
            <w:pPr>
              <w:spacing w:line="560" w:lineRule="exact"/>
              <w:jc w:val="center"/>
              <w:rPr>
                <w:rFonts w:ascii="仿宋_GB2312" w:eastAsia="仿宋_GB2312" w:cs="ArialUnicodeMS"/>
                <w:b/>
                <w:bCs/>
                <w:kern w:val="0"/>
                <w:sz w:val="28"/>
                <w:szCs w:val="28"/>
              </w:rPr>
            </w:pPr>
            <w:r>
              <w:rPr>
                <w:rFonts w:hint="eastAsia" w:ascii="仿宋_GB2312" w:eastAsia="仿宋_GB2312" w:cs="ArialUnicodeMS"/>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596" w:hRule="atLeast"/>
        </w:trPr>
        <w:tc>
          <w:tcPr>
            <w:tcW w:w="985" w:type="dxa"/>
          </w:tcPr>
          <w:p>
            <w:pPr>
              <w:spacing w:line="560" w:lineRule="exact"/>
              <w:jc w:val="center"/>
              <w:rPr>
                <w:rFonts w:ascii="仿宋_GB2312" w:eastAsia="仿宋_GB2312" w:cs="ArialUnicodeMS"/>
                <w:kern w:val="0"/>
                <w:sz w:val="28"/>
                <w:szCs w:val="28"/>
              </w:rPr>
            </w:pPr>
            <w:r>
              <w:rPr>
                <w:rFonts w:hint="eastAsia" w:ascii="仿宋_GB2312" w:eastAsia="仿宋_GB2312" w:cs="ArialUnicodeMS"/>
                <w:kern w:val="0"/>
                <w:sz w:val="28"/>
                <w:szCs w:val="28"/>
              </w:rPr>
              <w:t>1</w:t>
            </w:r>
          </w:p>
        </w:tc>
        <w:tc>
          <w:tcPr>
            <w:tcW w:w="4510" w:type="dxa"/>
            <w:vAlign w:val="center"/>
          </w:tcPr>
          <w:p>
            <w:pPr>
              <w:spacing w:line="300" w:lineRule="exact"/>
              <w:jc w:val="center"/>
              <w:rPr>
                <w:rFonts w:eastAsia="方正书宋_GBK"/>
              </w:rPr>
            </w:pPr>
            <w:r>
              <w:rPr>
                <w:rFonts w:hint="eastAsia" w:eastAsia="方正书宋_GBK"/>
              </w:rPr>
              <w:t>中国共产主义青年团大城县委员会（本级）</w:t>
            </w:r>
          </w:p>
        </w:tc>
        <w:tc>
          <w:tcPr>
            <w:tcW w:w="2268" w:type="dxa"/>
            <w:vAlign w:val="center"/>
          </w:tcPr>
          <w:p>
            <w:pPr>
              <w:spacing w:line="300" w:lineRule="exact"/>
              <w:jc w:val="center"/>
              <w:rPr>
                <w:rFonts w:eastAsia="方正书宋_GBK"/>
              </w:rPr>
            </w:pPr>
            <w:r>
              <w:rPr>
                <w:rFonts w:hint="eastAsia" w:eastAsia="方正书宋_GBK"/>
              </w:rPr>
              <w:t>行政单位</w:t>
            </w:r>
          </w:p>
        </w:tc>
        <w:tc>
          <w:tcPr>
            <w:tcW w:w="1817" w:type="dxa"/>
            <w:vAlign w:val="center"/>
          </w:tcPr>
          <w:p>
            <w:pPr>
              <w:spacing w:line="300" w:lineRule="exact"/>
              <w:jc w:val="center"/>
              <w:rPr>
                <w:rFonts w:eastAsia="方正书宋_GBK"/>
              </w:rPr>
            </w:pPr>
            <w:r>
              <w:rPr>
                <w:rFonts w:hint="eastAsia" w:eastAsia="方正书宋_GBK"/>
              </w:rPr>
              <w:t>财政拨款</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596" w:hRule="atLeast"/>
        </w:trPr>
        <w:tc>
          <w:tcPr>
            <w:tcW w:w="985" w:type="dxa"/>
          </w:tcPr>
          <w:p>
            <w:pPr>
              <w:spacing w:line="560" w:lineRule="exact"/>
              <w:jc w:val="center"/>
              <w:rPr>
                <w:rFonts w:ascii="仿宋_GB2312" w:eastAsia="仿宋_GB2312" w:cs="ArialUnicodeMS"/>
                <w:kern w:val="0"/>
                <w:sz w:val="28"/>
                <w:szCs w:val="28"/>
              </w:rPr>
            </w:pPr>
            <w:r>
              <w:rPr>
                <w:rFonts w:hint="eastAsia" w:ascii="仿宋_GB2312" w:eastAsia="仿宋_GB2312" w:cs="ArialUnicodeMS"/>
                <w:kern w:val="0"/>
                <w:sz w:val="28"/>
                <w:szCs w:val="28"/>
              </w:rPr>
              <w:t>2</w:t>
            </w:r>
          </w:p>
        </w:tc>
        <w:tc>
          <w:tcPr>
            <w:tcW w:w="4510" w:type="dxa"/>
          </w:tcPr>
          <w:p>
            <w:pPr>
              <w:spacing w:line="560" w:lineRule="exact"/>
              <w:rPr>
                <w:rFonts w:ascii="仿宋_GB2312" w:eastAsia="仿宋_GB2312" w:cs="ArialUnicodeMS"/>
                <w:kern w:val="0"/>
                <w:sz w:val="28"/>
                <w:szCs w:val="28"/>
              </w:rPr>
            </w:pPr>
          </w:p>
        </w:tc>
        <w:tc>
          <w:tcPr>
            <w:tcW w:w="2268" w:type="dxa"/>
          </w:tcPr>
          <w:p>
            <w:pPr>
              <w:spacing w:line="560" w:lineRule="exact"/>
              <w:jc w:val="center"/>
              <w:rPr>
                <w:rFonts w:ascii="仿宋_GB2312" w:eastAsia="仿宋_GB2312" w:cs="ArialUnicodeMS"/>
                <w:kern w:val="0"/>
                <w:sz w:val="28"/>
                <w:szCs w:val="28"/>
              </w:rPr>
            </w:pPr>
          </w:p>
        </w:tc>
        <w:tc>
          <w:tcPr>
            <w:tcW w:w="1817" w:type="dxa"/>
          </w:tcPr>
          <w:p>
            <w:pPr>
              <w:spacing w:line="560" w:lineRule="exact"/>
              <w:jc w:val="center"/>
              <w:rPr>
                <w:rFonts w:ascii="仿宋_GB2312" w:eastAsia="仿宋_GB2312" w:cs="ArialUnicodeMS"/>
                <w:kern w:val="0"/>
                <w:sz w:val="28"/>
                <w:szCs w:val="28"/>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596" w:hRule="atLeast"/>
        </w:trPr>
        <w:tc>
          <w:tcPr>
            <w:tcW w:w="985" w:type="dxa"/>
          </w:tcPr>
          <w:p>
            <w:pPr>
              <w:spacing w:line="560" w:lineRule="exact"/>
              <w:jc w:val="center"/>
              <w:rPr>
                <w:rFonts w:ascii="仿宋_GB2312" w:eastAsia="仿宋_GB2312" w:cs="ArialUnicodeMS"/>
                <w:kern w:val="0"/>
                <w:sz w:val="28"/>
                <w:szCs w:val="28"/>
              </w:rPr>
            </w:pPr>
            <w:r>
              <w:rPr>
                <w:rFonts w:hint="eastAsia" w:ascii="仿宋_GB2312" w:eastAsia="仿宋_GB2312" w:cs="ArialUnicodeMS"/>
                <w:kern w:val="0"/>
                <w:sz w:val="28"/>
                <w:szCs w:val="28"/>
              </w:rPr>
              <w:t>3</w:t>
            </w:r>
          </w:p>
        </w:tc>
        <w:tc>
          <w:tcPr>
            <w:tcW w:w="4510" w:type="dxa"/>
          </w:tcPr>
          <w:p>
            <w:pPr>
              <w:spacing w:line="560" w:lineRule="exact"/>
              <w:rPr>
                <w:rFonts w:ascii="仿宋_GB2312" w:eastAsia="仿宋_GB2312" w:cs="ArialUnicodeMS"/>
                <w:kern w:val="0"/>
                <w:sz w:val="28"/>
                <w:szCs w:val="28"/>
              </w:rPr>
            </w:pPr>
          </w:p>
        </w:tc>
        <w:tc>
          <w:tcPr>
            <w:tcW w:w="2268" w:type="dxa"/>
          </w:tcPr>
          <w:p>
            <w:pPr>
              <w:spacing w:line="560" w:lineRule="exact"/>
              <w:jc w:val="center"/>
              <w:rPr>
                <w:rFonts w:ascii="仿宋_GB2312" w:eastAsia="仿宋_GB2312" w:cs="ArialUnicodeMS"/>
                <w:kern w:val="0"/>
                <w:sz w:val="28"/>
                <w:szCs w:val="28"/>
              </w:rPr>
            </w:pPr>
          </w:p>
        </w:tc>
        <w:tc>
          <w:tcPr>
            <w:tcW w:w="1817" w:type="dxa"/>
          </w:tcPr>
          <w:p>
            <w:pPr>
              <w:spacing w:line="560" w:lineRule="exact"/>
              <w:jc w:val="center"/>
              <w:rPr>
                <w:rFonts w:ascii="仿宋_GB2312" w:eastAsia="仿宋_GB2312" w:cs="ArialUnicodeMS"/>
                <w:kern w:val="0"/>
                <w:sz w:val="28"/>
                <w:szCs w:val="28"/>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606" w:hRule="atLeast"/>
        </w:trPr>
        <w:tc>
          <w:tcPr>
            <w:tcW w:w="985" w:type="dxa"/>
            <w:tcBorders>
              <w:bottom w:val="single" w:color="auto" w:sz="4" w:space="0"/>
            </w:tcBorders>
          </w:tcPr>
          <w:p>
            <w:pPr>
              <w:spacing w:line="560" w:lineRule="exact"/>
              <w:jc w:val="center"/>
              <w:rPr>
                <w:rFonts w:ascii="仿宋_GB2312" w:eastAsia="仿宋_GB2312" w:cs="ArialUnicodeMS"/>
                <w:kern w:val="0"/>
                <w:sz w:val="28"/>
                <w:szCs w:val="28"/>
              </w:rPr>
            </w:pPr>
            <w:r>
              <w:rPr>
                <w:rFonts w:hint="eastAsia" w:ascii="仿宋_GB2312" w:eastAsia="仿宋_GB2312" w:cs="ArialUnicodeMS"/>
                <w:kern w:val="0"/>
                <w:sz w:val="28"/>
                <w:szCs w:val="28"/>
              </w:rPr>
              <w:t>……</w:t>
            </w:r>
          </w:p>
        </w:tc>
        <w:tc>
          <w:tcPr>
            <w:tcW w:w="4510" w:type="dxa"/>
            <w:tcBorders>
              <w:bottom w:val="single" w:color="auto" w:sz="4" w:space="0"/>
            </w:tcBorders>
          </w:tcPr>
          <w:p>
            <w:pPr>
              <w:spacing w:line="560" w:lineRule="exact"/>
              <w:rPr>
                <w:rFonts w:ascii="仿宋_GB2312" w:eastAsia="仿宋_GB2312" w:cs="ArialUnicodeMS"/>
                <w:kern w:val="0"/>
                <w:sz w:val="28"/>
                <w:szCs w:val="28"/>
              </w:rPr>
            </w:pPr>
            <w:r>
              <w:rPr>
                <w:rFonts w:hint="eastAsia" w:ascii="仿宋_GB2312" w:eastAsia="仿宋_GB2312" w:cs="ArialUnicodeMS"/>
                <w:kern w:val="0"/>
                <w:sz w:val="28"/>
                <w:szCs w:val="28"/>
              </w:rPr>
              <w:t>……………</w:t>
            </w:r>
          </w:p>
        </w:tc>
        <w:tc>
          <w:tcPr>
            <w:tcW w:w="2268" w:type="dxa"/>
            <w:tcBorders>
              <w:bottom w:val="single" w:color="auto" w:sz="4" w:space="0"/>
            </w:tcBorders>
          </w:tcPr>
          <w:p>
            <w:pPr>
              <w:spacing w:line="560" w:lineRule="exact"/>
              <w:jc w:val="center"/>
              <w:rPr>
                <w:rFonts w:ascii="仿宋_GB2312" w:eastAsia="仿宋_GB2312" w:cs="ArialUnicodeMS"/>
                <w:kern w:val="0"/>
                <w:sz w:val="28"/>
                <w:szCs w:val="28"/>
              </w:rPr>
            </w:pPr>
          </w:p>
        </w:tc>
        <w:tc>
          <w:tcPr>
            <w:tcW w:w="1817" w:type="dxa"/>
            <w:tcBorders>
              <w:bottom w:val="single" w:color="auto" w:sz="4" w:space="0"/>
            </w:tcBorders>
          </w:tcPr>
          <w:p>
            <w:pPr>
              <w:spacing w:line="560" w:lineRule="exact"/>
              <w:jc w:val="center"/>
              <w:rPr>
                <w:rFonts w:ascii="仿宋_GB2312" w:eastAsia="仿宋_GB2312" w:cs="ArialUnicodeMS"/>
                <w:kern w:val="0"/>
                <w:sz w:val="28"/>
                <w:szCs w:val="28"/>
              </w:rPr>
            </w:pPr>
          </w:p>
        </w:tc>
      </w:tr>
    </w:tbl>
    <w:p>
      <w:pPr>
        <w:widowControl/>
        <w:spacing w:after="160" w:line="580" w:lineRule="exact"/>
        <w:ind w:firstLine="560" w:firstLineChars="200"/>
        <w:rPr>
          <w:rFonts w:ascii="仿宋_GB2312" w:eastAsia="仿宋_GB2312" w:cs="ArialUnicodeMS"/>
          <w:kern w:val="0"/>
          <w:sz w:val="28"/>
          <w:szCs w:val="28"/>
        </w:rPr>
      </w:pPr>
    </w:p>
    <w:p>
      <w:pPr>
        <w:widowControl/>
        <w:spacing w:after="160" w:line="580" w:lineRule="exact"/>
        <w:ind w:firstLine="640" w:firstLineChars="200"/>
        <w:rPr>
          <w:rFonts w:ascii="Times New Roman" w:eastAsia="黑体" w:cs="Times New Roman"/>
          <w:sz w:val="32"/>
          <w:szCs w:val="32"/>
        </w:rPr>
      </w:pPr>
    </w:p>
    <w:p>
      <w:pPr>
        <w:widowControl/>
        <w:spacing w:after="160" w:line="580" w:lineRule="exact"/>
        <w:ind w:firstLine="640" w:firstLineChars="200"/>
        <w:rPr>
          <w:rFonts w:ascii="Times New Roman" w:eastAsia="黑体" w:cs="Times New Roman"/>
          <w:sz w:val="32"/>
          <w:szCs w:val="32"/>
        </w:rPr>
      </w:pPr>
    </w:p>
    <w:p>
      <w:pPr>
        <w:widowControl/>
        <w:spacing w:after="160" w:line="580" w:lineRule="exact"/>
        <w:ind w:firstLine="640" w:firstLineChars="200"/>
        <w:rPr>
          <w:rFonts w:ascii="Times New Roman" w:eastAsia="黑体" w:cs="Times New Roman"/>
          <w:sz w:val="32"/>
          <w:szCs w:val="32"/>
        </w:rPr>
        <w:sectPr>
          <w:footerReference r:id="rId18" w:type="first"/>
          <w:headerReference r:id="rId16" w:type="default"/>
          <w:footerReference r:id="rId17" w:type="default"/>
          <w:pgSz w:w="11906" w:h="16838"/>
          <w:pgMar w:top="2041" w:right="1531" w:bottom="2041" w:left="1531" w:header="851" w:footer="992" w:gutter="0"/>
          <w:pgNumType w:fmt="numberInDash" w:start="1"/>
          <w:cols w:space="720" w:num="1"/>
          <w:titlePg/>
          <w:docGrid w:type="lines" w:linePitch="312" w:charSpace="0"/>
        </w:sectPr>
      </w:pPr>
    </w:p>
    <w:p>
      <w:pPr>
        <w:widowControl/>
        <w:spacing w:after="160" w:line="580" w:lineRule="exact"/>
        <w:ind w:firstLine="640" w:firstLineChars="200"/>
        <w:rPr>
          <w:rFonts w:ascii="Times New Roman" w:eastAsia="黑体" w:cs="Times New Roman"/>
          <w:sz w:val="32"/>
          <w:szCs w:val="32"/>
        </w:rPr>
        <w:sectPr>
          <w:headerReference r:id="rId19" w:type="default"/>
          <w:type w:val="continuous"/>
          <w:pgSz w:w="11906" w:h="16838"/>
          <w:pgMar w:top="2041" w:right="1531" w:bottom="2041" w:left="1531" w:header="851" w:footer="992" w:gutter="0"/>
          <w:pgNumType w:fmt="numberInDash"/>
          <w:cols w:space="720" w:num="1"/>
          <w:titlePg/>
          <w:docGrid w:type="lines" w:linePitch="312" w:charSpace="0"/>
        </w:sectPr>
      </w:pPr>
    </w:p>
    <w:p>
      <w:pPr>
        <w:widowControl/>
        <w:spacing w:after="160" w:line="580" w:lineRule="exact"/>
        <w:ind w:firstLine="1440" w:firstLineChars="200"/>
        <w:rPr>
          <w:rFonts w:ascii="Times New Roman" w:eastAsia="黑体" w:cs="Times New Roman"/>
          <w:sz w:val="32"/>
          <w:szCs w:val="32"/>
        </w:rPr>
        <w:sectPr>
          <w:pgSz w:w="11906" w:h="16838"/>
          <w:pgMar w:top="2041" w:right="1531" w:bottom="2041" w:left="1531" w:header="851" w:footer="992" w:gutter="0"/>
          <w:pgNumType w:fmt="numberInDash"/>
          <w:cols w:space="720" w:num="1"/>
          <w:titlePg/>
          <w:docGrid w:type="lines" w:linePitch="312" w:charSpace="0"/>
        </w:sectPr>
      </w:pPr>
      <w:r>
        <w:rPr>
          <w:sz w:val="72"/>
        </w:rPr>
        <w:pict>
          <v:shape id="文本框 94" o:spid="_x0000_s2054" o:spt="202" type="#_x0000_t202" style="position:absolute;left:0pt;margin-left:-85.7pt;margin-top:238.15pt;height:173.25pt;width:613.65pt;z-index:251666432;mso-width-relative:page;mso-height-relative:page;" filled="f" stroked="f" coordsize="21600,21600">
            <v:path/>
            <v:fill on="f" focussize="0,0"/>
            <v:stroke on="f" joinstyle="miter"/>
            <v:imagedata o:title=""/>
            <o:lock v:ext="edit"/>
            <v:textbox>
              <w:txbxContent>
                <w:p>
                  <w:pPr>
                    <w:widowControl/>
                    <w:jc w:val="center"/>
                    <w:rPr>
                      <w:rFonts w:ascii="黑体" w:eastAsia="黑体" w:cs="黑体"/>
                      <w:color w:val="000000"/>
                      <w:sz w:val="96"/>
                      <w:szCs w:val="96"/>
                    </w:rPr>
                  </w:pPr>
                </w:p>
                <w:p>
                  <w:pPr>
                    <w:widowControl/>
                    <w:jc w:val="center"/>
                    <w:rPr>
                      <w:rFonts w:ascii="黑体" w:eastAsia="黑体" w:cs="黑体"/>
                      <w:color w:val="000000"/>
                      <w:sz w:val="96"/>
                      <w:szCs w:val="96"/>
                    </w:rPr>
                  </w:pPr>
                </w:p>
              </w:txbxContent>
            </v:textbox>
          </v:shape>
        </w:pict>
      </w:r>
    </w:p>
    <w:p>
      <w:pPr>
        <w:widowControl/>
        <w:spacing w:line="580" w:lineRule="exact"/>
        <w:ind w:firstLine="640" w:firstLineChars="200"/>
        <w:rPr>
          <w:rFonts w:eastAsia="黑体"/>
          <w:sz w:val="32"/>
          <w:szCs w:val="32"/>
        </w:rPr>
      </w:pPr>
    </w:p>
    <w:p>
      <w:pPr>
        <w:jc w:val="center"/>
        <w:rPr>
          <w:rFonts w:ascii="黑体" w:eastAsia="黑体" w:cs="黑体"/>
          <w:sz w:val="56"/>
          <w:szCs w:val="72"/>
        </w:rPr>
      </w:pPr>
    </w:p>
    <w:p>
      <w:pPr>
        <w:jc w:val="center"/>
        <w:rPr>
          <w:rFonts w:ascii="黑体" w:eastAsia="黑体" w:cs="黑体"/>
          <w:sz w:val="56"/>
          <w:szCs w:val="72"/>
        </w:rPr>
      </w:pPr>
    </w:p>
    <w:p>
      <w:pPr>
        <w:jc w:val="center"/>
        <w:rPr>
          <w:rFonts w:ascii="黑体" w:eastAsia="黑体" w:cs="黑体"/>
          <w:sz w:val="56"/>
          <w:szCs w:val="72"/>
        </w:rPr>
      </w:pPr>
      <w:r>
        <w:rPr>
          <w:sz w:val="72"/>
        </w:rPr>
        <w:pict>
          <v:shape id="文本框 97" o:spid="_x0000_s2053" o:spt="202" type="#_x0000_t202" style="position:absolute;left:0pt;margin-left:-90.8pt;margin-top:4.35pt;height:263.1pt;width:613.65pt;z-index:251667456;v-text-anchor:middle;mso-width-relative:page;mso-height-relative:page;" fillcolor="#FFD966" filled="t" stroked="t" coordsize="21600,21600">
            <v:path/>
            <v:fill type="pattern" on="t" o:title="5%" focussize="0,0" r:id="rId31"/>
            <v:stroke weight="0.5pt" color="#FFD966" joinstyle="miter"/>
            <v:imagedata o:title=""/>
            <o:lock v:ext="edit"/>
            <v:textbox>
              <w:txbxContent>
                <w:p>
                  <w:pPr>
                    <w:widowControl/>
                    <w:jc w:val="center"/>
                    <w:rPr>
                      <w:rFonts w:ascii="黑体" w:eastAsia="黑体" w:cs="黑体"/>
                      <w:color w:val="000000"/>
                      <w:sz w:val="90"/>
                      <w:szCs w:val="90"/>
                    </w:rPr>
                  </w:pPr>
                  <w:r>
                    <w:rPr>
                      <w:rFonts w:hint="eastAsia" w:ascii="黑体" w:eastAsia="黑体" w:cs="黑体"/>
                      <w:color w:val="000000"/>
                      <w:sz w:val="90"/>
                      <w:szCs w:val="90"/>
                    </w:rPr>
                    <w:t xml:space="preserve">第二部分 </w:t>
                  </w:r>
                </w:p>
                <w:p>
                  <w:pPr>
                    <w:widowControl/>
                    <w:jc w:val="center"/>
                    <w:rPr>
                      <w:rFonts w:ascii="黑体" w:eastAsia="黑体" w:cs="黑体"/>
                      <w:color w:val="000000"/>
                      <w:sz w:val="90"/>
                      <w:szCs w:val="90"/>
                    </w:rPr>
                  </w:pPr>
                  <w:r>
                    <w:rPr>
                      <w:rFonts w:hint="eastAsia" w:ascii="黑体" w:eastAsia="黑体" w:cs="黑体"/>
                      <w:color w:val="000000"/>
                      <w:sz w:val="90"/>
                      <w:szCs w:val="90"/>
                    </w:rPr>
                    <w:t>2019年部门决算情况说明</w:t>
                  </w:r>
                </w:p>
                <w:p/>
              </w:txbxContent>
            </v:textbox>
          </v:shape>
        </w:pict>
      </w:r>
    </w:p>
    <w:p>
      <w:pPr>
        <w:jc w:val="center"/>
        <w:rPr>
          <w:rFonts w:ascii="黑体" w:eastAsia="黑体" w:cs="黑体"/>
          <w:sz w:val="56"/>
          <w:szCs w:val="72"/>
        </w:rPr>
      </w:pPr>
    </w:p>
    <w:p>
      <w:pPr>
        <w:jc w:val="center"/>
        <w:rPr>
          <w:rFonts w:ascii="黑体" w:eastAsia="黑体" w:cs="黑体"/>
          <w:sz w:val="56"/>
          <w:szCs w:val="72"/>
        </w:rPr>
      </w:pPr>
    </w:p>
    <w:p>
      <w:pPr>
        <w:jc w:val="center"/>
        <w:rPr>
          <w:rFonts w:ascii="黑体" w:eastAsia="黑体" w:cs="黑体"/>
          <w:sz w:val="56"/>
          <w:szCs w:val="72"/>
        </w:rPr>
      </w:pPr>
    </w:p>
    <w:p>
      <w:pPr>
        <w:jc w:val="center"/>
        <w:rPr>
          <w:rFonts w:ascii="黑体" w:eastAsia="黑体" w:cs="黑体"/>
          <w:sz w:val="56"/>
          <w:szCs w:val="72"/>
        </w:rPr>
      </w:pPr>
    </w:p>
    <w:p>
      <w:pPr>
        <w:jc w:val="center"/>
        <w:rPr>
          <w:rFonts w:ascii="黑体" w:eastAsia="黑体" w:cs="黑体"/>
          <w:sz w:val="56"/>
          <w:szCs w:val="72"/>
        </w:rPr>
      </w:pPr>
    </w:p>
    <w:p>
      <w:pPr>
        <w:jc w:val="center"/>
        <w:rPr>
          <w:rFonts w:ascii="黑体" w:eastAsia="黑体" w:cs="黑体"/>
          <w:sz w:val="56"/>
          <w:szCs w:val="72"/>
        </w:rPr>
      </w:pPr>
    </w:p>
    <w:p>
      <w:pPr>
        <w:jc w:val="center"/>
        <w:rPr>
          <w:rFonts w:ascii="黑体" w:eastAsia="黑体" w:cs="黑体"/>
          <w:sz w:val="56"/>
          <w:szCs w:val="72"/>
        </w:rPr>
      </w:pPr>
    </w:p>
    <w:p>
      <w:pPr>
        <w:jc w:val="center"/>
        <w:rPr>
          <w:rFonts w:ascii="黑体" w:eastAsia="黑体" w:cs="黑体"/>
          <w:sz w:val="56"/>
          <w:szCs w:val="72"/>
        </w:rPr>
      </w:pPr>
    </w:p>
    <w:p>
      <w:pPr>
        <w:jc w:val="center"/>
        <w:rPr>
          <w:rFonts w:ascii="黑体" w:eastAsia="黑体" w:cs="黑体"/>
          <w:sz w:val="56"/>
          <w:szCs w:val="72"/>
        </w:rPr>
      </w:pPr>
    </w:p>
    <w:p>
      <w:pPr>
        <w:keepNext/>
        <w:keepLines/>
        <w:snapToGrid w:val="0"/>
        <w:spacing w:line="580" w:lineRule="exact"/>
        <w:ind w:firstLine="640" w:firstLineChars="200"/>
        <w:outlineLvl w:val="1"/>
        <w:rPr>
          <w:rFonts w:ascii="黑体" w:eastAsia="黑体" w:cs="Times New Roman"/>
          <w:sz w:val="32"/>
          <w:szCs w:val="32"/>
        </w:rPr>
      </w:pPr>
      <w:r>
        <w:rPr>
          <w:rFonts w:hint="eastAsia" w:ascii="黑体" w:eastAsia="黑体" w:cs="Times New Roman"/>
          <w:sz w:val="32"/>
          <w:szCs w:val="32"/>
        </w:rPr>
        <w:t>一、收入</w:t>
      </w:r>
      <w:r>
        <w:rPr>
          <w:rFonts w:hint="eastAsia" w:ascii="黑体" w:eastAsia="黑体" w:cs="黑体"/>
          <w:kern w:val="0"/>
          <w:sz w:val="32"/>
          <w:szCs w:val="32"/>
        </w:rPr>
        <w:t>支出</w:t>
      </w:r>
      <w:r>
        <w:rPr>
          <w:rFonts w:hint="eastAsia" w:ascii="黑体" w:eastAsia="黑体" w:cs="Times New Roman"/>
          <w:sz w:val="32"/>
          <w:szCs w:val="32"/>
        </w:rPr>
        <w:t>决算总体情况说明</w:t>
      </w:r>
    </w:p>
    <w:p>
      <w:pPr>
        <w:adjustRightInd w:val="0"/>
        <w:snapToGrid w:val="0"/>
        <w:spacing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2019年度收入总计（含结转和结余）63.63万元，支出总计58.53万元，年末结转结余5.09万元。与2018年度决算相比，收入增加6.36万元，增长10%，支出增加11万元，增长17.28%，主要原因是2019年人员经费津补贴调整提标。</w:t>
      </w:r>
    </w:p>
    <w:p>
      <w:pPr>
        <w:keepNext/>
        <w:keepLines/>
        <w:snapToGrid w:val="0"/>
        <w:spacing w:line="580" w:lineRule="exact"/>
        <w:ind w:firstLine="640" w:firstLineChars="200"/>
        <w:outlineLvl w:val="1"/>
        <w:rPr>
          <w:rFonts w:ascii="黑体" w:eastAsia="黑体" w:cs="Times New Roman"/>
          <w:sz w:val="32"/>
          <w:szCs w:val="32"/>
        </w:rPr>
      </w:pPr>
      <w:r>
        <w:rPr>
          <w:rFonts w:hint="eastAsia" w:ascii="黑体" w:eastAsia="黑体" w:cs="Times New Roman"/>
          <w:sz w:val="32"/>
          <w:szCs w:val="32"/>
        </w:rPr>
        <w:t>二、收入决算情况说明</w:t>
      </w:r>
    </w:p>
    <w:p>
      <w:pPr>
        <w:adjustRightInd w:val="0"/>
        <w:snapToGrid w:val="0"/>
        <w:spacing w:line="580" w:lineRule="exact"/>
        <w:ind w:firstLine="640" w:firstLineChars="200"/>
        <w:rPr>
          <w:rFonts w:ascii="仿宋_GB2312" w:eastAsia="仿宋_GB2312" w:cs="DengXian-Regular"/>
          <w:sz w:val="32"/>
          <w:szCs w:val="32"/>
          <w:highlight w:val="yellow"/>
        </w:rPr>
      </w:pPr>
      <w:r>
        <w:rPr>
          <w:rFonts w:hint="eastAsia" w:ascii="仿宋_GB2312" w:eastAsia="仿宋_GB2312" w:cs="DengXian-Regular"/>
          <w:sz w:val="32"/>
          <w:szCs w:val="32"/>
        </w:rPr>
        <w:t>本部门2019年度本年收入合计63.63万元，其中：财政拨款收入63.63万元，占100%；事业收入0万元，占0%；经营收入0万元，占0%；其他收入0万元，占0%。如图所示</w:t>
      </w:r>
    </w:p>
    <w:p>
      <w:r>
        <w:drawing>
          <wp:inline distT="0" distB="0" distL="0" distR="0">
            <wp:extent cx="5486400" cy="3200400"/>
            <wp:effectExtent l="0" t="0" r="0" b="0"/>
            <wp:docPr id="99"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pPr>
        <w:keepNext/>
        <w:keepLines/>
        <w:snapToGrid w:val="0"/>
        <w:spacing w:line="580" w:lineRule="exact"/>
        <w:ind w:firstLine="643" w:firstLineChars="200"/>
        <w:outlineLvl w:val="1"/>
        <w:rPr>
          <w:rFonts w:ascii="黑体" w:eastAsia="黑体" w:cs="Times New Roman"/>
          <w:b/>
          <w:bCs/>
          <w:sz w:val="32"/>
          <w:szCs w:val="32"/>
        </w:rPr>
      </w:pPr>
    </w:p>
    <w:p>
      <w:pPr>
        <w:keepNext/>
        <w:keepLines/>
        <w:snapToGrid w:val="0"/>
        <w:spacing w:line="580" w:lineRule="exact"/>
        <w:ind w:firstLine="640" w:firstLineChars="200"/>
        <w:outlineLvl w:val="1"/>
        <w:rPr>
          <w:rFonts w:ascii="黑体" w:eastAsia="黑体" w:cs="Times New Roman"/>
          <w:sz w:val="32"/>
          <w:szCs w:val="32"/>
        </w:rPr>
      </w:pPr>
      <w:r>
        <w:rPr>
          <w:rFonts w:hint="eastAsia" w:ascii="黑体" w:eastAsia="黑体" w:cs="Times New Roman"/>
          <w:sz w:val="32"/>
          <w:szCs w:val="32"/>
        </w:rPr>
        <w:t>三、支出决算情况说明</w:t>
      </w:r>
    </w:p>
    <w:p>
      <w:pPr>
        <w:adjustRightInd w:val="0"/>
        <w:snapToGrid w:val="0"/>
        <w:spacing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本部门2019年度本年支出合计58.53万元，其中：基本支出47.53万元，占74.70%；项目支出11万元，占25.30%；经营支出0万元，占0%。如图所示：</w:t>
      </w:r>
    </w:p>
    <w:p>
      <w:r>
        <w:drawing>
          <wp:inline distT="0" distB="0" distL="0" distR="0">
            <wp:extent cx="5486400" cy="3200400"/>
            <wp:effectExtent l="0" t="0" r="0" b="0"/>
            <wp:docPr id="100"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pPr>
        <w:keepNext/>
        <w:keepLines/>
        <w:snapToGrid w:val="0"/>
        <w:spacing w:line="580" w:lineRule="exact"/>
        <w:ind w:firstLine="643" w:firstLineChars="200"/>
        <w:outlineLvl w:val="1"/>
        <w:rPr>
          <w:rFonts w:ascii="黑体" w:eastAsia="黑体" w:cs="Times New Roman"/>
          <w:b/>
          <w:bCs/>
          <w:sz w:val="32"/>
          <w:szCs w:val="32"/>
        </w:rPr>
      </w:pPr>
    </w:p>
    <w:p>
      <w:pPr>
        <w:keepNext/>
        <w:keepLines/>
        <w:snapToGrid w:val="0"/>
        <w:spacing w:line="580" w:lineRule="exact"/>
        <w:ind w:firstLine="640" w:firstLineChars="200"/>
        <w:outlineLvl w:val="1"/>
        <w:rPr>
          <w:rFonts w:ascii="黑体" w:eastAsia="黑体" w:cs="Times New Roman"/>
          <w:sz w:val="32"/>
          <w:szCs w:val="32"/>
        </w:rPr>
      </w:pPr>
      <w:r>
        <w:rPr>
          <w:rFonts w:hint="eastAsia" w:ascii="黑体" w:eastAsia="黑体" w:cs="Times New Roman"/>
          <w:sz w:val="32"/>
          <w:szCs w:val="32"/>
        </w:rPr>
        <w:t>四、</w:t>
      </w:r>
      <w:r>
        <w:rPr>
          <w:rFonts w:hint="eastAsia" w:ascii="黑体" w:eastAsia="黑体" w:cs="黑体"/>
          <w:kern w:val="0"/>
          <w:sz w:val="32"/>
          <w:szCs w:val="32"/>
        </w:rPr>
        <w:t>财政</w:t>
      </w:r>
      <w:r>
        <w:rPr>
          <w:rFonts w:hint="eastAsia" w:ascii="黑体" w:eastAsia="黑体" w:cs="Times New Roman"/>
          <w:sz w:val="32"/>
          <w:szCs w:val="32"/>
        </w:rPr>
        <w:t>拨款收入支出决算总体情况说明</w:t>
      </w:r>
    </w:p>
    <w:p>
      <w:pPr>
        <w:snapToGrid w:val="0"/>
        <w:spacing w:line="580" w:lineRule="exact"/>
        <w:ind w:firstLine="643" w:firstLineChars="200"/>
        <w:rPr>
          <w:rFonts w:ascii="楷体_GB2312" w:eastAsia="楷体_GB2312" w:cs="DengXian-Bold"/>
          <w:b/>
          <w:bCs/>
          <w:sz w:val="32"/>
          <w:szCs w:val="32"/>
        </w:rPr>
      </w:pPr>
      <w:r>
        <w:rPr>
          <w:rFonts w:hint="eastAsia" w:ascii="楷体_GB2312" w:eastAsia="楷体_GB2312" w:cs="DengXian-Bold"/>
          <w:b/>
          <w:bCs/>
          <w:sz w:val="32"/>
          <w:szCs w:val="32"/>
        </w:rPr>
        <w:t>（一）财政拨款收支与2018 年度决算对比情况</w:t>
      </w:r>
    </w:p>
    <w:p>
      <w:pPr>
        <w:adjustRightInd w:val="0"/>
        <w:snapToGrid w:val="0"/>
        <w:spacing w:line="66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w:t>
      </w:r>
      <w:r>
        <w:rPr>
          <w:rFonts w:ascii="仿宋_GB2312" w:eastAsia="仿宋_GB2312" w:cs="DengXian-Regular"/>
          <w:sz w:val="32"/>
          <w:szCs w:val="32"/>
        </w:rPr>
        <w:t>201</w:t>
      </w:r>
      <w:r>
        <w:rPr>
          <w:rFonts w:hint="eastAsia" w:ascii="仿宋_GB2312" w:eastAsia="仿宋_GB2312" w:cs="DengXian-Regular"/>
          <w:sz w:val="32"/>
          <w:szCs w:val="32"/>
        </w:rPr>
        <w:t>9年度形成的财政拨款收支均为一般公共预算财政拨款，其中一般公共预算财政拨款本年收入57.63万元</w:t>
      </w:r>
      <w:r>
        <w:rPr>
          <w:rFonts w:ascii="仿宋_GB2312" w:eastAsia="仿宋_GB2312" w:cs="DengXian-Regular"/>
          <w:sz w:val="32"/>
          <w:szCs w:val="32"/>
        </w:rPr>
        <w:t>,</w:t>
      </w:r>
      <w:r>
        <w:rPr>
          <w:rFonts w:hint="eastAsia" w:ascii="仿宋_GB2312" w:eastAsia="仿宋_GB2312" w:cs="DengXian-Regular"/>
          <w:sz w:val="32"/>
          <w:szCs w:val="32"/>
        </w:rPr>
        <w:t>比</w:t>
      </w:r>
      <w:r>
        <w:rPr>
          <w:rFonts w:ascii="仿宋_GB2312" w:eastAsia="仿宋_GB2312" w:cs="DengXian-Regular"/>
          <w:sz w:val="32"/>
          <w:szCs w:val="32"/>
        </w:rPr>
        <w:t>201</w:t>
      </w:r>
      <w:r>
        <w:rPr>
          <w:rFonts w:hint="eastAsia" w:ascii="仿宋_GB2312" w:eastAsia="仿宋_GB2312" w:cs="DengXian-Regular"/>
          <w:sz w:val="32"/>
          <w:szCs w:val="32"/>
        </w:rPr>
        <w:t>8年度增加3.36万元，增长5.83</w:t>
      </w:r>
      <w:r>
        <w:rPr>
          <w:rFonts w:ascii="仿宋_GB2312" w:eastAsia="仿宋_GB2312" w:cs="DengXian-Regular"/>
          <w:sz w:val="32"/>
          <w:szCs w:val="32"/>
        </w:rPr>
        <w:t>%</w:t>
      </w:r>
      <w:r>
        <w:rPr>
          <w:rFonts w:hint="eastAsia" w:ascii="仿宋_GB2312" w:eastAsia="仿宋_GB2312" w:cs="DengXian-Regular"/>
          <w:sz w:val="32"/>
          <w:szCs w:val="32"/>
        </w:rPr>
        <w:t>，主要是人员经费调整，项目资金调整；本年支出58.53万元，结转5.09万元，支出比2018年增加5.9万元，增长10.08</w:t>
      </w:r>
      <w:r>
        <w:rPr>
          <w:rFonts w:ascii="仿宋_GB2312" w:eastAsia="仿宋_GB2312" w:cs="DengXian-Regular"/>
          <w:sz w:val="32"/>
          <w:szCs w:val="32"/>
        </w:rPr>
        <w:t>%</w:t>
      </w:r>
      <w:r>
        <w:rPr>
          <w:rFonts w:hint="eastAsia" w:ascii="仿宋_GB2312" w:eastAsia="仿宋_GB2312" w:cs="DengXian-Regular"/>
          <w:sz w:val="32"/>
          <w:szCs w:val="32"/>
        </w:rPr>
        <w:t>，主要是在保证人员经费及项目资金的正常支出下压减公用经费支出。</w:t>
      </w:r>
    </w:p>
    <w:p>
      <w:pPr>
        <w:adjustRightInd w:val="0"/>
        <w:snapToGrid w:val="0"/>
        <w:spacing w:line="580" w:lineRule="exact"/>
        <w:jc w:val="center"/>
        <w:rPr>
          <w:rFonts w:eastAsia="仿宋_GB2312"/>
          <w:sz w:val="32"/>
          <w:szCs w:val="32"/>
        </w:rPr>
      </w:pPr>
    </w:p>
    <w:p>
      <w:pPr>
        <w:adjustRightInd w:val="0"/>
        <w:snapToGrid w:val="0"/>
        <w:spacing w:line="580" w:lineRule="exact"/>
        <w:jc w:val="center"/>
        <w:rPr>
          <w:rFonts w:eastAsia="仿宋_GB2312"/>
          <w:sz w:val="32"/>
          <w:szCs w:val="32"/>
        </w:rPr>
      </w:pPr>
      <w:r>
        <w:rPr>
          <w:rFonts w:hint="eastAsia" w:eastAsia="仿宋_GB2312"/>
          <w:sz w:val="32"/>
          <w:szCs w:val="32"/>
        </w:rPr>
        <w:t>图</w:t>
      </w:r>
      <w:r>
        <w:rPr>
          <w:rFonts w:eastAsia="仿宋_GB2312"/>
          <w:sz w:val="32"/>
          <w:szCs w:val="32"/>
        </w:rPr>
        <w:t>3</w:t>
      </w:r>
      <w:r>
        <w:rPr>
          <w:rFonts w:hint="eastAsia" w:eastAsia="仿宋_GB2312"/>
          <w:sz w:val="32"/>
          <w:szCs w:val="32"/>
        </w:rPr>
        <w:t>：财政拨款收支情况</w:t>
      </w:r>
    </w:p>
    <w:p>
      <w:r>
        <w:rPr>
          <w:rFonts w:hint="eastAsia"/>
        </w:rPr>
        <w:drawing>
          <wp:inline distT="0" distB="0" distL="0" distR="0">
            <wp:extent cx="5486400" cy="2108200"/>
            <wp:effectExtent l="0" t="0" r="0" b="0"/>
            <wp:docPr id="101"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pPr>
        <w:snapToGrid w:val="0"/>
        <w:spacing w:line="580" w:lineRule="exact"/>
        <w:ind w:firstLine="643" w:firstLineChars="200"/>
        <w:rPr>
          <w:rFonts w:ascii="仿宋_GB2312" w:eastAsia="仿宋_GB2312" w:cs="DengXian-Bold"/>
          <w:b/>
          <w:bCs/>
          <w:sz w:val="32"/>
          <w:szCs w:val="32"/>
        </w:rPr>
      </w:pPr>
      <w:r>
        <w:rPr>
          <w:rFonts w:hint="eastAsia" w:ascii="楷体_GB2312" w:eastAsia="楷体_GB2312" w:cs="DengXian-Bold"/>
          <w:b/>
          <w:bCs/>
          <w:sz w:val="32"/>
          <w:szCs w:val="32"/>
        </w:rPr>
        <w:t>（二）财政拨款收支与年初预算数对比情况</w:t>
      </w:r>
    </w:p>
    <w:p>
      <w:pPr>
        <w:adjustRightInd w:val="0"/>
        <w:snapToGrid w:val="0"/>
        <w:spacing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w:t>
      </w:r>
      <w:r>
        <w:rPr>
          <w:rFonts w:ascii="仿宋_GB2312" w:eastAsia="仿宋_GB2312" w:cs="DengXian-Regular"/>
          <w:sz w:val="32"/>
          <w:szCs w:val="32"/>
        </w:rPr>
        <w:t>201</w:t>
      </w:r>
      <w:r>
        <w:rPr>
          <w:rFonts w:hint="eastAsia" w:ascii="仿宋_GB2312" w:eastAsia="仿宋_GB2312" w:cs="DengXian-Regular"/>
          <w:sz w:val="32"/>
          <w:szCs w:val="32"/>
        </w:rPr>
        <w:t>9年度一般公共预算财政拨款收入57.63万元，完成年初预算的114.28</w:t>
      </w:r>
      <w:r>
        <w:rPr>
          <w:rFonts w:ascii="仿宋_GB2312" w:eastAsia="仿宋_GB2312" w:cs="DengXian-Regular"/>
          <w:sz w:val="32"/>
          <w:szCs w:val="32"/>
        </w:rPr>
        <w:t>%,</w:t>
      </w:r>
      <w:r>
        <w:rPr>
          <w:rFonts w:hint="eastAsia" w:ascii="仿宋_GB2312" w:eastAsia="仿宋_GB2312" w:cs="DengXian-Regular"/>
          <w:sz w:val="32"/>
          <w:szCs w:val="32"/>
        </w:rPr>
        <w:t>比年初预算增加7.20万元，增长12.55%，主要原因是人员经费及项目资金的正常调整；本年支出58.53万元，比年初预算支出增加8.1万元，增长13.84%，年末结转结余5.09万元。本年决算支出数大于预算支出数主要原因是人员经费及项目资金的正常调整。</w:t>
      </w:r>
    </w:p>
    <w:p>
      <w:pPr>
        <w:adjustRightInd w:val="0"/>
        <w:snapToGrid w:val="0"/>
        <w:spacing w:line="580" w:lineRule="exact"/>
        <w:ind w:firstLine="640" w:firstLineChars="200"/>
        <w:jc w:val="center"/>
        <w:rPr>
          <w:rFonts w:eastAsia="仿宋_GB2312"/>
          <w:sz w:val="32"/>
          <w:szCs w:val="32"/>
        </w:rPr>
      </w:pPr>
      <w:r>
        <w:rPr>
          <w:rFonts w:hint="eastAsia" w:ascii="仿宋_GB2312" w:eastAsia="仿宋_GB2312" w:cs="DengXian-Regular"/>
          <w:sz w:val="32"/>
          <w:szCs w:val="32"/>
        </w:rPr>
        <w:t>图4：</w:t>
      </w:r>
      <w:r>
        <w:rPr>
          <w:rFonts w:hint="eastAsia" w:eastAsia="仿宋_GB2312"/>
          <w:sz w:val="32"/>
          <w:szCs w:val="32"/>
        </w:rPr>
        <w:t>财政拨款收支预决算对比情况</w:t>
      </w:r>
    </w:p>
    <w:p>
      <w:r>
        <w:rPr>
          <w:rFonts w:hint="eastAsia"/>
        </w:rPr>
        <w:drawing>
          <wp:inline distT="0" distB="0" distL="0" distR="0">
            <wp:extent cx="5486400" cy="2374900"/>
            <wp:effectExtent l="0" t="0" r="0" b="0"/>
            <wp:docPr id="102"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pPr>
        <w:numPr>
          <w:ilvl w:val="0"/>
          <w:numId w:val="1"/>
        </w:numPr>
        <w:adjustRightInd w:val="0"/>
        <w:snapToGrid w:val="0"/>
        <w:spacing w:line="580" w:lineRule="exact"/>
        <w:ind w:left="420" w:leftChars="200"/>
        <w:rPr>
          <w:rFonts w:ascii="楷体_GB2312" w:eastAsia="楷体_GB2312" w:cs="DengXian-Bold"/>
          <w:b/>
          <w:bCs/>
          <w:sz w:val="32"/>
          <w:szCs w:val="32"/>
        </w:rPr>
      </w:pPr>
      <w:r>
        <w:rPr>
          <w:rFonts w:hint="eastAsia" w:ascii="楷体_GB2312" w:eastAsia="楷体_GB2312" w:cs="DengXian-Bold"/>
          <w:b/>
          <w:bCs/>
          <w:sz w:val="32"/>
          <w:szCs w:val="32"/>
        </w:rPr>
        <w:t>财政拨款支出决算结构情况。</w:t>
      </w:r>
    </w:p>
    <w:p>
      <w:pPr>
        <w:adjustRightInd w:val="0"/>
        <w:snapToGrid w:val="0"/>
        <w:spacing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2019 年度财政拨款支出58.53万元，主要用于以下方面：一般公共服务（类）支出50.03万元，占85.48%，；公共安全类（类）支出0万元，占0%；教育（类）支出0万元，占0%；科学技术（类）支出0万元，占 0%；社会保障和就业（类）支出4.99万元，占8.52%；卫生健康支出2.31万元，占3.95%；住房保障（类）支出0.19万元，占0.32%;灾害防治及应急管理支出1.00万元，占1.71%。</w:t>
      </w:r>
    </w:p>
    <w:p>
      <w:pPr>
        <w:jc w:val="center"/>
      </w:pPr>
      <w:r>
        <w:rPr>
          <w:rFonts w:hint="eastAsia"/>
        </w:rPr>
        <w:t>图5：财政拨款支出决算结构（按功能分类）</w:t>
      </w:r>
    </w:p>
    <w:p>
      <w:pPr>
        <w:jc w:val="center"/>
      </w:pPr>
      <w:r>
        <w:drawing>
          <wp:inline distT="0" distB="0" distL="0" distR="0">
            <wp:extent cx="5486400" cy="3200400"/>
            <wp:effectExtent l="0" t="0" r="0" b="0"/>
            <wp:docPr id="103"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pPr>
        <w:adjustRightInd w:val="0"/>
        <w:snapToGrid w:val="0"/>
        <w:spacing w:line="580" w:lineRule="exact"/>
        <w:rPr>
          <w:rFonts w:ascii="楷体_GB2312" w:eastAsia="楷体_GB2312" w:cs="DengXian-Bold"/>
          <w:b/>
          <w:bCs/>
          <w:sz w:val="32"/>
          <w:szCs w:val="32"/>
        </w:rPr>
      </w:pPr>
    </w:p>
    <w:p>
      <w:pPr>
        <w:adjustRightInd w:val="0"/>
        <w:snapToGrid w:val="0"/>
        <w:spacing w:line="500" w:lineRule="exact"/>
        <w:ind w:left="420" w:leftChars="200"/>
        <w:rPr>
          <w:rFonts w:ascii="楷体_GB2312" w:eastAsia="楷体_GB2312" w:cs="DengXian-Bold"/>
          <w:b/>
          <w:bCs/>
          <w:sz w:val="32"/>
          <w:szCs w:val="32"/>
        </w:rPr>
      </w:pPr>
      <w:r>
        <w:rPr>
          <w:rFonts w:hint="eastAsia" w:ascii="楷体_GB2312" w:eastAsia="楷体_GB2312" w:cs="DengXian-Bold"/>
          <w:b/>
          <w:bCs/>
          <w:sz w:val="32"/>
          <w:szCs w:val="32"/>
        </w:rPr>
        <w:t>（四）一般公共预算基本支出决算情况说明</w:t>
      </w:r>
    </w:p>
    <w:p>
      <w:pPr>
        <w:adjustRightInd w:val="0"/>
        <w:snapToGrid w:val="0"/>
        <w:spacing w:line="50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2019 年度财政拨款基本支出47.53万元，其中：人员经费41.08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公用经费6.45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w:t>
      </w:r>
    </w:p>
    <w:p>
      <w:pPr>
        <w:keepNext/>
        <w:keepLines/>
        <w:snapToGrid w:val="0"/>
        <w:spacing w:line="500" w:lineRule="exact"/>
        <w:ind w:firstLine="640" w:firstLineChars="200"/>
        <w:outlineLvl w:val="1"/>
        <w:rPr>
          <w:rFonts w:ascii="黑体" w:eastAsia="黑体" w:cs="Times New Roman"/>
          <w:sz w:val="32"/>
          <w:szCs w:val="32"/>
        </w:rPr>
      </w:pPr>
      <w:r>
        <w:rPr>
          <w:rFonts w:hint="eastAsia" w:ascii="黑体" w:eastAsia="黑体" w:cs="Times New Roman"/>
          <w:sz w:val="32"/>
          <w:szCs w:val="32"/>
        </w:rPr>
        <w:t>五、一般公共预算“三公” 经费支出决算情况说明</w:t>
      </w:r>
    </w:p>
    <w:p>
      <w:pPr>
        <w:adjustRightInd w:val="0"/>
        <w:snapToGrid w:val="0"/>
        <w:spacing w:line="50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本部门2019年度“三公”经费支出共计0万元，完成预算的100%,较预算增加0万元，增长0%，主要是</w:t>
      </w:r>
      <w:r>
        <w:rPr>
          <w:rFonts w:hint="eastAsia" w:ascii="仿宋_GB2312" w:eastAsia="仿宋_GB2312" w:cs="Times New Roman"/>
          <w:sz w:val="32"/>
          <w:szCs w:val="32"/>
        </w:rPr>
        <w:t>一般公共预算“三公” 经费支出</w:t>
      </w:r>
      <w:r>
        <w:rPr>
          <w:rFonts w:hint="eastAsia" w:ascii="仿宋_GB2312" w:eastAsia="仿宋_GB2312" w:cs="DengXian-Regular"/>
          <w:sz w:val="32"/>
          <w:szCs w:val="32"/>
        </w:rPr>
        <w:t>较年初预算无增减变化；比2018年度增加0万元，增长0%，主要是</w:t>
      </w:r>
      <w:r>
        <w:rPr>
          <w:rFonts w:hint="eastAsia" w:ascii="仿宋_GB2312" w:eastAsia="仿宋_GB2312" w:cs="Times New Roman"/>
          <w:sz w:val="32"/>
          <w:szCs w:val="32"/>
        </w:rPr>
        <w:t>一般公共预算“三公” 经费支出</w:t>
      </w:r>
      <w:r>
        <w:rPr>
          <w:rFonts w:hint="eastAsia" w:ascii="仿宋_GB2312" w:eastAsia="仿宋_GB2312" w:cs="DengXian-Regular"/>
          <w:sz w:val="32"/>
          <w:szCs w:val="32"/>
        </w:rPr>
        <w:t>较2018年度决算无增减变化。</w:t>
      </w:r>
    </w:p>
    <w:p>
      <w:pPr>
        <w:adjustRightInd w:val="0"/>
        <w:snapToGrid w:val="0"/>
        <w:spacing w:line="500" w:lineRule="exact"/>
        <w:ind w:firstLine="643" w:firstLineChars="200"/>
        <w:rPr>
          <w:rFonts w:ascii="仿宋_GB2312" w:eastAsia="仿宋_GB2312"/>
          <w:sz w:val="32"/>
          <w:szCs w:val="32"/>
        </w:rPr>
      </w:pPr>
      <w:r>
        <w:rPr>
          <w:rFonts w:hint="eastAsia" w:eastAsia="楷体_GB2312"/>
          <w:b/>
          <w:bCs/>
          <w:sz w:val="32"/>
          <w:szCs w:val="32"/>
        </w:rPr>
        <w:t>（一）因公出国（境）费支出</w:t>
      </w:r>
      <w:r>
        <w:rPr>
          <w:rFonts w:eastAsia="楷体_GB2312"/>
          <w:b/>
          <w:bCs/>
          <w:sz w:val="32"/>
          <w:szCs w:val="32"/>
        </w:rPr>
        <w:t>0</w:t>
      </w:r>
      <w:r>
        <w:rPr>
          <w:rFonts w:hint="eastAsia" w:eastAsia="楷体_GB2312"/>
          <w:b/>
          <w:bCs/>
          <w:sz w:val="32"/>
          <w:szCs w:val="32"/>
        </w:rPr>
        <w:t>万元。</w:t>
      </w:r>
      <w:r>
        <w:rPr>
          <w:rFonts w:hint="eastAsia" w:ascii="仿宋_GB2312" w:eastAsia="仿宋_GB2312" w:cs="DengXian-Regular"/>
          <w:sz w:val="32"/>
          <w:szCs w:val="32"/>
        </w:rPr>
        <w:t>本部门2019年度因公出国（境）团组0个、共0人/参加其他单位组织的因公出国（境）团组0个、共0人/无本单位组织的出国（境）团组。比年初预算</w:t>
      </w:r>
      <w:r>
        <w:rPr>
          <w:rFonts w:hint="eastAsia" w:ascii="仿宋_GB2312" w:eastAsia="仿宋_GB2312"/>
          <w:sz w:val="32"/>
          <w:szCs w:val="32"/>
        </w:rPr>
        <w:t>增加0万元，增长0%，主要是</w:t>
      </w:r>
      <w:r>
        <w:rPr>
          <w:rFonts w:hint="eastAsia" w:ascii="仿宋_GB2312" w:eastAsia="仿宋_GB2312" w:cs="DengXian-Regular"/>
          <w:sz w:val="32"/>
          <w:szCs w:val="32"/>
        </w:rPr>
        <w:t>因公出国（境）费支出较年初预算无增减变化</w:t>
      </w:r>
      <w:r>
        <w:rPr>
          <w:rFonts w:hint="eastAsia" w:ascii="仿宋_GB2312" w:eastAsia="仿宋_GB2312"/>
          <w:sz w:val="32"/>
          <w:szCs w:val="32"/>
        </w:rPr>
        <w:t>；比2018年度决算增加0万元，增长0%，主要是</w:t>
      </w:r>
      <w:r>
        <w:rPr>
          <w:rFonts w:hint="eastAsia" w:ascii="仿宋_GB2312" w:eastAsia="仿宋_GB2312" w:cs="DengXian-Regular"/>
          <w:sz w:val="32"/>
          <w:szCs w:val="32"/>
        </w:rPr>
        <w:t>因公出国（境）费支出较2018年度决算无增减变化</w:t>
      </w:r>
      <w:r>
        <w:rPr>
          <w:rFonts w:hint="eastAsia" w:ascii="仿宋_GB2312" w:eastAsia="仿宋_GB2312"/>
          <w:sz w:val="32"/>
          <w:szCs w:val="32"/>
        </w:rPr>
        <w:t>。</w:t>
      </w:r>
    </w:p>
    <w:p>
      <w:pPr>
        <w:adjustRightInd w:val="0"/>
        <w:snapToGrid w:val="0"/>
        <w:spacing w:line="584" w:lineRule="exact"/>
        <w:ind w:firstLine="643" w:firstLineChars="200"/>
        <w:rPr>
          <w:rFonts w:ascii="仿宋_GB2312" w:eastAsia="仿宋_GB2312"/>
          <w:sz w:val="32"/>
          <w:szCs w:val="32"/>
        </w:rPr>
      </w:pPr>
      <w:r>
        <w:rPr>
          <w:rFonts w:hint="eastAsia" w:eastAsia="楷体_GB2312"/>
          <w:b/>
          <w:bCs/>
          <w:sz w:val="32"/>
          <w:szCs w:val="32"/>
        </w:rPr>
        <w:t>（二）公务用车购置及运行维护费支出</w:t>
      </w:r>
      <w:r>
        <w:rPr>
          <w:rFonts w:eastAsia="楷体_GB2312"/>
          <w:b/>
          <w:bCs/>
          <w:sz w:val="32"/>
          <w:szCs w:val="32"/>
        </w:rPr>
        <w:t>0</w:t>
      </w:r>
      <w:r>
        <w:rPr>
          <w:rFonts w:hint="eastAsia" w:eastAsia="楷体_GB2312"/>
          <w:b/>
          <w:bCs/>
          <w:sz w:val="32"/>
          <w:szCs w:val="32"/>
        </w:rPr>
        <w:t>万元。</w:t>
      </w:r>
      <w:r>
        <w:rPr>
          <w:rFonts w:hint="eastAsia" w:ascii="仿宋_GB2312" w:eastAsia="仿宋_GB2312" w:cs="DengXian-Regular"/>
          <w:sz w:val="32"/>
          <w:szCs w:val="32"/>
        </w:rPr>
        <w:t>本部门2019年度公务用车购置及运行维护费支出，比年初预算</w:t>
      </w:r>
      <w:r>
        <w:rPr>
          <w:rFonts w:hint="eastAsia" w:ascii="仿宋_GB2312" w:eastAsia="仿宋_GB2312"/>
          <w:sz w:val="32"/>
          <w:szCs w:val="32"/>
        </w:rPr>
        <w:t>增加0万元，增长0%，主要是</w:t>
      </w:r>
      <w:r>
        <w:rPr>
          <w:rFonts w:hint="eastAsia" w:ascii="仿宋_GB2312" w:eastAsia="仿宋_GB2312" w:cs="DengXian-Regular"/>
          <w:sz w:val="32"/>
          <w:szCs w:val="32"/>
        </w:rPr>
        <w:t>公务用车购置及运行维护费支出较年初预算无增减变化；</w:t>
      </w:r>
      <w:r>
        <w:rPr>
          <w:rFonts w:hint="eastAsia" w:ascii="仿宋_GB2312" w:eastAsia="仿宋_GB2312"/>
          <w:sz w:val="32"/>
          <w:szCs w:val="32"/>
        </w:rPr>
        <w:t>比2018年度决算增加0万元，增长0%，主要是</w:t>
      </w:r>
      <w:r>
        <w:rPr>
          <w:rFonts w:hint="eastAsia" w:ascii="仿宋_GB2312" w:eastAsia="仿宋_GB2312" w:cs="DengXian-Regular"/>
          <w:sz w:val="32"/>
          <w:szCs w:val="32"/>
        </w:rPr>
        <w:t>公务用车购置及运行维护费支出较2018年度决算无增减变化</w:t>
      </w:r>
      <w:r>
        <w:rPr>
          <w:rFonts w:hint="eastAsia" w:ascii="仿宋_GB2312" w:eastAsia="仿宋_GB2312"/>
          <w:sz w:val="32"/>
          <w:szCs w:val="32"/>
        </w:rPr>
        <w:t>。</w:t>
      </w:r>
    </w:p>
    <w:p>
      <w:pPr>
        <w:adjustRightInd w:val="0"/>
        <w:snapToGrid w:val="0"/>
        <w:spacing w:line="500" w:lineRule="exact"/>
        <w:ind w:firstLine="643" w:firstLineChars="200"/>
        <w:rPr>
          <w:rFonts w:eastAsia="仿宋_GB2312"/>
          <w:b/>
          <w:bCs/>
          <w:sz w:val="32"/>
          <w:szCs w:val="32"/>
        </w:rPr>
      </w:pPr>
      <w:r>
        <w:rPr>
          <w:rFonts w:hint="eastAsia" w:eastAsia="仿宋_GB2312"/>
          <w:b/>
          <w:bCs/>
          <w:sz w:val="32"/>
          <w:szCs w:val="32"/>
        </w:rPr>
        <w:t>其中：</w:t>
      </w:r>
    </w:p>
    <w:p>
      <w:pPr>
        <w:adjustRightInd w:val="0"/>
        <w:snapToGrid w:val="0"/>
        <w:spacing w:line="500" w:lineRule="exact"/>
        <w:ind w:firstLine="643" w:firstLineChars="200"/>
        <w:rPr>
          <w:rFonts w:ascii="仿宋_GB2312" w:eastAsia="仿宋_GB2312"/>
          <w:sz w:val="32"/>
          <w:szCs w:val="32"/>
        </w:rPr>
      </w:pPr>
      <w:r>
        <w:rPr>
          <w:rFonts w:hint="eastAsia" w:eastAsia="仿宋_GB2312"/>
          <w:b/>
          <w:sz w:val="32"/>
          <w:szCs w:val="32"/>
        </w:rPr>
        <w:t>公务用车购置费支出</w:t>
      </w:r>
      <w:r>
        <w:rPr>
          <w:rFonts w:eastAsia="仿宋_GB2312"/>
          <w:b/>
          <w:sz w:val="32"/>
          <w:szCs w:val="32"/>
        </w:rPr>
        <w:t>0</w:t>
      </w:r>
      <w:r>
        <w:rPr>
          <w:rFonts w:hint="eastAsia" w:eastAsia="仿宋_GB2312"/>
          <w:b/>
          <w:sz w:val="32"/>
          <w:szCs w:val="32"/>
        </w:rPr>
        <w:t>万元。</w:t>
      </w:r>
      <w:r>
        <w:rPr>
          <w:rFonts w:hint="eastAsia" w:ascii="仿宋_GB2312" w:eastAsia="仿宋_GB2312" w:cs="DengXian-Regular"/>
          <w:sz w:val="32"/>
          <w:szCs w:val="32"/>
        </w:rPr>
        <w:t>本部门2019年度公务用车购置量0辆，公务用车购置费支出比年初预算</w:t>
      </w:r>
      <w:r>
        <w:rPr>
          <w:rFonts w:hint="eastAsia" w:ascii="仿宋_GB2312" w:eastAsia="仿宋_GB2312"/>
          <w:sz w:val="32"/>
          <w:szCs w:val="32"/>
        </w:rPr>
        <w:t>增加0万元，增长0%，主要是</w:t>
      </w:r>
      <w:r>
        <w:rPr>
          <w:rFonts w:hint="eastAsia" w:ascii="仿宋_GB2312" w:eastAsia="仿宋_GB2312" w:cs="DengXian-Regular"/>
          <w:sz w:val="32"/>
          <w:szCs w:val="32"/>
        </w:rPr>
        <w:t>公务用车购置费支出较年初预算无增减变化</w:t>
      </w:r>
      <w:r>
        <w:rPr>
          <w:rFonts w:hint="eastAsia" w:ascii="仿宋_GB2312" w:eastAsia="仿宋_GB2312"/>
          <w:sz w:val="32"/>
          <w:szCs w:val="32"/>
        </w:rPr>
        <w:t>；比2018年度决算增加0万元，增长0%，主要是</w:t>
      </w:r>
      <w:r>
        <w:rPr>
          <w:rFonts w:hint="eastAsia" w:ascii="仿宋_GB2312" w:eastAsia="仿宋_GB2312" w:cs="DengXian-Regular"/>
          <w:sz w:val="32"/>
          <w:szCs w:val="32"/>
        </w:rPr>
        <w:t>公务用车购置费支出较2018年度决算无增减变化</w:t>
      </w:r>
      <w:r>
        <w:rPr>
          <w:rFonts w:hint="eastAsia" w:ascii="仿宋_GB2312" w:eastAsia="仿宋_GB2312"/>
          <w:sz w:val="32"/>
          <w:szCs w:val="32"/>
        </w:rPr>
        <w:t>。</w:t>
      </w:r>
    </w:p>
    <w:p>
      <w:pPr>
        <w:adjustRightInd w:val="0"/>
        <w:snapToGrid w:val="0"/>
        <w:spacing w:line="584" w:lineRule="exact"/>
        <w:ind w:firstLine="643" w:firstLineChars="200"/>
        <w:rPr>
          <w:rFonts w:ascii="仿宋_GB2312" w:eastAsia="仿宋_GB2312"/>
          <w:sz w:val="32"/>
          <w:szCs w:val="32"/>
        </w:rPr>
      </w:pPr>
      <w:r>
        <w:rPr>
          <w:rFonts w:hint="eastAsia" w:eastAsia="仿宋_GB2312"/>
          <w:b/>
          <w:sz w:val="32"/>
          <w:szCs w:val="32"/>
        </w:rPr>
        <w:t>公务用车运行维护费支出</w:t>
      </w:r>
      <w:r>
        <w:rPr>
          <w:rFonts w:eastAsia="仿宋_GB2312"/>
          <w:b/>
          <w:sz w:val="32"/>
          <w:szCs w:val="32"/>
        </w:rPr>
        <w:t>0</w:t>
      </w:r>
      <w:r>
        <w:rPr>
          <w:rFonts w:hint="eastAsia" w:eastAsia="仿宋_GB2312"/>
          <w:b/>
          <w:sz w:val="32"/>
          <w:szCs w:val="32"/>
        </w:rPr>
        <w:t>万元。</w:t>
      </w:r>
      <w:r>
        <w:rPr>
          <w:rFonts w:hint="eastAsia" w:ascii="仿宋_GB2312" w:eastAsia="仿宋_GB2312"/>
          <w:sz w:val="32"/>
          <w:szCs w:val="32"/>
        </w:rPr>
        <w:t>本部门2019年末单位公务用车保有量0辆。公务用车运行维护费支出0万元。比</w:t>
      </w:r>
      <w:r>
        <w:rPr>
          <w:rFonts w:hint="eastAsia" w:ascii="仿宋_GB2312" w:eastAsia="仿宋_GB2312" w:cs="DengXian-Regular"/>
          <w:sz w:val="32"/>
          <w:szCs w:val="32"/>
        </w:rPr>
        <w:t>年初预算</w:t>
      </w:r>
      <w:r>
        <w:rPr>
          <w:rFonts w:hint="eastAsia" w:ascii="仿宋_GB2312" w:eastAsia="仿宋_GB2312"/>
          <w:sz w:val="32"/>
          <w:szCs w:val="32"/>
        </w:rPr>
        <w:t>增加0万元，增长0%，主要是公务用车运行维护费支出</w:t>
      </w:r>
      <w:bookmarkStart w:id="0" w:name="_GoBack"/>
      <w:bookmarkEnd w:id="0"/>
      <w:r>
        <w:rPr>
          <w:rFonts w:hint="eastAsia" w:ascii="仿宋_GB2312" w:eastAsia="仿宋_GB2312" w:cs="DengXian-Regular"/>
          <w:sz w:val="32"/>
          <w:szCs w:val="32"/>
        </w:rPr>
        <w:t>较年初预算无增减变化；</w:t>
      </w:r>
      <w:r>
        <w:rPr>
          <w:rFonts w:hint="eastAsia" w:ascii="仿宋_GB2312" w:eastAsia="仿宋_GB2312"/>
          <w:sz w:val="32"/>
          <w:szCs w:val="32"/>
        </w:rPr>
        <w:t>比2018年度决算增加0万元，增长0%，主要是公务用车运行维护费支出</w:t>
      </w:r>
      <w:r>
        <w:rPr>
          <w:rFonts w:hint="eastAsia" w:ascii="仿宋_GB2312" w:eastAsia="仿宋_GB2312" w:cs="DengXian-Regular"/>
          <w:sz w:val="32"/>
          <w:szCs w:val="32"/>
        </w:rPr>
        <w:t>较2018年度决算无增减变化</w:t>
      </w:r>
      <w:r>
        <w:rPr>
          <w:rFonts w:hint="eastAsia" w:ascii="仿宋_GB2312" w:eastAsia="仿宋_GB2312"/>
          <w:sz w:val="32"/>
          <w:szCs w:val="32"/>
        </w:rPr>
        <w:t>。</w:t>
      </w:r>
    </w:p>
    <w:p>
      <w:pPr>
        <w:adjustRightInd w:val="0"/>
        <w:snapToGrid w:val="0"/>
        <w:spacing w:line="500" w:lineRule="exact"/>
        <w:ind w:firstLine="643" w:firstLineChars="200"/>
        <w:rPr>
          <w:rFonts w:eastAsia="仿宋_GB2312"/>
          <w:sz w:val="32"/>
          <w:szCs w:val="32"/>
          <w:highlight w:val="yellow"/>
        </w:rPr>
      </w:pPr>
      <w:r>
        <w:rPr>
          <w:rFonts w:hint="eastAsia" w:eastAsia="楷体_GB2312"/>
          <w:b/>
          <w:bCs/>
          <w:sz w:val="32"/>
          <w:szCs w:val="32"/>
        </w:rPr>
        <w:t>（三）公务接待费支出</w:t>
      </w:r>
      <w:r>
        <w:rPr>
          <w:rFonts w:eastAsia="楷体_GB2312"/>
          <w:b/>
          <w:bCs/>
          <w:sz w:val="32"/>
          <w:szCs w:val="32"/>
        </w:rPr>
        <w:t>0</w:t>
      </w:r>
      <w:r>
        <w:rPr>
          <w:rFonts w:hint="eastAsia" w:eastAsia="楷体_GB2312"/>
          <w:b/>
          <w:bCs/>
          <w:sz w:val="32"/>
          <w:szCs w:val="32"/>
        </w:rPr>
        <w:t>万元。</w:t>
      </w:r>
      <w:r>
        <w:rPr>
          <w:rFonts w:hint="eastAsia" w:ascii="仿宋_GB2312" w:eastAsia="仿宋_GB2312" w:cs="DengXian-Regular"/>
          <w:sz w:val="32"/>
          <w:szCs w:val="32"/>
        </w:rPr>
        <w:t>本部门2019年度公务接待共0批次、0人次。公务接待费支出比年初预算</w:t>
      </w:r>
      <w:r>
        <w:rPr>
          <w:rFonts w:hint="eastAsia" w:ascii="仿宋_GB2312" w:eastAsia="仿宋_GB2312"/>
          <w:sz w:val="32"/>
          <w:szCs w:val="32"/>
        </w:rPr>
        <w:t>增减0万元，增长0%，主要是</w:t>
      </w:r>
      <w:r>
        <w:rPr>
          <w:rFonts w:hint="eastAsia" w:ascii="仿宋_GB2312" w:eastAsia="仿宋_GB2312" w:cs="DengXian-Regular"/>
          <w:sz w:val="32"/>
          <w:szCs w:val="32"/>
        </w:rPr>
        <w:t>公务接待费支出较年初预算无增减变化</w:t>
      </w:r>
      <w:r>
        <w:rPr>
          <w:rFonts w:hint="eastAsia" w:ascii="仿宋_GB2312" w:eastAsia="仿宋_GB2312"/>
          <w:sz w:val="32"/>
          <w:szCs w:val="32"/>
        </w:rPr>
        <w:t>；</w:t>
      </w:r>
      <w:r>
        <w:rPr>
          <w:rFonts w:hint="eastAsia" w:ascii="仿宋_GB2312" w:eastAsia="仿宋_GB2312" w:cs="DengXian-Regular"/>
          <w:sz w:val="32"/>
          <w:szCs w:val="32"/>
        </w:rPr>
        <w:t>比2018年度决算</w:t>
      </w:r>
      <w:r>
        <w:rPr>
          <w:rFonts w:hint="eastAsia" w:ascii="仿宋_GB2312" w:eastAsia="仿宋_GB2312"/>
          <w:sz w:val="32"/>
          <w:szCs w:val="32"/>
        </w:rPr>
        <w:t>增加0万元，增长0%</w:t>
      </w:r>
      <w:r>
        <w:rPr>
          <w:rFonts w:hint="eastAsia" w:ascii="仿宋_GB2312" w:eastAsia="仿宋_GB2312" w:cs="DengXian-Regular"/>
          <w:sz w:val="32"/>
          <w:szCs w:val="32"/>
        </w:rPr>
        <w:t>，主要是公务接待费支出较2018年度决算无增减变化</w:t>
      </w:r>
      <w:r>
        <w:rPr>
          <w:rFonts w:hint="eastAsia" w:eastAsia="仿宋_GB2312"/>
          <w:sz w:val="32"/>
          <w:szCs w:val="32"/>
        </w:rPr>
        <w:t>。</w:t>
      </w:r>
    </w:p>
    <w:p>
      <w:pPr>
        <w:adjustRightInd w:val="0"/>
        <w:snapToGrid w:val="0"/>
        <w:spacing w:line="500" w:lineRule="exact"/>
        <w:ind w:firstLine="640" w:firstLineChars="200"/>
        <w:rPr>
          <w:rFonts w:ascii="黑体" w:eastAsia="黑体" w:cs="Times New Roman"/>
          <w:sz w:val="32"/>
          <w:szCs w:val="40"/>
        </w:rPr>
      </w:pPr>
      <w:r>
        <w:rPr>
          <w:rFonts w:hint="eastAsia" w:ascii="黑体" w:eastAsia="黑体" w:cs="Times New Roman"/>
          <w:sz w:val="32"/>
          <w:szCs w:val="40"/>
        </w:rPr>
        <w:t>六、预算绩效情况说明</w:t>
      </w:r>
    </w:p>
    <w:p>
      <w:pPr>
        <w:spacing w:line="50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（一）预算绩效管理工作开展情况</w:t>
      </w:r>
    </w:p>
    <w:p>
      <w:pPr>
        <w:spacing w:line="50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根据市财政预算绩效管理要求，中国共产主义青年团大城县委员会以“部门职责-工作活动”为依据，确定部门预算和预算额度，清晰描述预算项目开支范围和内容，确定预算项目的绩效目标、绩效指标和评价标准，为预算绩效控制、绩效分析、绩效评价打下良好的基础。 领导全县共青团工作，管理全县青、学联、少先队、青年志愿者和青年社会组织工作；对青少年活动阵地和青少年服务机构的建设等进行规划和管理；协助县政府教育部门做好学生教育管理工作。各级基层团组织和青年组织建设加强，活力明显提升。构建团的网络新媒体工作阵地，运用新媒体全方位推进团的工作；利用重要节点节日、各类阵地、各种形式进行思想引导，培养青年骨干，打造适应青少年特点的文化产品。维护青少年队伍稳定，促进和谐社会建设。围绕青年思想动态和青年工作现况，不断加强青少年社会主义核心价值观教育；加强青年统战工作；围绕党政中心工作开展各项活动。做好青年统战对象的团结教育、引导、服务工作，为全县经济社会发展贡献力量。工作任务圆满完成，促进共青团事业发展。高质量完成全县青少年发展规划和方针政策的制定，圆满完成县委、县政府和省市团委交办的各项任务。</w:t>
      </w:r>
    </w:p>
    <w:p>
      <w:pPr>
        <w:spacing w:line="500" w:lineRule="exact"/>
        <w:ind w:firstLine="560"/>
        <w:rPr>
          <w:rFonts w:ascii="仿宋_GB2312" w:eastAsia="仿宋_GB2312" w:cs="仿宋_GB2312"/>
          <w:sz w:val="32"/>
          <w:szCs w:val="32"/>
        </w:rPr>
      </w:pPr>
      <w:r>
        <w:rPr>
          <w:rFonts w:hint="eastAsia" w:ascii="仿宋_GB2312" w:eastAsia="仿宋_GB2312"/>
          <w:sz w:val="32"/>
        </w:rPr>
        <w:t>“</w:t>
      </w:r>
      <w:r>
        <w:rPr>
          <w:rFonts w:hint="eastAsia" w:ascii="仿宋_GB2312" w:eastAsia="仿宋_GB2312" w:cs="宋体"/>
          <w:sz w:val="32"/>
        </w:rPr>
        <w:t>基层党建带团建</w:t>
      </w:r>
      <w:r>
        <w:rPr>
          <w:rFonts w:hint="eastAsia" w:ascii="仿宋_GB2312" w:eastAsia="仿宋_GB2312"/>
          <w:sz w:val="32"/>
        </w:rPr>
        <w:t>”</w:t>
      </w:r>
      <w:r>
        <w:rPr>
          <w:rFonts w:hint="eastAsia" w:ascii="仿宋_GB2312" w:eastAsia="仿宋_GB2312" w:cs="宋体"/>
          <w:sz w:val="32"/>
        </w:rPr>
        <w:t>项目。为加强预算绩效管理</w:t>
      </w:r>
      <w:r>
        <w:rPr>
          <w:rFonts w:hint="eastAsia" w:ascii="仿宋_GB2312" w:eastAsia="仿宋_GB2312"/>
          <w:sz w:val="32"/>
        </w:rPr>
        <w:t>,</w:t>
      </w:r>
      <w:r>
        <w:rPr>
          <w:rFonts w:hint="eastAsia" w:ascii="仿宋_GB2312" w:eastAsia="仿宋_GB2312" w:cs="宋体"/>
          <w:sz w:val="32"/>
        </w:rPr>
        <w:t>切实提高财政资金使用效益，进一步做好</w:t>
      </w:r>
      <w:r>
        <w:rPr>
          <w:rFonts w:hint="eastAsia" w:ascii="仿宋_GB2312" w:eastAsia="仿宋_GB2312"/>
          <w:sz w:val="32"/>
        </w:rPr>
        <w:t>2019</w:t>
      </w:r>
      <w:r>
        <w:rPr>
          <w:rFonts w:hint="eastAsia" w:ascii="仿宋_GB2312" w:eastAsia="仿宋_GB2312" w:cs="宋体"/>
          <w:sz w:val="32"/>
        </w:rPr>
        <w:t>年绩效评价工作，</w:t>
      </w:r>
      <w:r>
        <w:rPr>
          <w:rFonts w:hint="eastAsia" w:ascii="仿宋_GB2312" w:eastAsia="仿宋_GB2312" w:cs="??_GB2312"/>
          <w:color w:val="484747"/>
          <w:sz w:val="32"/>
          <w:szCs w:val="32"/>
        </w:rPr>
        <w:t>中国共产主义青年团大城县委员会</w:t>
      </w:r>
      <w:r>
        <w:rPr>
          <w:rFonts w:hint="eastAsia" w:ascii="仿宋_GB2312" w:eastAsia="仿宋_GB2312" w:cs="宋体"/>
          <w:sz w:val="32"/>
        </w:rPr>
        <w:t>继续对专项项目进行重点绩效评价，同时积极创新开展</w:t>
      </w:r>
      <w:r>
        <w:rPr>
          <w:rFonts w:hint="eastAsia" w:ascii="仿宋_GB2312" w:eastAsia="仿宋_GB2312"/>
          <w:sz w:val="32"/>
        </w:rPr>
        <w:t>“</w:t>
      </w:r>
      <w:r>
        <w:rPr>
          <w:rFonts w:hint="eastAsia" w:ascii="仿宋_GB2312" w:eastAsia="仿宋_GB2312" w:cs="宋体"/>
          <w:sz w:val="32"/>
        </w:rPr>
        <w:t>工作活动</w:t>
      </w:r>
      <w:r>
        <w:rPr>
          <w:rFonts w:hint="eastAsia" w:ascii="仿宋_GB2312" w:eastAsia="仿宋_GB2312"/>
          <w:sz w:val="32"/>
        </w:rPr>
        <w:t>”</w:t>
      </w:r>
      <w:r>
        <w:rPr>
          <w:rFonts w:hint="eastAsia" w:ascii="仿宋_GB2312" w:eastAsia="仿宋_GB2312" w:cs="宋体"/>
          <w:sz w:val="32"/>
        </w:rPr>
        <w:t>层面的绩效评价。</w:t>
      </w:r>
      <w:r>
        <w:rPr>
          <w:rFonts w:hint="eastAsia" w:ascii="仿宋_GB2312" w:eastAsia="仿宋_GB2312"/>
          <w:sz w:val="32"/>
        </w:rPr>
        <w:t>2019</w:t>
      </w:r>
      <w:r>
        <w:rPr>
          <w:rFonts w:hint="eastAsia" w:ascii="仿宋_GB2312" w:eastAsia="仿宋_GB2312" w:cs="宋体"/>
          <w:sz w:val="32"/>
        </w:rPr>
        <w:t>年筛选了</w:t>
      </w:r>
      <w:r>
        <w:rPr>
          <w:rFonts w:hint="eastAsia" w:ascii="仿宋_GB2312" w:eastAsia="仿宋_GB2312"/>
          <w:sz w:val="32"/>
        </w:rPr>
        <w:t xml:space="preserve">9 </w:t>
      </w:r>
      <w:r>
        <w:rPr>
          <w:rFonts w:hint="eastAsia" w:ascii="仿宋_GB2312" w:eastAsia="仿宋_GB2312" w:cs="宋体"/>
          <w:sz w:val="32"/>
        </w:rPr>
        <w:t>个项目开展重点绩效评价工作。截止到</w:t>
      </w:r>
      <w:r>
        <w:rPr>
          <w:rFonts w:hint="eastAsia" w:ascii="仿宋_GB2312" w:eastAsia="仿宋_GB2312"/>
          <w:sz w:val="32"/>
        </w:rPr>
        <w:t>12</w:t>
      </w:r>
      <w:r>
        <w:rPr>
          <w:rFonts w:hint="eastAsia" w:ascii="仿宋_GB2312" w:eastAsia="仿宋_GB2312" w:cs="宋体"/>
          <w:sz w:val="32"/>
        </w:rPr>
        <w:t>月</w:t>
      </w:r>
      <w:r>
        <w:rPr>
          <w:rFonts w:hint="eastAsia" w:ascii="仿宋_GB2312" w:eastAsia="仿宋_GB2312"/>
          <w:sz w:val="32"/>
        </w:rPr>
        <w:t>31</w:t>
      </w:r>
      <w:r>
        <w:rPr>
          <w:rFonts w:hint="eastAsia" w:ascii="仿宋_GB2312" w:eastAsia="仿宋_GB2312" w:cs="宋体"/>
          <w:sz w:val="32"/>
        </w:rPr>
        <w:t>日这项工作已全部完成，取得了良好的成效，并将评价结果分别报送有关部门和局领导。</w:t>
      </w:r>
    </w:p>
    <w:p>
      <w:pPr>
        <w:numPr>
          <w:ilvl w:val="0"/>
          <w:numId w:val="2"/>
        </w:numPr>
        <w:adjustRightInd w:val="0"/>
        <w:snapToGrid w:val="0"/>
        <w:spacing w:line="50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项目绩效自评结果。</w:t>
      </w:r>
    </w:p>
    <w:p>
      <w:pPr>
        <w:spacing w:line="500" w:lineRule="exact"/>
        <w:ind w:firstLine="640" w:firstLineChars="200"/>
        <w:rPr>
          <w:rFonts w:ascii="仿宋_GB2312" w:eastAsia="仿宋_GB2312" w:cs="仿宋"/>
          <w:sz w:val="32"/>
          <w:szCs w:val="32"/>
        </w:rPr>
      </w:pPr>
      <w:r>
        <w:rPr>
          <w:rFonts w:hint="eastAsia" w:ascii="仿宋_GB2312" w:eastAsia="仿宋_GB2312" w:cs="仿宋"/>
          <w:sz w:val="32"/>
          <w:szCs w:val="32"/>
        </w:rPr>
        <w:t>指导全县青联、学联和少先队工作，对全县性青年社团组织进行指导和管理。</w:t>
      </w:r>
    </w:p>
    <w:p>
      <w:pPr>
        <w:spacing w:line="500" w:lineRule="exact"/>
        <w:ind w:firstLine="560"/>
        <w:rPr>
          <w:rFonts w:ascii="仿宋_GB2312" w:eastAsia="仿宋_GB2312" w:cs="仿宋"/>
          <w:sz w:val="32"/>
          <w:szCs w:val="32"/>
        </w:rPr>
      </w:pPr>
      <w:r>
        <w:rPr>
          <w:rFonts w:hint="eastAsia" w:ascii="仿宋_GB2312" w:eastAsia="仿宋_GB2312" w:cs="仿宋"/>
          <w:sz w:val="32"/>
          <w:szCs w:val="32"/>
        </w:rPr>
        <w:t>有效利用网络和新媒体加强对青年的宣传力度，加强网络和新媒体正面宣传，用科学理论武装青年，用共同理想感召青年，用核心价值观引领青年，协助县政府教育部门做好大、中、小学学生的教育管理工作，维护学校稳定和社会安定团结。</w:t>
      </w:r>
    </w:p>
    <w:p>
      <w:pPr>
        <w:spacing w:line="500" w:lineRule="exact"/>
        <w:ind w:firstLine="560"/>
        <w:rPr>
          <w:rFonts w:ascii="仿宋_GB2312" w:eastAsia="仿宋_GB2312" w:cs="仿宋"/>
          <w:sz w:val="32"/>
          <w:szCs w:val="32"/>
        </w:rPr>
      </w:pPr>
      <w:r>
        <w:rPr>
          <w:rFonts w:hint="eastAsia" w:ascii="仿宋_GB2312" w:eastAsia="仿宋_GB2312" w:cs="仿宋"/>
          <w:sz w:val="32"/>
          <w:szCs w:val="32"/>
        </w:rPr>
        <w:t>围绕青年思想动态和青年工作状况，研究青少年运动、青少年工作理论和思想教育问题开展调研活动；围绕经济建设开展团的各项活动；参与制定有关本县的青年统战工作的政策，做好青年统战对象的团结教育工作。</w:t>
      </w:r>
    </w:p>
    <w:p>
      <w:pPr>
        <w:spacing w:line="500" w:lineRule="exact"/>
        <w:ind w:firstLine="560"/>
        <w:rPr>
          <w:rFonts w:ascii="仿宋_GB2312" w:eastAsia="仿宋_GB2312" w:cs="仿宋"/>
          <w:sz w:val="32"/>
          <w:szCs w:val="32"/>
        </w:rPr>
      </w:pPr>
      <w:r>
        <w:rPr>
          <w:rFonts w:hint="eastAsia" w:ascii="仿宋_GB2312" w:eastAsia="仿宋_GB2312" w:cs="仿宋"/>
          <w:sz w:val="32"/>
          <w:szCs w:val="32"/>
        </w:rPr>
        <w:t>做好大中小学学生的教育管理工作，维护学校稳定和社会安定团结；推动青少年事务社会工作开展，提高源头治理力度，做好预防青少年违法犯罪工作。</w:t>
      </w:r>
    </w:p>
    <w:p>
      <w:pPr>
        <w:spacing w:line="500" w:lineRule="exact"/>
        <w:ind w:firstLine="560"/>
        <w:rPr>
          <w:rFonts w:ascii="仿宋_GB2312" w:eastAsia="仿宋_GB2312" w:cs="DengXian-Regular"/>
          <w:sz w:val="32"/>
          <w:szCs w:val="32"/>
        </w:rPr>
      </w:pPr>
      <w:r>
        <w:rPr>
          <w:rFonts w:hint="eastAsia" w:ascii="仿宋_GB2312" w:eastAsia="仿宋_GB2312" w:cs="仿宋"/>
          <w:sz w:val="32"/>
          <w:szCs w:val="32"/>
        </w:rPr>
        <w:t>参与制定全县的青少年事业发展规划和青少年工作方针、政策;承担县委、县政府和团中央交办的有关事项</w:t>
      </w:r>
    </w:p>
    <w:p>
      <w:pPr>
        <w:numPr>
          <w:ilvl w:val="0"/>
          <w:numId w:val="2"/>
        </w:numPr>
        <w:adjustRightInd w:val="0"/>
        <w:snapToGrid w:val="0"/>
        <w:spacing w:line="500" w:lineRule="exact"/>
        <w:ind w:firstLine="640" w:firstLineChars="200"/>
        <w:jc w:val="left"/>
        <w:rPr>
          <w:rFonts w:ascii="仿宋_GB2312" w:eastAsia="仿宋_GB2312" w:cs="DengXian-Regular"/>
          <w:sz w:val="32"/>
          <w:szCs w:val="32"/>
        </w:rPr>
      </w:pPr>
      <w:r>
        <w:rPr>
          <w:rFonts w:hint="eastAsia" w:ascii="仿宋_GB2312" w:eastAsia="仿宋_GB2312" w:cs="DengXian-Regular"/>
          <w:sz w:val="32"/>
          <w:szCs w:val="32"/>
        </w:rPr>
        <w:t>重点项目绩效评价结果。</w:t>
      </w:r>
    </w:p>
    <w:p>
      <w:pPr>
        <w:tabs>
          <w:tab w:val="left" w:pos="0"/>
        </w:tabs>
        <w:adjustRightInd w:val="0"/>
        <w:snapToGrid w:val="0"/>
        <w:spacing w:line="500" w:lineRule="exact"/>
        <w:ind w:left="640"/>
        <w:jc w:val="left"/>
        <w:rPr>
          <w:rFonts w:ascii="仿宋_GB2312" w:eastAsia="仿宋_GB2312" w:cs="DengXian-Regular"/>
          <w:sz w:val="32"/>
          <w:szCs w:val="32"/>
        </w:rPr>
      </w:pPr>
      <w:r>
        <w:rPr>
          <w:rFonts w:hint="eastAsia" w:ascii="仿宋_GB2312" w:eastAsia="仿宋_GB2312" w:cs="DengXian-Regular"/>
          <w:sz w:val="32"/>
          <w:szCs w:val="32"/>
        </w:rPr>
        <w:t>部门重点项目绩效评价，按要求控表列示。</w:t>
      </w:r>
    </w:p>
    <w:p>
      <w:pPr>
        <w:tabs>
          <w:tab w:val="left" w:pos="0"/>
        </w:tabs>
        <w:adjustRightInd w:val="0"/>
        <w:snapToGrid w:val="0"/>
        <w:spacing w:line="500" w:lineRule="exact"/>
        <w:ind w:left="640"/>
        <w:jc w:val="left"/>
        <w:rPr>
          <w:rFonts w:ascii="仿宋_GB2312" w:eastAsia="仿宋_GB2312" w:cs="DengXian-Regular"/>
          <w:sz w:val="32"/>
          <w:szCs w:val="32"/>
        </w:rPr>
      </w:pPr>
    </w:p>
    <w:p>
      <w:pPr>
        <w:tabs>
          <w:tab w:val="left" w:pos="0"/>
        </w:tabs>
        <w:adjustRightInd w:val="0"/>
        <w:snapToGrid w:val="0"/>
        <w:spacing w:line="500" w:lineRule="exact"/>
        <w:ind w:left="640"/>
        <w:jc w:val="left"/>
        <w:rPr>
          <w:rFonts w:ascii="仿宋_GB2312" w:eastAsia="仿宋_GB2312" w:cs="DengXian-Regular"/>
          <w:sz w:val="32"/>
          <w:szCs w:val="32"/>
        </w:rPr>
      </w:pPr>
    </w:p>
    <w:tbl>
      <w:tblPr>
        <w:tblStyle w:val="9"/>
        <w:tblW w:w="7800" w:type="dxa"/>
        <w:jc w:val="center"/>
        <w:tblLayout w:type="autofit"/>
        <w:tblCellMar>
          <w:top w:w="0" w:type="dxa"/>
          <w:left w:w="108" w:type="dxa"/>
          <w:bottom w:w="0" w:type="dxa"/>
          <w:right w:w="108" w:type="dxa"/>
        </w:tblCellMar>
      </w:tblPr>
      <w:tblGrid>
        <w:gridCol w:w="840"/>
        <w:gridCol w:w="1180"/>
        <w:gridCol w:w="980"/>
        <w:gridCol w:w="1060"/>
        <w:gridCol w:w="1020"/>
        <w:gridCol w:w="760"/>
        <w:gridCol w:w="800"/>
        <w:gridCol w:w="1160"/>
      </w:tblGrid>
      <w:tr>
        <w:tblPrEx>
          <w:tblCellMar>
            <w:top w:w="0" w:type="dxa"/>
            <w:left w:w="108" w:type="dxa"/>
            <w:bottom w:w="0" w:type="dxa"/>
            <w:right w:w="108" w:type="dxa"/>
          </w:tblCellMar>
        </w:tblPrEx>
        <w:trPr>
          <w:trHeight w:val="516" w:hRule="atLeast"/>
          <w:jc w:val="center"/>
        </w:trPr>
        <w:tc>
          <w:tcPr>
            <w:tcW w:w="7800" w:type="dxa"/>
            <w:gridSpan w:val="8"/>
            <w:tcBorders>
              <w:top w:val="nil"/>
              <w:left w:val="nil"/>
              <w:bottom w:val="nil"/>
              <w:right w:val="nil"/>
            </w:tcBorders>
            <w:shd w:val="clear" w:color="auto" w:fill="auto"/>
            <w:noWrap/>
            <w:vAlign w:val="center"/>
          </w:tcPr>
          <w:p>
            <w:pPr>
              <w:widowControl/>
              <w:jc w:val="center"/>
              <w:rPr>
                <w:rFonts w:ascii="方正小标宋_GBK" w:eastAsia="方正小标宋_GBK" w:cs="宋体"/>
                <w:color w:val="000000"/>
                <w:kern w:val="0"/>
                <w:sz w:val="40"/>
                <w:szCs w:val="40"/>
              </w:rPr>
            </w:pPr>
            <w:r>
              <w:rPr>
                <w:rFonts w:hint="eastAsia" w:ascii="方正小标宋_GBK" w:eastAsia="方正小标宋_GBK" w:cs="宋体"/>
                <w:color w:val="000000"/>
                <w:kern w:val="0"/>
                <w:sz w:val="40"/>
                <w:szCs w:val="40"/>
              </w:rPr>
              <w:t>一、部门预算重点项目绩效自评表</w:t>
            </w:r>
          </w:p>
        </w:tc>
      </w:tr>
      <w:tr>
        <w:tblPrEx>
          <w:tblCellMar>
            <w:top w:w="0" w:type="dxa"/>
            <w:left w:w="108" w:type="dxa"/>
            <w:bottom w:w="0" w:type="dxa"/>
            <w:right w:w="108" w:type="dxa"/>
          </w:tblCellMar>
        </w:tblPrEx>
        <w:trPr>
          <w:trHeight w:val="345" w:hRule="atLeast"/>
          <w:jc w:val="center"/>
        </w:trPr>
        <w:tc>
          <w:tcPr>
            <w:tcW w:w="7800" w:type="dxa"/>
            <w:gridSpan w:val="8"/>
            <w:tcBorders>
              <w:top w:val="nil"/>
              <w:left w:val="nil"/>
              <w:bottom w:val="nil"/>
              <w:right w:val="nil"/>
            </w:tcBorders>
            <w:shd w:val="clear" w:color="auto" w:fill="auto"/>
            <w:noWrap/>
            <w:vAlign w:val="bottom"/>
          </w:tcPr>
          <w:p>
            <w:pPr>
              <w:widowControl/>
              <w:jc w:val="center"/>
              <w:rPr>
                <w:rFonts w:ascii="宋体" w:eastAsia="宋体" w:cs="宋体"/>
                <w:color w:val="000000"/>
                <w:kern w:val="0"/>
                <w:sz w:val="20"/>
                <w:szCs w:val="20"/>
              </w:rPr>
            </w:pPr>
            <w:r>
              <w:rPr>
                <w:rFonts w:hint="eastAsia" w:ascii="宋体" w:eastAsia="宋体" w:cs="宋体"/>
                <w:color w:val="000000"/>
                <w:kern w:val="0"/>
                <w:sz w:val="20"/>
                <w:szCs w:val="20"/>
              </w:rPr>
              <w:t>（2019年度）</w:t>
            </w:r>
          </w:p>
        </w:tc>
      </w:tr>
      <w:tr>
        <w:tblPrEx>
          <w:tblCellMar>
            <w:top w:w="0" w:type="dxa"/>
            <w:left w:w="108" w:type="dxa"/>
            <w:bottom w:w="0" w:type="dxa"/>
            <w:right w:w="108" w:type="dxa"/>
          </w:tblCellMar>
        </w:tblPrEx>
        <w:trPr>
          <w:trHeight w:val="435" w:hRule="atLeast"/>
          <w:jc w:val="center"/>
        </w:trPr>
        <w:tc>
          <w:tcPr>
            <w:tcW w:w="4060" w:type="dxa"/>
            <w:gridSpan w:val="4"/>
            <w:tcBorders>
              <w:top w:val="nil"/>
              <w:left w:val="nil"/>
              <w:bottom w:val="nil"/>
              <w:right w:val="nil"/>
            </w:tcBorders>
            <w:shd w:val="clear" w:color="auto" w:fill="auto"/>
            <w:noWrap/>
            <w:vAlign w:val="center"/>
          </w:tcPr>
          <w:p>
            <w:pPr>
              <w:widowControl/>
              <w:jc w:val="left"/>
              <w:rPr>
                <w:rFonts w:ascii="宋体" w:eastAsia="宋体" w:cs="宋体"/>
                <w:color w:val="000000"/>
                <w:kern w:val="0"/>
                <w:sz w:val="16"/>
                <w:szCs w:val="16"/>
              </w:rPr>
            </w:pPr>
            <w:r>
              <w:rPr>
                <w:rFonts w:hint="eastAsia" w:ascii="宋体" w:eastAsia="宋体" w:cs="宋体"/>
                <w:color w:val="000000"/>
                <w:kern w:val="0"/>
                <w:sz w:val="16"/>
                <w:szCs w:val="16"/>
              </w:rPr>
              <w:t>填报单位：中国共产主义青年团大城县委员会</w:t>
            </w:r>
          </w:p>
        </w:tc>
        <w:tc>
          <w:tcPr>
            <w:tcW w:w="1020" w:type="dxa"/>
            <w:tcBorders>
              <w:top w:val="nil"/>
              <w:left w:val="nil"/>
              <w:bottom w:val="nil"/>
              <w:right w:val="nil"/>
            </w:tcBorders>
            <w:shd w:val="clear" w:color="auto" w:fill="auto"/>
            <w:noWrap/>
            <w:vAlign w:val="center"/>
          </w:tcPr>
          <w:p>
            <w:pPr>
              <w:widowControl/>
              <w:jc w:val="center"/>
              <w:rPr>
                <w:rFonts w:ascii="宋体" w:eastAsia="宋体" w:cs="宋体"/>
                <w:color w:val="000000"/>
                <w:kern w:val="0"/>
                <w:sz w:val="16"/>
                <w:szCs w:val="16"/>
              </w:rPr>
            </w:pPr>
          </w:p>
        </w:tc>
        <w:tc>
          <w:tcPr>
            <w:tcW w:w="760" w:type="dxa"/>
            <w:tcBorders>
              <w:top w:val="nil"/>
              <w:left w:val="nil"/>
              <w:bottom w:val="nil"/>
              <w:right w:val="nil"/>
            </w:tcBorders>
            <w:shd w:val="clear" w:color="auto" w:fill="auto"/>
            <w:noWrap/>
            <w:vAlign w:val="center"/>
          </w:tcPr>
          <w:p>
            <w:pPr>
              <w:widowControl/>
              <w:jc w:val="center"/>
              <w:rPr>
                <w:rFonts w:ascii="宋体" w:eastAsia="宋体" w:cs="宋体"/>
                <w:color w:val="000000"/>
                <w:kern w:val="0"/>
                <w:sz w:val="16"/>
                <w:szCs w:val="16"/>
              </w:rPr>
            </w:pPr>
          </w:p>
        </w:tc>
        <w:tc>
          <w:tcPr>
            <w:tcW w:w="800" w:type="dxa"/>
            <w:tcBorders>
              <w:top w:val="nil"/>
              <w:left w:val="nil"/>
              <w:bottom w:val="nil"/>
              <w:right w:val="nil"/>
            </w:tcBorders>
            <w:shd w:val="clear" w:color="auto" w:fill="auto"/>
            <w:noWrap/>
            <w:vAlign w:val="center"/>
          </w:tcPr>
          <w:p>
            <w:pPr>
              <w:widowControl/>
              <w:jc w:val="center"/>
              <w:rPr>
                <w:rFonts w:ascii="宋体" w:eastAsia="宋体" w:cs="宋体"/>
                <w:color w:val="000000"/>
                <w:kern w:val="0"/>
                <w:sz w:val="16"/>
                <w:szCs w:val="16"/>
              </w:rPr>
            </w:pPr>
          </w:p>
        </w:tc>
        <w:tc>
          <w:tcPr>
            <w:tcW w:w="1160" w:type="dxa"/>
            <w:tcBorders>
              <w:top w:val="nil"/>
              <w:left w:val="nil"/>
              <w:bottom w:val="nil"/>
              <w:right w:val="nil"/>
            </w:tcBorders>
            <w:shd w:val="clear" w:color="auto" w:fill="auto"/>
            <w:noWrap/>
            <w:vAlign w:val="center"/>
          </w:tcPr>
          <w:p>
            <w:pPr>
              <w:widowControl/>
              <w:jc w:val="center"/>
              <w:rPr>
                <w:rFonts w:ascii="宋体" w:eastAsia="宋体" w:cs="宋体"/>
                <w:color w:val="000000"/>
                <w:kern w:val="0"/>
                <w:sz w:val="16"/>
                <w:szCs w:val="16"/>
              </w:rPr>
            </w:pPr>
            <w:r>
              <w:rPr>
                <w:rFonts w:hint="eastAsia" w:ascii="宋体" w:eastAsia="宋体" w:cs="宋体"/>
                <w:color w:val="000000"/>
                <w:kern w:val="0"/>
                <w:sz w:val="16"/>
                <w:szCs w:val="16"/>
              </w:rPr>
              <w:t>金额单位：万元</w:t>
            </w:r>
          </w:p>
        </w:tc>
      </w:tr>
      <w:tr>
        <w:tblPrEx>
          <w:tblCellMar>
            <w:top w:w="0" w:type="dxa"/>
            <w:left w:w="108" w:type="dxa"/>
            <w:bottom w:w="0" w:type="dxa"/>
            <w:right w:w="108" w:type="dxa"/>
          </w:tblCellMar>
        </w:tblPrEx>
        <w:trPr>
          <w:trHeight w:val="495" w:hRule="atLeast"/>
          <w:jc w:val="center"/>
        </w:trPr>
        <w:tc>
          <w:tcPr>
            <w:tcW w:w="840" w:type="dxa"/>
            <w:tcBorders>
              <w:top w:val="single" w:color="000000" w:sz="4" w:space="0"/>
              <w:left w:val="single" w:color="000000" w:sz="4" w:space="0"/>
              <w:bottom w:val="nil"/>
              <w:right w:val="single" w:color="000000" w:sz="4" w:space="0"/>
            </w:tcBorders>
            <w:shd w:val="clear" w:color="auto" w:fill="auto"/>
            <w:vAlign w:val="center"/>
          </w:tcPr>
          <w:p>
            <w:pPr>
              <w:widowControl/>
              <w:spacing w:line="200" w:lineRule="exact"/>
              <w:jc w:val="left"/>
              <w:rPr>
                <w:rFonts w:ascii="宋体" w:eastAsia="宋体" w:cs="宋体"/>
                <w:color w:val="000000"/>
                <w:kern w:val="0"/>
                <w:sz w:val="16"/>
                <w:szCs w:val="16"/>
              </w:rPr>
            </w:pPr>
            <w:r>
              <w:rPr>
                <w:rFonts w:hint="eastAsia" w:ascii="宋体" w:eastAsia="宋体" w:cs="宋体"/>
                <w:color w:val="000000"/>
                <w:kern w:val="0"/>
                <w:sz w:val="16"/>
                <w:szCs w:val="16"/>
              </w:rPr>
              <w:t>一、</w:t>
            </w:r>
            <w:r>
              <w:rPr>
                <w:rFonts w:ascii="Calibri" w:hAnsi="Calibri" w:eastAsia="宋体" w:cs="宋体"/>
                <w:color w:val="000000"/>
                <w:kern w:val="0"/>
                <w:sz w:val="16"/>
                <w:szCs w:val="16"/>
              </w:rPr>
              <w:t> </w:t>
            </w:r>
            <w:r>
              <w:rPr>
                <w:rFonts w:hint="eastAsia" w:ascii="宋体" w:eastAsia="宋体" w:cs="宋体"/>
                <w:color w:val="000000"/>
                <w:kern w:val="0"/>
                <w:sz w:val="16"/>
                <w:szCs w:val="16"/>
              </w:rPr>
              <w:t>基本情况</w:t>
            </w:r>
          </w:p>
        </w:tc>
        <w:tc>
          <w:tcPr>
            <w:tcW w:w="1180" w:type="dxa"/>
            <w:tcBorders>
              <w:top w:val="single" w:color="000000" w:sz="4" w:space="0"/>
              <w:left w:val="nil"/>
              <w:bottom w:val="single" w:color="000000" w:sz="4" w:space="0"/>
              <w:right w:val="single" w:color="000000" w:sz="4" w:space="0"/>
            </w:tcBorders>
            <w:shd w:val="clear" w:color="auto" w:fill="auto"/>
            <w:vAlign w:val="center"/>
          </w:tcPr>
          <w:p>
            <w:pPr>
              <w:widowControl/>
              <w:spacing w:line="200" w:lineRule="exact"/>
              <w:jc w:val="center"/>
              <w:rPr>
                <w:rFonts w:ascii="宋体" w:eastAsia="宋体" w:cs="宋体"/>
                <w:color w:val="000000"/>
                <w:kern w:val="0"/>
                <w:sz w:val="16"/>
                <w:szCs w:val="16"/>
              </w:rPr>
            </w:pPr>
            <w:r>
              <w:rPr>
                <w:rFonts w:hint="eastAsia" w:ascii="宋体" w:eastAsia="宋体" w:cs="宋体"/>
                <w:color w:val="000000"/>
                <w:kern w:val="0"/>
                <w:sz w:val="16"/>
                <w:szCs w:val="16"/>
              </w:rPr>
              <w:t>项目名称</w:t>
            </w:r>
          </w:p>
        </w:tc>
        <w:tc>
          <w:tcPr>
            <w:tcW w:w="2040" w:type="dxa"/>
            <w:gridSpan w:val="2"/>
            <w:tcBorders>
              <w:top w:val="single" w:color="000000" w:sz="4" w:space="0"/>
              <w:left w:val="nil"/>
              <w:bottom w:val="single" w:color="000000" w:sz="4" w:space="0"/>
              <w:right w:val="single" w:color="000000" w:sz="4" w:space="0"/>
            </w:tcBorders>
            <w:shd w:val="clear" w:color="auto" w:fill="auto"/>
            <w:vAlign w:val="center"/>
          </w:tcPr>
          <w:p>
            <w:pPr>
              <w:widowControl/>
              <w:spacing w:line="200" w:lineRule="exact"/>
              <w:jc w:val="left"/>
              <w:rPr>
                <w:rFonts w:ascii="宋体" w:eastAsia="宋体" w:cs="宋体"/>
                <w:color w:val="000000"/>
                <w:kern w:val="0"/>
                <w:sz w:val="16"/>
                <w:szCs w:val="16"/>
              </w:rPr>
            </w:pPr>
            <w:r>
              <w:rPr>
                <w:rFonts w:hint="eastAsia" w:ascii="宋体" w:eastAsia="宋体" w:cs="宋体"/>
                <w:color w:val="000000"/>
                <w:kern w:val="0"/>
                <w:sz w:val="16"/>
                <w:szCs w:val="16"/>
              </w:rPr>
              <w:t>党建带团建工作活动经费</w:t>
            </w:r>
          </w:p>
        </w:tc>
        <w:tc>
          <w:tcPr>
            <w:tcW w:w="1020" w:type="dxa"/>
            <w:tcBorders>
              <w:top w:val="single" w:color="000000" w:sz="4" w:space="0"/>
              <w:left w:val="nil"/>
              <w:bottom w:val="single" w:color="000000" w:sz="4" w:space="0"/>
              <w:right w:val="single" w:color="000000" w:sz="4" w:space="0"/>
            </w:tcBorders>
            <w:shd w:val="clear" w:color="auto" w:fill="auto"/>
            <w:vAlign w:val="center"/>
          </w:tcPr>
          <w:p>
            <w:pPr>
              <w:widowControl/>
              <w:spacing w:line="200" w:lineRule="exact"/>
              <w:jc w:val="center"/>
              <w:rPr>
                <w:rFonts w:ascii="宋体" w:eastAsia="宋体" w:cs="宋体"/>
                <w:color w:val="000000"/>
                <w:kern w:val="0"/>
                <w:sz w:val="16"/>
                <w:szCs w:val="16"/>
              </w:rPr>
            </w:pPr>
            <w:r>
              <w:rPr>
                <w:rFonts w:hint="eastAsia" w:ascii="宋体" w:eastAsia="宋体" w:cs="宋体"/>
                <w:color w:val="000000"/>
                <w:kern w:val="0"/>
                <w:sz w:val="16"/>
                <w:szCs w:val="16"/>
              </w:rPr>
              <w:t>实施(主管）单位</w:t>
            </w:r>
          </w:p>
        </w:tc>
        <w:tc>
          <w:tcPr>
            <w:tcW w:w="2720" w:type="dxa"/>
            <w:gridSpan w:val="3"/>
            <w:tcBorders>
              <w:top w:val="single" w:color="000000" w:sz="4" w:space="0"/>
              <w:left w:val="nil"/>
              <w:bottom w:val="single" w:color="000000" w:sz="4" w:space="0"/>
              <w:right w:val="single" w:color="000000" w:sz="4" w:space="0"/>
            </w:tcBorders>
            <w:shd w:val="clear" w:color="auto" w:fill="auto"/>
            <w:vAlign w:val="center"/>
          </w:tcPr>
          <w:p>
            <w:pPr>
              <w:widowControl/>
              <w:spacing w:line="200" w:lineRule="exact"/>
              <w:jc w:val="center"/>
              <w:rPr>
                <w:rFonts w:ascii="宋体" w:eastAsia="宋体" w:cs="宋体"/>
                <w:color w:val="000000"/>
                <w:kern w:val="0"/>
                <w:sz w:val="16"/>
                <w:szCs w:val="16"/>
              </w:rPr>
            </w:pPr>
            <w:r>
              <w:rPr>
                <w:rFonts w:hint="eastAsia" w:ascii="宋体" w:eastAsia="宋体" w:cs="宋体"/>
                <w:color w:val="000000"/>
                <w:kern w:val="0"/>
                <w:sz w:val="16"/>
                <w:szCs w:val="16"/>
              </w:rPr>
              <w:t>中国共产主义青年团大城县委员会</w:t>
            </w:r>
          </w:p>
        </w:tc>
      </w:tr>
      <w:tr>
        <w:tblPrEx>
          <w:tblCellMar>
            <w:top w:w="0" w:type="dxa"/>
            <w:left w:w="108" w:type="dxa"/>
            <w:bottom w:w="0" w:type="dxa"/>
            <w:right w:w="108" w:type="dxa"/>
          </w:tblCellMar>
        </w:tblPrEx>
        <w:trPr>
          <w:trHeight w:val="288" w:hRule="atLeast"/>
          <w:jc w:val="center"/>
        </w:trPr>
        <w:tc>
          <w:tcPr>
            <w:tcW w:w="8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rPr>
                <w:rFonts w:ascii="宋体" w:eastAsia="宋体" w:cs="宋体"/>
                <w:color w:val="000000"/>
                <w:kern w:val="0"/>
                <w:sz w:val="16"/>
                <w:szCs w:val="16"/>
              </w:rPr>
            </w:pPr>
            <w:r>
              <w:rPr>
                <w:rFonts w:hint="eastAsia" w:ascii="宋体" w:eastAsia="宋体" w:cs="宋体"/>
                <w:color w:val="000000"/>
                <w:kern w:val="0"/>
                <w:sz w:val="16"/>
                <w:szCs w:val="16"/>
              </w:rPr>
              <w:t>二、预算执行情况</w:t>
            </w:r>
          </w:p>
        </w:tc>
        <w:tc>
          <w:tcPr>
            <w:tcW w:w="2160" w:type="dxa"/>
            <w:gridSpan w:val="2"/>
            <w:tcBorders>
              <w:top w:val="single" w:color="000000" w:sz="4" w:space="0"/>
              <w:left w:val="nil"/>
              <w:bottom w:val="single" w:color="000000" w:sz="4" w:space="0"/>
              <w:right w:val="single" w:color="000000" w:sz="4" w:space="0"/>
            </w:tcBorders>
            <w:shd w:val="clear" w:color="auto" w:fill="auto"/>
            <w:vAlign w:val="center"/>
          </w:tcPr>
          <w:p>
            <w:pPr>
              <w:widowControl/>
              <w:spacing w:line="200" w:lineRule="exact"/>
              <w:jc w:val="center"/>
              <w:rPr>
                <w:rFonts w:ascii="宋体" w:eastAsia="宋体" w:cs="宋体"/>
                <w:color w:val="000000"/>
                <w:kern w:val="0"/>
                <w:sz w:val="16"/>
                <w:szCs w:val="16"/>
              </w:rPr>
            </w:pPr>
            <w:r>
              <w:rPr>
                <w:rFonts w:hint="eastAsia" w:ascii="宋体" w:eastAsia="宋体" w:cs="宋体"/>
                <w:color w:val="000000"/>
                <w:kern w:val="0"/>
                <w:sz w:val="16"/>
                <w:szCs w:val="16"/>
              </w:rPr>
              <w:t>预算安排情况（调整后）</w:t>
            </w:r>
          </w:p>
        </w:tc>
        <w:tc>
          <w:tcPr>
            <w:tcW w:w="2080" w:type="dxa"/>
            <w:gridSpan w:val="2"/>
            <w:tcBorders>
              <w:top w:val="single" w:color="000000" w:sz="4" w:space="0"/>
              <w:left w:val="nil"/>
              <w:bottom w:val="single" w:color="000000" w:sz="4" w:space="0"/>
              <w:right w:val="single" w:color="000000" w:sz="4" w:space="0"/>
            </w:tcBorders>
            <w:shd w:val="clear" w:color="auto" w:fill="auto"/>
            <w:vAlign w:val="center"/>
          </w:tcPr>
          <w:p>
            <w:pPr>
              <w:widowControl/>
              <w:spacing w:line="200" w:lineRule="exact"/>
              <w:jc w:val="center"/>
              <w:rPr>
                <w:rFonts w:ascii="宋体" w:eastAsia="宋体" w:cs="宋体"/>
                <w:color w:val="000000"/>
                <w:kern w:val="0"/>
                <w:sz w:val="16"/>
                <w:szCs w:val="16"/>
              </w:rPr>
            </w:pPr>
            <w:r>
              <w:rPr>
                <w:rFonts w:hint="eastAsia" w:ascii="宋体" w:eastAsia="宋体" w:cs="宋体"/>
                <w:color w:val="000000"/>
                <w:kern w:val="0"/>
                <w:sz w:val="16"/>
                <w:szCs w:val="16"/>
              </w:rPr>
              <w:t>资金到位情况</w:t>
            </w:r>
          </w:p>
        </w:tc>
        <w:tc>
          <w:tcPr>
            <w:tcW w:w="1560" w:type="dxa"/>
            <w:gridSpan w:val="2"/>
            <w:tcBorders>
              <w:top w:val="single" w:color="000000" w:sz="4" w:space="0"/>
              <w:left w:val="nil"/>
              <w:bottom w:val="single" w:color="000000" w:sz="4" w:space="0"/>
              <w:right w:val="single" w:color="000000" w:sz="4" w:space="0"/>
            </w:tcBorders>
            <w:shd w:val="clear" w:color="auto" w:fill="auto"/>
            <w:vAlign w:val="center"/>
          </w:tcPr>
          <w:p>
            <w:pPr>
              <w:widowControl/>
              <w:spacing w:line="200" w:lineRule="exact"/>
              <w:jc w:val="center"/>
              <w:rPr>
                <w:rFonts w:ascii="宋体" w:eastAsia="宋体" w:cs="宋体"/>
                <w:color w:val="000000"/>
                <w:kern w:val="0"/>
                <w:sz w:val="16"/>
                <w:szCs w:val="16"/>
              </w:rPr>
            </w:pPr>
            <w:r>
              <w:rPr>
                <w:rFonts w:hint="eastAsia" w:ascii="宋体" w:eastAsia="宋体" w:cs="宋体"/>
                <w:color w:val="000000"/>
                <w:kern w:val="0"/>
                <w:sz w:val="16"/>
                <w:szCs w:val="16"/>
              </w:rPr>
              <w:t>资金执行情况</w:t>
            </w:r>
          </w:p>
        </w:tc>
        <w:tc>
          <w:tcPr>
            <w:tcW w:w="1160"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eastAsia="宋体" w:cs="宋体"/>
                <w:color w:val="000000"/>
                <w:kern w:val="0"/>
                <w:sz w:val="16"/>
                <w:szCs w:val="16"/>
              </w:rPr>
            </w:pPr>
            <w:r>
              <w:rPr>
                <w:rFonts w:hint="eastAsia" w:ascii="宋体" w:eastAsia="宋体" w:cs="宋体"/>
                <w:color w:val="000000"/>
                <w:kern w:val="0"/>
                <w:sz w:val="16"/>
                <w:szCs w:val="16"/>
              </w:rPr>
              <w:t>预算执行进度</w:t>
            </w:r>
          </w:p>
        </w:tc>
      </w:tr>
      <w:tr>
        <w:tblPrEx>
          <w:tblCellMar>
            <w:top w:w="0" w:type="dxa"/>
            <w:left w:w="108" w:type="dxa"/>
            <w:bottom w:w="0" w:type="dxa"/>
            <w:right w:w="108" w:type="dxa"/>
          </w:tblCellMar>
        </w:tblPrEx>
        <w:trPr>
          <w:trHeight w:val="288" w:hRule="atLeast"/>
          <w:jc w:val="center"/>
        </w:trPr>
        <w:tc>
          <w:tcPr>
            <w:tcW w:w="840" w:type="dxa"/>
            <w:vMerge w:val="continue"/>
            <w:tcBorders>
              <w:top w:val="single" w:color="000000" w:sz="4" w:space="0"/>
              <w:left w:val="single" w:color="000000" w:sz="4" w:space="0"/>
              <w:bottom w:val="single" w:color="000000" w:sz="4" w:space="0"/>
              <w:right w:val="single" w:color="000000" w:sz="4" w:space="0"/>
            </w:tcBorders>
            <w:vAlign w:val="center"/>
          </w:tcPr>
          <w:p/>
        </w:tc>
        <w:tc>
          <w:tcPr>
            <w:tcW w:w="1180"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eastAsia="宋体" w:cs="宋体"/>
                <w:color w:val="000000"/>
                <w:kern w:val="0"/>
                <w:sz w:val="16"/>
                <w:szCs w:val="16"/>
              </w:rPr>
            </w:pPr>
            <w:r>
              <w:rPr>
                <w:rFonts w:hint="eastAsia" w:ascii="宋体" w:eastAsia="宋体" w:cs="宋体"/>
                <w:color w:val="000000"/>
                <w:kern w:val="0"/>
                <w:sz w:val="16"/>
                <w:szCs w:val="16"/>
              </w:rPr>
              <w:t>预算数：</w:t>
            </w:r>
          </w:p>
        </w:tc>
        <w:tc>
          <w:tcPr>
            <w:tcW w:w="980"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eastAsia="宋体" w:cs="宋体"/>
                <w:color w:val="000000"/>
                <w:kern w:val="0"/>
                <w:sz w:val="16"/>
                <w:szCs w:val="16"/>
              </w:rPr>
            </w:pPr>
            <w:r>
              <w:rPr>
                <w:rFonts w:hint="eastAsia" w:ascii="宋体" w:eastAsia="宋体" w:cs="宋体"/>
                <w:color w:val="000000"/>
                <w:kern w:val="0"/>
                <w:sz w:val="16"/>
                <w:szCs w:val="16"/>
              </w:rPr>
              <w:t>10</w:t>
            </w:r>
          </w:p>
        </w:tc>
        <w:tc>
          <w:tcPr>
            <w:tcW w:w="1060"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eastAsia="宋体" w:cs="宋体"/>
                <w:color w:val="000000"/>
                <w:kern w:val="0"/>
                <w:sz w:val="16"/>
                <w:szCs w:val="16"/>
              </w:rPr>
            </w:pPr>
            <w:r>
              <w:rPr>
                <w:rFonts w:hint="eastAsia" w:ascii="宋体" w:eastAsia="宋体" w:cs="宋体"/>
                <w:color w:val="000000"/>
                <w:kern w:val="0"/>
                <w:sz w:val="16"/>
                <w:szCs w:val="16"/>
              </w:rPr>
              <w:t>到位数：</w:t>
            </w:r>
          </w:p>
        </w:tc>
        <w:tc>
          <w:tcPr>
            <w:tcW w:w="1020"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eastAsia="宋体" w:cs="宋体"/>
                <w:color w:val="000000"/>
                <w:kern w:val="0"/>
                <w:sz w:val="16"/>
                <w:szCs w:val="16"/>
              </w:rPr>
            </w:pPr>
            <w:r>
              <w:rPr>
                <w:rFonts w:hint="eastAsia" w:ascii="宋体" w:eastAsia="宋体" w:cs="宋体"/>
                <w:color w:val="000000"/>
                <w:kern w:val="0"/>
                <w:sz w:val="16"/>
                <w:szCs w:val="16"/>
              </w:rPr>
              <w:t>10</w:t>
            </w:r>
          </w:p>
        </w:tc>
        <w:tc>
          <w:tcPr>
            <w:tcW w:w="760"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eastAsia="宋体" w:cs="宋体"/>
                <w:color w:val="000000"/>
                <w:kern w:val="0"/>
                <w:sz w:val="16"/>
                <w:szCs w:val="16"/>
              </w:rPr>
            </w:pPr>
            <w:r>
              <w:rPr>
                <w:rFonts w:hint="eastAsia" w:ascii="宋体" w:eastAsia="宋体" w:cs="宋体"/>
                <w:color w:val="000000"/>
                <w:kern w:val="0"/>
                <w:sz w:val="16"/>
                <w:szCs w:val="16"/>
              </w:rPr>
              <w:t>执行数：</w:t>
            </w:r>
          </w:p>
        </w:tc>
        <w:tc>
          <w:tcPr>
            <w:tcW w:w="800"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eastAsia="宋体" w:cs="宋体"/>
                <w:color w:val="000000"/>
                <w:kern w:val="0"/>
                <w:sz w:val="16"/>
                <w:szCs w:val="16"/>
              </w:rPr>
            </w:pPr>
            <w:r>
              <w:rPr>
                <w:rFonts w:hint="eastAsia" w:ascii="宋体" w:eastAsia="宋体" w:cs="宋体"/>
                <w:color w:val="000000"/>
                <w:kern w:val="0"/>
                <w:sz w:val="16"/>
                <w:szCs w:val="16"/>
              </w:rPr>
              <w:t>10</w:t>
            </w:r>
          </w:p>
        </w:tc>
        <w:tc>
          <w:tcPr>
            <w:tcW w:w="116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center"/>
              <w:rPr>
                <w:rFonts w:ascii="宋体" w:eastAsia="宋体" w:cs="宋体"/>
                <w:color w:val="000000"/>
                <w:kern w:val="0"/>
                <w:sz w:val="16"/>
                <w:szCs w:val="16"/>
              </w:rPr>
            </w:pPr>
            <w:r>
              <w:rPr>
                <w:rFonts w:hint="eastAsia" w:ascii="宋体" w:eastAsia="宋体" w:cs="宋体"/>
                <w:color w:val="000000"/>
                <w:kern w:val="0"/>
                <w:sz w:val="16"/>
                <w:szCs w:val="16"/>
              </w:rPr>
              <w:t>100.00%</w:t>
            </w:r>
          </w:p>
        </w:tc>
      </w:tr>
      <w:tr>
        <w:tblPrEx>
          <w:tblCellMar>
            <w:top w:w="0" w:type="dxa"/>
            <w:left w:w="108" w:type="dxa"/>
            <w:bottom w:w="0" w:type="dxa"/>
            <w:right w:w="108" w:type="dxa"/>
          </w:tblCellMar>
        </w:tblPrEx>
        <w:trPr>
          <w:trHeight w:val="396" w:hRule="atLeast"/>
          <w:jc w:val="center"/>
        </w:trPr>
        <w:tc>
          <w:tcPr>
            <w:tcW w:w="840" w:type="dxa"/>
            <w:vMerge w:val="continue"/>
            <w:tcBorders>
              <w:top w:val="single" w:color="000000" w:sz="4" w:space="0"/>
              <w:left w:val="single" w:color="000000" w:sz="4" w:space="0"/>
              <w:bottom w:val="single" w:color="000000" w:sz="4" w:space="0"/>
              <w:right w:val="single" w:color="000000" w:sz="4" w:space="0"/>
            </w:tcBorders>
            <w:vAlign w:val="center"/>
          </w:tcPr>
          <w:p/>
        </w:tc>
        <w:tc>
          <w:tcPr>
            <w:tcW w:w="1180"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宋体" w:eastAsia="宋体" w:cs="宋体"/>
                <w:color w:val="000000"/>
                <w:kern w:val="0"/>
                <w:sz w:val="16"/>
                <w:szCs w:val="16"/>
              </w:rPr>
            </w:pPr>
            <w:r>
              <w:rPr>
                <w:rFonts w:hint="eastAsia" w:ascii="宋体" w:eastAsia="宋体" w:cs="宋体"/>
                <w:color w:val="000000"/>
                <w:kern w:val="0"/>
                <w:sz w:val="16"/>
                <w:szCs w:val="16"/>
              </w:rPr>
              <w:t>其中：财政资金</w:t>
            </w:r>
          </w:p>
        </w:tc>
        <w:tc>
          <w:tcPr>
            <w:tcW w:w="980"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eastAsia="宋体" w:cs="宋体"/>
                <w:color w:val="000000"/>
                <w:kern w:val="0"/>
                <w:sz w:val="16"/>
                <w:szCs w:val="16"/>
              </w:rPr>
            </w:pPr>
            <w:r>
              <w:rPr>
                <w:rFonts w:hint="eastAsia" w:ascii="宋体" w:eastAsia="宋体" w:cs="宋体"/>
                <w:color w:val="000000"/>
                <w:kern w:val="0"/>
                <w:sz w:val="16"/>
                <w:szCs w:val="16"/>
              </w:rPr>
              <w:t>10</w:t>
            </w:r>
          </w:p>
        </w:tc>
        <w:tc>
          <w:tcPr>
            <w:tcW w:w="1060"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eastAsia="宋体" w:cs="宋体"/>
                <w:color w:val="000000"/>
                <w:kern w:val="0"/>
                <w:sz w:val="16"/>
                <w:szCs w:val="16"/>
              </w:rPr>
            </w:pPr>
            <w:r>
              <w:rPr>
                <w:rFonts w:hint="eastAsia" w:ascii="宋体" w:eastAsia="宋体" w:cs="宋体"/>
                <w:color w:val="000000"/>
                <w:kern w:val="0"/>
                <w:sz w:val="16"/>
                <w:szCs w:val="16"/>
              </w:rPr>
              <w:t>其中：财政资金</w:t>
            </w:r>
          </w:p>
        </w:tc>
        <w:tc>
          <w:tcPr>
            <w:tcW w:w="1020"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eastAsia="宋体" w:cs="宋体"/>
                <w:color w:val="000000"/>
                <w:kern w:val="0"/>
                <w:sz w:val="16"/>
                <w:szCs w:val="16"/>
              </w:rPr>
            </w:pPr>
            <w:r>
              <w:rPr>
                <w:rFonts w:hint="eastAsia" w:ascii="宋体" w:eastAsia="宋体" w:cs="宋体"/>
                <w:color w:val="000000"/>
                <w:kern w:val="0"/>
                <w:sz w:val="16"/>
                <w:szCs w:val="16"/>
              </w:rPr>
              <w:t>10</w:t>
            </w:r>
          </w:p>
        </w:tc>
        <w:tc>
          <w:tcPr>
            <w:tcW w:w="760"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eastAsia="宋体" w:cs="宋体"/>
                <w:color w:val="000000"/>
                <w:kern w:val="0"/>
                <w:sz w:val="16"/>
                <w:szCs w:val="16"/>
              </w:rPr>
            </w:pPr>
            <w:r>
              <w:rPr>
                <w:rFonts w:hint="eastAsia" w:ascii="宋体" w:eastAsia="宋体" w:cs="宋体"/>
                <w:color w:val="000000"/>
                <w:kern w:val="0"/>
                <w:sz w:val="16"/>
                <w:szCs w:val="16"/>
              </w:rPr>
              <w:t>其中：财政资金</w:t>
            </w:r>
          </w:p>
        </w:tc>
        <w:tc>
          <w:tcPr>
            <w:tcW w:w="800"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eastAsia="宋体" w:cs="宋体"/>
                <w:color w:val="000000"/>
                <w:kern w:val="0"/>
                <w:sz w:val="16"/>
                <w:szCs w:val="16"/>
              </w:rPr>
            </w:pPr>
            <w:r>
              <w:rPr>
                <w:rFonts w:hint="eastAsia" w:ascii="宋体" w:eastAsia="宋体" w:cs="宋体"/>
                <w:color w:val="000000"/>
                <w:kern w:val="0"/>
                <w:sz w:val="16"/>
                <w:szCs w:val="16"/>
              </w:rPr>
              <w:t>10</w:t>
            </w:r>
          </w:p>
        </w:tc>
        <w:tc>
          <w:tcPr>
            <w:tcW w:w="1160" w:type="dxa"/>
            <w:vMerge w:val="continue"/>
            <w:tcBorders>
              <w:top w:val="nil"/>
              <w:left w:val="single" w:color="000000" w:sz="4" w:space="0"/>
              <w:bottom w:val="single" w:color="000000" w:sz="4" w:space="0"/>
              <w:right w:val="single" w:color="000000" w:sz="4" w:space="0"/>
            </w:tcBorders>
            <w:vAlign w:val="center"/>
          </w:tcPr>
          <w:p/>
        </w:tc>
      </w:tr>
      <w:tr>
        <w:tblPrEx>
          <w:tblCellMar>
            <w:top w:w="0" w:type="dxa"/>
            <w:left w:w="108" w:type="dxa"/>
            <w:bottom w:w="0" w:type="dxa"/>
            <w:right w:w="108" w:type="dxa"/>
          </w:tblCellMar>
        </w:tblPrEx>
        <w:trPr>
          <w:trHeight w:val="288" w:hRule="atLeast"/>
          <w:jc w:val="center"/>
        </w:trPr>
        <w:tc>
          <w:tcPr>
            <w:tcW w:w="840" w:type="dxa"/>
            <w:vMerge w:val="continue"/>
            <w:tcBorders>
              <w:top w:val="single" w:color="000000" w:sz="4" w:space="0"/>
              <w:left w:val="single" w:color="000000" w:sz="4" w:space="0"/>
              <w:bottom w:val="single" w:color="000000" w:sz="4" w:space="0"/>
              <w:right w:val="single" w:color="000000" w:sz="4" w:space="0"/>
            </w:tcBorders>
            <w:vAlign w:val="center"/>
          </w:tcPr>
          <w:p/>
        </w:tc>
        <w:tc>
          <w:tcPr>
            <w:tcW w:w="1180"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宋体" w:eastAsia="宋体" w:cs="宋体"/>
                <w:color w:val="000000"/>
                <w:kern w:val="0"/>
                <w:sz w:val="16"/>
                <w:szCs w:val="16"/>
              </w:rPr>
            </w:pPr>
            <w:r>
              <w:rPr>
                <w:rFonts w:hint="eastAsia" w:ascii="宋体" w:eastAsia="宋体" w:cs="宋体"/>
                <w:color w:val="000000"/>
                <w:kern w:val="0"/>
                <w:sz w:val="16"/>
                <w:szCs w:val="16"/>
              </w:rPr>
              <w:t>其他</w:t>
            </w:r>
          </w:p>
        </w:tc>
        <w:tc>
          <w:tcPr>
            <w:tcW w:w="980"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Calibri" w:hAnsi="Calibri" w:eastAsia="宋体" w:cs="宋体"/>
                <w:color w:val="000000"/>
                <w:kern w:val="0"/>
                <w:szCs w:val="21"/>
              </w:rPr>
            </w:pPr>
            <w:r>
              <w:rPr>
                <w:rFonts w:ascii="Calibri" w:hAnsi="Calibri" w:eastAsia="宋体" w:cs="宋体"/>
                <w:color w:val="000000"/>
                <w:kern w:val="0"/>
                <w:szCs w:val="21"/>
              </w:rPr>
              <w:t>　</w:t>
            </w:r>
          </w:p>
        </w:tc>
        <w:tc>
          <w:tcPr>
            <w:tcW w:w="1060"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eastAsia="宋体" w:cs="宋体"/>
                <w:color w:val="000000"/>
                <w:kern w:val="0"/>
                <w:sz w:val="16"/>
                <w:szCs w:val="16"/>
              </w:rPr>
            </w:pPr>
            <w:r>
              <w:rPr>
                <w:rFonts w:hint="eastAsia" w:ascii="宋体" w:eastAsia="宋体" w:cs="宋体"/>
                <w:color w:val="000000"/>
                <w:kern w:val="0"/>
                <w:sz w:val="16"/>
                <w:szCs w:val="16"/>
              </w:rPr>
              <w:t>其他</w:t>
            </w:r>
          </w:p>
        </w:tc>
        <w:tc>
          <w:tcPr>
            <w:tcW w:w="1020"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eastAsia="宋体" w:cs="宋体"/>
                <w:color w:val="000000"/>
                <w:kern w:val="0"/>
                <w:sz w:val="16"/>
                <w:szCs w:val="16"/>
              </w:rPr>
            </w:pPr>
            <w:r>
              <w:rPr>
                <w:rFonts w:hint="eastAsia" w:ascii="宋体" w:eastAsia="宋体" w:cs="宋体"/>
                <w:color w:val="000000"/>
                <w:kern w:val="0"/>
                <w:sz w:val="16"/>
                <w:szCs w:val="16"/>
              </w:rPr>
              <w:t>　</w:t>
            </w:r>
          </w:p>
        </w:tc>
        <w:tc>
          <w:tcPr>
            <w:tcW w:w="760"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eastAsia="宋体" w:cs="宋体"/>
                <w:color w:val="000000"/>
                <w:kern w:val="0"/>
                <w:sz w:val="16"/>
                <w:szCs w:val="16"/>
              </w:rPr>
            </w:pPr>
            <w:r>
              <w:rPr>
                <w:rFonts w:hint="eastAsia" w:ascii="宋体" w:eastAsia="宋体" w:cs="宋体"/>
                <w:color w:val="000000"/>
                <w:kern w:val="0"/>
                <w:sz w:val="16"/>
                <w:szCs w:val="16"/>
              </w:rPr>
              <w:t>其他</w:t>
            </w:r>
          </w:p>
        </w:tc>
        <w:tc>
          <w:tcPr>
            <w:tcW w:w="800"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eastAsia="宋体" w:cs="宋体"/>
                <w:color w:val="000000"/>
                <w:kern w:val="0"/>
                <w:sz w:val="16"/>
                <w:szCs w:val="16"/>
              </w:rPr>
            </w:pPr>
            <w:r>
              <w:rPr>
                <w:rFonts w:hint="eastAsia" w:ascii="宋体" w:eastAsia="宋体" w:cs="宋体"/>
                <w:color w:val="000000"/>
                <w:kern w:val="0"/>
                <w:sz w:val="16"/>
                <w:szCs w:val="16"/>
              </w:rPr>
              <w:t>　</w:t>
            </w:r>
          </w:p>
        </w:tc>
        <w:tc>
          <w:tcPr>
            <w:tcW w:w="1160" w:type="dxa"/>
            <w:vMerge w:val="continue"/>
            <w:tcBorders>
              <w:top w:val="nil"/>
              <w:left w:val="single" w:color="000000" w:sz="4" w:space="0"/>
              <w:bottom w:val="single" w:color="000000" w:sz="4" w:space="0"/>
              <w:right w:val="single" w:color="000000" w:sz="4" w:space="0"/>
            </w:tcBorders>
            <w:vAlign w:val="center"/>
          </w:tcPr>
          <w:p/>
        </w:tc>
      </w:tr>
      <w:tr>
        <w:tblPrEx>
          <w:tblCellMar>
            <w:top w:w="0" w:type="dxa"/>
            <w:left w:w="108" w:type="dxa"/>
            <w:bottom w:w="0" w:type="dxa"/>
            <w:right w:w="108" w:type="dxa"/>
          </w:tblCellMar>
        </w:tblPrEx>
        <w:trPr>
          <w:trHeight w:val="288" w:hRule="atLeast"/>
          <w:jc w:val="center"/>
        </w:trPr>
        <w:tc>
          <w:tcPr>
            <w:tcW w:w="84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center"/>
              <w:rPr>
                <w:rFonts w:ascii="宋体" w:eastAsia="宋体" w:cs="宋体"/>
                <w:color w:val="000000"/>
                <w:kern w:val="0"/>
                <w:sz w:val="16"/>
                <w:szCs w:val="16"/>
              </w:rPr>
            </w:pPr>
            <w:r>
              <w:rPr>
                <w:rFonts w:hint="eastAsia" w:ascii="宋体" w:eastAsia="宋体" w:cs="宋体"/>
                <w:color w:val="000000"/>
                <w:kern w:val="0"/>
                <w:sz w:val="16"/>
                <w:szCs w:val="16"/>
              </w:rPr>
              <w:t>三、目标完成情况</w:t>
            </w:r>
          </w:p>
        </w:tc>
        <w:tc>
          <w:tcPr>
            <w:tcW w:w="3220" w:type="dxa"/>
            <w:gridSpan w:val="3"/>
            <w:tcBorders>
              <w:top w:val="single" w:color="000000" w:sz="4" w:space="0"/>
              <w:left w:val="nil"/>
              <w:bottom w:val="single" w:color="000000" w:sz="4" w:space="0"/>
              <w:right w:val="single" w:color="000000" w:sz="4" w:space="0"/>
            </w:tcBorders>
            <w:shd w:val="clear" w:color="auto" w:fill="auto"/>
            <w:vAlign w:val="center"/>
          </w:tcPr>
          <w:p>
            <w:pPr>
              <w:widowControl/>
              <w:spacing w:line="200" w:lineRule="exact"/>
              <w:jc w:val="center"/>
              <w:rPr>
                <w:rFonts w:ascii="宋体" w:eastAsia="宋体" w:cs="宋体"/>
                <w:color w:val="000000"/>
                <w:kern w:val="0"/>
                <w:sz w:val="16"/>
                <w:szCs w:val="16"/>
              </w:rPr>
            </w:pPr>
            <w:r>
              <w:rPr>
                <w:rFonts w:hint="eastAsia" w:ascii="宋体" w:eastAsia="宋体" w:cs="宋体"/>
                <w:color w:val="000000"/>
                <w:kern w:val="0"/>
                <w:sz w:val="16"/>
                <w:szCs w:val="16"/>
              </w:rPr>
              <w:t>年度预期目标</w:t>
            </w:r>
          </w:p>
        </w:tc>
        <w:tc>
          <w:tcPr>
            <w:tcW w:w="2580" w:type="dxa"/>
            <w:gridSpan w:val="3"/>
            <w:tcBorders>
              <w:top w:val="single" w:color="000000" w:sz="4" w:space="0"/>
              <w:left w:val="nil"/>
              <w:bottom w:val="single" w:color="000000" w:sz="4" w:space="0"/>
              <w:right w:val="single" w:color="000000" w:sz="4" w:space="0"/>
            </w:tcBorders>
            <w:shd w:val="clear" w:color="auto" w:fill="auto"/>
            <w:vAlign w:val="center"/>
          </w:tcPr>
          <w:p>
            <w:pPr>
              <w:widowControl/>
              <w:spacing w:line="200" w:lineRule="exact"/>
              <w:jc w:val="center"/>
              <w:rPr>
                <w:rFonts w:ascii="宋体" w:eastAsia="宋体" w:cs="宋体"/>
                <w:color w:val="000000"/>
                <w:kern w:val="0"/>
                <w:sz w:val="16"/>
                <w:szCs w:val="16"/>
              </w:rPr>
            </w:pPr>
            <w:r>
              <w:rPr>
                <w:rFonts w:hint="eastAsia" w:ascii="宋体" w:eastAsia="宋体" w:cs="宋体"/>
                <w:color w:val="000000"/>
                <w:kern w:val="0"/>
                <w:sz w:val="16"/>
                <w:szCs w:val="16"/>
              </w:rPr>
              <w:t>具体完成情况</w:t>
            </w:r>
          </w:p>
        </w:tc>
        <w:tc>
          <w:tcPr>
            <w:tcW w:w="1160"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eastAsia="宋体" w:cs="宋体"/>
                <w:color w:val="000000"/>
                <w:kern w:val="0"/>
                <w:sz w:val="16"/>
                <w:szCs w:val="16"/>
              </w:rPr>
            </w:pPr>
            <w:r>
              <w:rPr>
                <w:rFonts w:hint="eastAsia" w:ascii="宋体" w:eastAsia="宋体" w:cs="宋体"/>
                <w:color w:val="000000"/>
                <w:kern w:val="0"/>
                <w:sz w:val="16"/>
                <w:szCs w:val="16"/>
              </w:rPr>
              <w:t>总体完成率</w:t>
            </w:r>
          </w:p>
        </w:tc>
      </w:tr>
      <w:tr>
        <w:tblPrEx>
          <w:tblCellMar>
            <w:top w:w="0" w:type="dxa"/>
            <w:left w:w="108" w:type="dxa"/>
            <w:bottom w:w="0" w:type="dxa"/>
            <w:right w:w="108" w:type="dxa"/>
          </w:tblCellMar>
        </w:tblPrEx>
        <w:trPr>
          <w:trHeight w:val="624" w:hRule="atLeast"/>
          <w:jc w:val="center"/>
        </w:trPr>
        <w:tc>
          <w:tcPr>
            <w:tcW w:w="840" w:type="dxa"/>
            <w:vMerge w:val="continue"/>
            <w:tcBorders>
              <w:top w:val="nil"/>
              <w:left w:val="single" w:color="000000" w:sz="4" w:space="0"/>
              <w:bottom w:val="single" w:color="000000" w:sz="4" w:space="0"/>
              <w:right w:val="single" w:color="000000" w:sz="4" w:space="0"/>
            </w:tcBorders>
            <w:vAlign w:val="center"/>
          </w:tcPr>
          <w:p/>
        </w:tc>
        <w:tc>
          <w:tcPr>
            <w:tcW w:w="3220"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left"/>
              <w:rPr>
                <w:rFonts w:ascii="宋体" w:eastAsia="宋体" w:cs="宋体"/>
                <w:color w:val="000000"/>
                <w:kern w:val="0"/>
                <w:sz w:val="16"/>
                <w:szCs w:val="16"/>
              </w:rPr>
            </w:pPr>
            <w:r>
              <w:rPr>
                <w:rFonts w:hint="eastAsia" w:ascii="宋体" w:eastAsia="宋体" w:cs="宋体"/>
                <w:color w:val="000000"/>
                <w:kern w:val="0"/>
                <w:sz w:val="16"/>
                <w:szCs w:val="16"/>
              </w:rPr>
              <w:t>加强各级基层团组织和青年组织建设，使青年团团活力明显提升</w:t>
            </w:r>
          </w:p>
        </w:tc>
        <w:tc>
          <w:tcPr>
            <w:tcW w:w="2580"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left"/>
              <w:rPr>
                <w:rFonts w:ascii="宋体" w:eastAsia="宋体" w:cs="宋体"/>
                <w:color w:val="000000"/>
                <w:kern w:val="0"/>
                <w:sz w:val="16"/>
                <w:szCs w:val="16"/>
              </w:rPr>
            </w:pPr>
            <w:r>
              <w:rPr>
                <w:rFonts w:hint="eastAsia" w:ascii="宋体" w:eastAsia="宋体" w:cs="宋体"/>
                <w:color w:val="000000"/>
                <w:kern w:val="0"/>
                <w:sz w:val="16"/>
                <w:szCs w:val="16"/>
              </w:rPr>
              <w:t>完成年初既定工作任务</w:t>
            </w:r>
          </w:p>
        </w:tc>
        <w:tc>
          <w:tcPr>
            <w:tcW w:w="116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center"/>
              <w:rPr>
                <w:rFonts w:ascii="宋体" w:eastAsia="宋体" w:cs="宋体"/>
                <w:color w:val="000000"/>
                <w:kern w:val="0"/>
                <w:sz w:val="16"/>
                <w:szCs w:val="16"/>
              </w:rPr>
            </w:pPr>
            <w:r>
              <w:rPr>
                <w:rFonts w:hint="eastAsia" w:ascii="宋体" w:eastAsia="宋体" w:cs="宋体"/>
                <w:color w:val="000000"/>
                <w:kern w:val="0"/>
                <w:sz w:val="16"/>
                <w:szCs w:val="16"/>
              </w:rPr>
              <w:t>100%</w:t>
            </w:r>
          </w:p>
        </w:tc>
      </w:tr>
      <w:tr>
        <w:tblPrEx>
          <w:tblCellMar>
            <w:top w:w="0" w:type="dxa"/>
            <w:left w:w="108" w:type="dxa"/>
            <w:bottom w:w="0" w:type="dxa"/>
            <w:right w:w="108" w:type="dxa"/>
          </w:tblCellMar>
        </w:tblPrEx>
        <w:trPr>
          <w:trHeight w:val="624" w:hRule="atLeast"/>
          <w:jc w:val="center"/>
        </w:trPr>
        <w:tc>
          <w:tcPr>
            <w:tcW w:w="840" w:type="dxa"/>
            <w:vMerge w:val="continue"/>
            <w:tcBorders>
              <w:top w:val="nil"/>
              <w:left w:val="single" w:color="000000" w:sz="4" w:space="0"/>
              <w:bottom w:val="single" w:color="000000" w:sz="4" w:space="0"/>
              <w:right w:val="single" w:color="000000" w:sz="4" w:space="0"/>
            </w:tcBorders>
            <w:vAlign w:val="center"/>
          </w:tcPr>
          <w:p/>
        </w:tc>
        <w:tc>
          <w:tcPr>
            <w:tcW w:w="3220" w:type="dxa"/>
            <w:gridSpan w:val="3"/>
            <w:vMerge w:val="continue"/>
            <w:tcBorders>
              <w:top w:val="single" w:color="000000" w:sz="4" w:space="0"/>
              <w:left w:val="single" w:color="000000" w:sz="4" w:space="0"/>
              <w:bottom w:val="single" w:color="000000" w:sz="4" w:space="0"/>
              <w:right w:val="single" w:color="000000" w:sz="4" w:space="0"/>
            </w:tcBorders>
            <w:vAlign w:val="center"/>
          </w:tcPr>
          <w:p/>
        </w:tc>
        <w:tc>
          <w:tcPr>
            <w:tcW w:w="2580" w:type="dxa"/>
            <w:gridSpan w:val="3"/>
            <w:vMerge w:val="continue"/>
            <w:tcBorders>
              <w:top w:val="single" w:color="000000" w:sz="4" w:space="0"/>
              <w:left w:val="single" w:color="000000" w:sz="4" w:space="0"/>
              <w:bottom w:val="single" w:color="000000" w:sz="4" w:space="0"/>
              <w:right w:val="single" w:color="000000" w:sz="4" w:space="0"/>
            </w:tcBorders>
            <w:vAlign w:val="center"/>
          </w:tcPr>
          <w:p/>
        </w:tc>
        <w:tc>
          <w:tcPr>
            <w:tcW w:w="1160" w:type="dxa"/>
            <w:vMerge w:val="continue"/>
            <w:tcBorders>
              <w:top w:val="nil"/>
              <w:left w:val="single" w:color="000000" w:sz="4" w:space="0"/>
              <w:bottom w:val="single" w:color="000000" w:sz="4" w:space="0"/>
              <w:right w:val="single" w:color="000000" w:sz="4" w:space="0"/>
            </w:tcBorders>
            <w:vAlign w:val="center"/>
          </w:tcPr>
          <w:p/>
        </w:tc>
      </w:tr>
      <w:tr>
        <w:tblPrEx>
          <w:tblCellMar>
            <w:top w:w="0" w:type="dxa"/>
            <w:left w:w="108" w:type="dxa"/>
            <w:bottom w:w="0" w:type="dxa"/>
            <w:right w:w="108" w:type="dxa"/>
          </w:tblCellMar>
        </w:tblPrEx>
        <w:trPr>
          <w:trHeight w:val="624" w:hRule="atLeast"/>
          <w:jc w:val="center"/>
        </w:trPr>
        <w:tc>
          <w:tcPr>
            <w:tcW w:w="840" w:type="dxa"/>
            <w:vMerge w:val="continue"/>
            <w:tcBorders>
              <w:top w:val="nil"/>
              <w:left w:val="single" w:color="000000" w:sz="4" w:space="0"/>
              <w:bottom w:val="single" w:color="000000" w:sz="4" w:space="0"/>
              <w:right w:val="single" w:color="000000" w:sz="4" w:space="0"/>
            </w:tcBorders>
            <w:vAlign w:val="center"/>
          </w:tcPr>
          <w:p/>
        </w:tc>
        <w:tc>
          <w:tcPr>
            <w:tcW w:w="3220" w:type="dxa"/>
            <w:gridSpan w:val="3"/>
            <w:vMerge w:val="continue"/>
            <w:tcBorders>
              <w:top w:val="single" w:color="000000" w:sz="4" w:space="0"/>
              <w:left w:val="single" w:color="000000" w:sz="4" w:space="0"/>
              <w:bottom w:val="single" w:color="000000" w:sz="4" w:space="0"/>
              <w:right w:val="single" w:color="000000" w:sz="4" w:space="0"/>
            </w:tcBorders>
            <w:vAlign w:val="center"/>
          </w:tcPr>
          <w:p/>
        </w:tc>
        <w:tc>
          <w:tcPr>
            <w:tcW w:w="2580" w:type="dxa"/>
            <w:gridSpan w:val="3"/>
            <w:vMerge w:val="continue"/>
            <w:tcBorders>
              <w:top w:val="single" w:color="000000" w:sz="4" w:space="0"/>
              <w:left w:val="single" w:color="000000" w:sz="4" w:space="0"/>
              <w:bottom w:val="single" w:color="000000" w:sz="4" w:space="0"/>
              <w:right w:val="single" w:color="000000" w:sz="4" w:space="0"/>
            </w:tcBorders>
            <w:vAlign w:val="center"/>
          </w:tcPr>
          <w:p/>
        </w:tc>
        <w:tc>
          <w:tcPr>
            <w:tcW w:w="1160" w:type="dxa"/>
            <w:vMerge w:val="continue"/>
            <w:tcBorders>
              <w:top w:val="nil"/>
              <w:left w:val="single" w:color="000000" w:sz="4" w:space="0"/>
              <w:bottom w:val="single" w:color="000000" w:sz="4" w:space="0"/>
              <w:right w:val="single" w:color="000000" w:sz="4" w:space="0"/>
            </w:tcBorders>
            <w:vAlign w:val="center"/>
          </w:tcPr>
          <w:p/>
        </w:tc>
      </w:tr>
      <w:tr>
        <w:tblPrEx>
          <w:tblCellMar>
            <w:top w:w="0" w:type="dxa"/>
            <w:left w:w="108" w:type="dxa"/>
            <w:bottom w:w="0" w:type="dxa"/>
            <w:right w:w="108" w:type="dxa"/>
          </w:tblCellMar>
        </w:tblPrEx>
        <w:trPr>
          <w:trHeight w:val="384" w:hRule="atLeast"/>
          <w:jc w:val="center"/>
        </w:trPr>
        <w:tc>
          <w:tcPr>
            <w:tcW w:w="840" w:type="dxa"/>
            <w:vMerge w:val="restart"/>
            <w:tcBorders>
              <w:top w:val="nil"/>
              <w:left w:val="single" w:color="auto" w:sz="4" w:space="0"/>
              <w:bottom w:val="single" w:color="000000" w:sz="4" w:space="0"/>
              <w:right w:val="nil"/>
            </w:tcBorders>
            <w:shd w:val="clear" w:color="auto" w:fill="auto"/>
            <w:vAlign w:val="center"/>
          </w:tcPr>
          <w:p>
            <w:pPr>
              <w:widowControl/>
              <w:spacing w:line="200" w:lineRule="exact"/>
              <w:jc w:val="center"/>
              <w:rPr>
                <w:rFonts w:ascii="宋体" w:eastAsia="宋体" w:cs="宋体"/>
                <w:color w:val="000000"/>
                <w:kern w:val="0"/>
                <w:sz w:val="16"/>
                <w:szCs w:val="16"/>
              </w:rPr>
            </w:pPr>
            <w:r>
              <w:rPr>
                <w:rFonts w:hint="eastAsia" w:ascii="宋体" w:eastAsia="宋体" w:cs="宋体"/>
                <w:color w:val="000000"/>
                <w:kern w:val="0"/>
                <w:sz w:val="16"/>
                <w:szCs w:val="16"/>
              </w:rPr>
              <w:t>四、</w:t>
            </w:r>
            <w:r>
              <w:rPr>
                <w:rFonts w:ascii="Calibri" w:hAnsi="Calibri" w:eastAsia="宋体" w:cs="宋体"/>
                <w:color w:val="000000"/>
                <w:kern w:val="0"/>
                <w:sz w:val="16"/>
                <w:szCs w:val="16"/>
              </w:rPr>
              <w:t> </w:t>
            </w:r>
            <w:r>
              <w:rPr>
                <w:rFonts w:hint="eastAsia" w:ascii="宋体" w:eastAsia="宋体" w:cs="宋体"/>
                <w:color w:val="000000"/>
                <w:kern w:val="0"/>
                <w:sz w:val="16"/>
                <w:szCs w:val="16"/>
              </w:rPr>
              <w:t>年度绩效指标完成情况</w:t>
            </w:r>
          </w:p>
        </w:tc>
        <w:tc>
          <w:tcPr>
            <w:tcW w:w="1180" w:type="dxa"/>
            <w:tcBorders>
              <w:top w:val="nil"/>
              <w:left w:val="single" w:color="000000" w:sz="4" w:space="0"/>
              <w:bottom w:val="nil"/>
              <w:right w:val="single" w:color="000000" w:sz="4" w:space="0"/>
            </w:tcBorders>
            <w:shd w:val="clear" w:color="auto" w:fill="auto"/>
            <w:vAlign w:val="center"/>
          </w:tcPr>
          <w:p>
            <w:pPr>
              <w:widowControl/>
              <w:spacing w:line="200" w:lineRule="exact"/>
              <w:jc w:val="center"/>
              <w:rPr>
                <w:rFonts w:ascii="宋体" w:eastAsia="宋体" w:cs="宋体"/>
                <w:color w:val="000000"/>
                <w:kern w:val="0"/>
                <w:sz w:val="16"/>
                <w:szCs w:val="16"/>
              </w:rPr>
            </w:pPr>
            <w:r>
              <w:rPr>
                <w:rFonts w:hint="eastAsia" w:ascii="宋体" w:eastAsia="宋体" w:cs="宋体"/>
                <w:color w:val="000000"/>
                <w:kern w:val="0"/>
                <w:sz w:val="16"/>
                <w:szCs w:val="16"/>
              </w:rPr>
              <w:t>一级指标</w:t>
            </w:r>
          </w:p>
        </w:tc>
        <w:tc>
          <w:tcPr>
            <w:tcW w:w="980" w:type="dxa"/>
            <w:tcBorders>
              <w:top w:val="nil"/>
              <w:left w:val="nil"/>
              <w:bottom w:val="nil"/>
              <w:right w:val="single" w:color="000000" w:sz="4" w:space="0"/>
            </w:tcBorders>
            <w:shd w:val="clear" w:color="auto" w:fill="auto"/>
            <w:vAlign w:val="center"/>
          </w:tcPr>
          <w:p>
            <w:pPr>
              <w:widowControl/>
              <w:spacing w:line="200" w:lineRule="exact"/>
              <w:jc w:val="center"/>
              <w:rPr>
                <w:rFonts w:ascii="宋体" w:eastAsia="宋体" w:cs="宋体"/>
                <w:color w:val="000000"/>
                <w:kern w:val="0"/>
                <w:sz w:val="16"/>
                <w:szCs w:val="16"/>
              </w:rPr>
            </w:pPr>
            <w:r>
              <w:rPr>
                <w:rFonts w:hint="eastAsia" w:ascii="宋体" w:eastAsia="宋体" w:cs="宋体"/>
                <w:color w:val="000000"/>
                <w:kern w:val="0"/>
                <w:sz w:val="16"/>
                <w:szCs w:val="16"/>
              </w:rPr>
              <w:t>二级指标</w:t>
            </w:r>
          </w:p>
        </w:tc>
        <w:tc>
          <w:tcPr>
            <w:tcW w:w="2080" w:type="dxa"/>
            <w:gridSpan w:val="2"/>
            <w:tcBorders>
              <w:top w:val="single" w:color="000000" w:sz="4" w:space="0"/>
              <w:left w:val="nil"/>
              <w:bottom w:val="nil"/>
              <w:right w:val="single" w:color="000000" w:sz="4" w:space="0"/>
            </w:tcBorders>
            <w:shd w:val="clear" w:color="auto" w:fill="auto"/>
            <w:vAlign w:val="center"/>
          </w:tcPr>
          <w:p>
            <w:pPr>
              <w:widowControl/>
              <w:spacing w:line="200" w:lineRule="exact"/>
              <w:jc w:val="center"/>
              <w:rPr>
                <w:rFonts w:ascii="宋体" w:eastAsia="宋体" w:cs="宋体"/>
                <w:color w:val="000000"/>
                <w:kern w:val="0"/>
                <w:sz w:val="16"/>
                <w:szCs w:val="16"/>
              </w:rPr>
            </w:pPr>
            <w:r>
              <w:rPr>
                <w:rFonts w:hint="eastAsia" w:ascii="宋体" w:eastAsia="宋体" w:cs="宋体"/>
                <w:color w:val="000000"/>
                <w:kern w:val="0"/>
                <w:sz w:val="16"/>
                <w:szCs w:val="16"/>
              </w:rPr>
              <w:t>三级指标</w:t>
            </w:r>
          </w:p>
        </w:tc>
        <w:tc>
          <w:tcPr>
            <w:tcW w:w="760"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eastAsia="宋体" w:cs="宋体"/>
                <w:color w:val="000000"/>
                <w:kern w:val="0"/>
                <w:sz w:val="16"/>
                <w:szCs w:val="16"/>
              </w:rPr>
            </w:pPr>
            <w:r>
              <w:rPr>
                <w:rFonts w:hint="eastAsia" w:ascii="宋体" w:eastAsia="宋体" w:cs="宋体"/>
                <w:color w:val="000000"/>
                <w:kern w:val="0"/>
                <w:sz w:val="16"/>
                <w:szCs w:val="16"/>
              </w:rPr>
              <w:t>预期指标值</w:t>
            </w:r>
          </w:p>
        </w:tc>
        <w:tc>
          <w:tcPr>
            <w:tcW w:w="800"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eastAsia="宋体" w:cs="宋体"/>
                <w:color w:val="000000"/>
                <w:kern w:val="0"/>
                <w:sz w:val="16"/>
                <w:szCs w:val="16"/>
              </w:rPr>
            </w:pPr>
            <w:r>
              <w:rPr>
                <w:rFonts w:hint="eastAsia" w:ascii="宋体" w:eastAsia="宋体" w:cs="宋体"/>
                <w:color w:val="000000"/>
                <w:kern w:val="0"/>
                <w:sz w:val="16"/>
                <w:szCs w:val="16"/>
              </w:rPr>
              <w:t>实际完成值</w:t>
            </w:r>
          </w:p>
        </w:tc>
        <w:tc>
          <w:tcPr>
            <w:tcW w:w="1160"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eastAsia="宋体" w:cs="宋体"/>
                <w:color w:val="000000"/>
                <w:kern w:val="0"/>
                <w:sz w:val="16"/>
                <w:szCs w:val="16"/>
              </w:rPr>
            </w:pPr>
            <w:r>
              <w:rPr>
                <w:rFonts w:hint="eastAsia" w:ascii="宋体" w:eastAsia="宋体" w:cs="宋体"/>
                <w:color w:val="000000"/>
                <w:kern w:val="0"/>
                <w:sz w:val="16"/>
                <w:szCs w:val="16"/>
              </w:rPr>
              <w:t>自评得分</w:t>
            </w:r>
          </w:p>
        </w:tc>
      </w:tr>
      <w:tr>
        <w:tblPrEx>
          <w:tblCellMar>
            <w:top w:w="0" w:type="dxa"/>
            <w:left w:w="108" w:type="dxa"/>
            <w:bottom w:w="0" w:type="dxa"/>
            <w:right w:w="108" w:type="dxa"/>
          </w:tblCellMar>
        </w:tblPrEx>
        <w:trPr>
          <w:trHeight w:val="615" w:hRule="atLeast"/>
          <w:jc w:val="center"/>
        </w:trPr>
        <w:tc>
          <w:tcPr>
            <w:tcW w:w="840" w:type="dxa"/>
            <w:vMerge w:val="continue"/>
            <w:tcBorders>
              <w:top w:val="nil"/>
              <w:left w:val="single" w:color="auto" w:sz="4" w:space="0"/>
              <w:bottom w:val="single" w:color="000000" w:sz="4" w:space="0"/>
              <w:right w:val="nil"/>
            </w:tcBorders>
            <w:vAlign w:val="center"/>
          </w:tcPr>
          <w:p/>
        </w:tc>
        <w:tc>
          <w:tcPr>
            <w:tcW w:w="11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ascii="宋体" w:eastAsia="宋体" w:cs="宋体"/>
                <w:color w:val="000000"/>
                <w:kern w:val="0"/>
                <w:sz w:val="16"/>
                <w:szCs w:val="16"/>
              </w:rPr>
            </w:pPr>
            <w:r>
              <w:rPr>
                <w:rFonts w:hint="eastAsia" w:ascii="宋体" w:eastAsia="宋体" w:cs="宋体"/>
                <w:color w:val="000000"/>
                <w:kern w:val="0"/>
                <w:sz w:val="16"/>
                <w:szCs w:val="16"/>
              </w:rPr>
              <w:t>产出指标（50）</w:t>
            </w:r>
          </w:p>
        </w:tc>
        <w:tc>
          <w:tcPr>
            <w:tcW w:w="980" w:type="dxa"/>
            <w:tcBorders>
              <w:top w:val="single" w:color="auto" w:sz="4" w:space="0"/>
              <w:left w:val="nil"/>
              <w:bottom w:val="single" w:color="auto" w:sz="4" w:space="0"/>
              <w:right w:val="single" w:color="auto" w:sz="4" w:space="0"/>
            </w:tcBorders>
            <w:shd w:val="clear" w:color="auto" w:fill="auto"/>
            <w:vAlign w:val="center"/>
          </w:tcPr>
          <w:p>
            <w:pPr>
              <w:widowControl/>
              <w:spacing w:line="200" w:lineRule="exact"/>
              <w:jc w:val="left"/>
              <w:rPr>
                <w:rFonts w:ascii="宋体" w:eastAsia="宋体" w:cs="宋体"/>
                <w:color w:val="000000"/>
                <w:kern w:val="0"/>
                <w:sz w:val="16"/>
                <w:szCs w:val="16"/>
              </w:rPr>
            </w:pPr>
            <w:r>
              <w:rPr>
                <w:rFonts w:hint="eastAsia" w:ascii="宋体" w:eastAsia="宋体" w:cs="宋体"/>
                <w:color w:val="000000"/>
                <w:kern w:val="0"/>
                <w:sz w:val="16"/>
                <w:szCs w:val="16"/>
              </w:rPr>
              <w:t>数量指标</w:t>
            </w:r>
          </w:p>
        </w:tc>
        <w:tc>
          <w:tcPr>
            <w:tcW w:w="20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left"/>
              <w:rPr>
                <w:rFonts w:ascii="宋体" w:eastAsia="宋体" w:cs="宋体"/>
                <w:color w:val="000000"/>
                <w:kern w:val="0"/>
                <w:sz w:val="16"/>
                <w:szCs w:val="16"/>
              </w:rPr>
            </w:pPr>
            <w:r>
              <w:rPr>
                <w:rFonts w:hint="eastAsia" w:ascii="宋体" w:eastAsia="宋体" w:cs="宋体"/>
                <w:color w:val="000000"/>
                <w:kern w:val="0"/>
                <w:sz w:val="16"/>
                <w:szCs w:val="16"/>
              </w:rPr>
              <w:t>发展团员人数</w:t>
            </w:r>
          </w:p>
        </w:tc>
        <w:tc>
          <w:tcPr>
            <w:tcW w:w="760"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eastAsia="宋体" w:cs="宋体"/>
                <w:color w:val="000000"/>
                <w:kern w:val="0"/>
                <w:sz w:val="16"/>
                <w:szCs w:val="16"/>
              </w:rPr>
            </w:pPr>
            <w:r>
              <w:rPr>
                <w:rFonts w:hint="eastAsia" w:ascii="宋体" w:eastAsia="宋体" w:cs="宋体"/>
                <w:color w:val="000000"/>
                <w:kern w:val="0"/>
                <w:sz w:val="16"/>
                <w:szCs w:val="16"/>
              </w:rPr>
              <w:t>≤100人</w:t>
            </w:r>
          </w:p>
        </w:tc>
        <w:tc>
          <w:tcPr>
            <w:tcW w:w="800"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eastAsia="宋体" w:cs="宋体"/>
                <w:color w:val="000000"/>
                <w:kern w:val="0"/>
                <w:sz w:val="16"/>
                <w:szCs w:val="16"/>
              </w:rPr>
            </w:pPr>
            <w:r>
              <w:rPr>
                <w:rFonts w:hint="eastAsia" w:ascii="宋体" w:eastAsia="宋体" w:cs="宋体"/>
                <w:color w:val="000000"/>
                <w:kern w:val="0"/>
                <w:sz w:val="16"/>
                <w:szCs w:val="16"/>
              </w:rPr>
              <w:t>100人</w:t>
            </w:r>
          </w:p>
        </w:tc>
        <w:tc>
          <w:tcPr>
            <w:tcW w:w="1160"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eastAsia="宋体" w:cs="宋体"/>
                <w:color w:val="000000"/>
                <w:kern w:val="0"/>
                <w:sz w:val="16"/>
                <w:szCs w:val="16"/>
              </w:rPr>
            </w:pPr>
            <w:r>
              <w:rPr>
                <w:rFonts w:hint="eastAsia" w:ascii="宋体" w:eastAsia="宋体" w:cs="宋体"/>
                <w:color w:val="000000"/>
                <w:kern w:val="0"/>
                <w:sz w:val="16"/>
                <w:szCs w:val="16"/>
              </w:rPr>
              <w:t>30</w:t>
            </w:r>
          </w:p>
        </w:tc>
      </w:tr>
      <w:tr>
        <w:tblPrEx>
          <w:tblCellMar>
            <w:top w:w="0" w:type="dxa"/>
            <w:left w:w="108" w:type="dxa"/>
            <w:bottom w:w="0" w:type="dxa"/>
            <w:right w:w="108" w:type="dxa"/>
          </w:tblCellMar>
        </w:tblPrEx>
        <w:trPr>
          <w:trHeight w:val="780" w:hRule="atLeast"/>
          <w:jc w:val="center"/>
        </w:trPr>
        <w:tc>
          <w:tcPr>
            <w:tcW w:w="840" w:type="dxa"/>
            <w:vMerge w:val="continue"/>
            <w:tcBorders>
              <w:top w:val="nil"/>
              <w:left w:val="single" w:color="auto" w:sz="4" w:space="0"/>
              <w:bottom w:val="single" w:color="000000" w:sz="4" w:space="0"/>
              <w:right w:val="nil"/>
            </w:tcBorders>
            <w:vAlign w:val="center"/>
          </w:tcPr>
          <w:p/>
        </w:tc>
        <w:tc>
          <w:tcPr>
            <w:tcW w:w="1180" w:type="dxa"/>
            <w:vMerge w:val="continue"/>
            <w:tcBorders>
              <w:top w:val="single" w:color="auto" w:sz="4" w:space="0"/>
              <w:left w:val="single" w:color="auto" w:sz="4" w:space="0"/>
              <w:bottom w:val="single" w:color="auto" w:sz="4" w:space="0"/>
              <w:right w:val="single" w:color="auto" w:sz="4" w:space="0"/>
            </w:tcBorders>
            <w:vAlign w:val="center"/>
          </w:tcPr>
          <w:p/>
        </w:tc>
        <w:tc>
          <w:tcPr>
            <w:tcW w:w="980"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eastAsia="宋体" w:cs="宋体"/>
                <w:color w:val="000000"/>
                <w:kern w:val="0"/>
                <w:sz w:val="16"/>
                <w:szCs w:val="16"/>
              </w:rPr>
            </w:pPr>
            <w:r>
              <w:rPr>
                <w:rFonts w:hint="eastAsia" w:ascii="宋体" w:eastAsia="宋体" w:cs="宋体"/>
                <w:color w:val="000000"/>
                <w:kern w:val="0"/>
                <w:sz w:val="16"/>
                <w:szCs w:val="16"/>
              </w:rPr>
              <w:t>时效指标</w:t>
            </w:r>
          </w:p>
        </w:tc>
        <w:tc>
          <w:tcPr>
            <w:tcW w:w="2080" w:type="dxa"/>
            <w:gridSpan w:val="2"/>
            <w:tcBorders>
              <w:top w:val="single" w:color="000000" w:sz="4" w:space="0"/>
              <w:left w:val="nil"/>
              <w:bottom w:val="single" w:color="000000" w:sz="4" w:space="0"/>
              <w:right w:val="single" w:color="000000" w:sz="4" w:space="0"/>
            </w:tcBorders>
            <w:shd w:val="clear" w:color="auto" w:fill="auto"/>
            <w:vAlign w:val="center"/>
          </w:tcPr>
          <w:p>
            <w:pPr>
              <w:widowControl/>
              <w:spacing w:line="200" w:lineRule="exact"/>
              <w:jc w:val="left"/>
              <w:rPr>
                <w:rFonts w:ascii="宋体" w:eastAsia="宋体" w:cs="宋体"/>
                <w:color w:val="000000"/>
                <w:kern w:val="0"/>
                <w:sz w:val="16"/>
                <w:szCs w:val="16"/>
              </w:rPr>
            </w:pPr>
            <w:r>
              <w:rPr>
                <w:rFonts w:hint="eastAsia" w:ascii="宋体" w:eastAsia="宋体" w:cs="宋体"/>
                <w:color w:val="000000"/>
                <w:kern w:val="0"/>
                <w:sz w:val="16"/>
                <w:szCs w:val="16"/>
              </w:rPr>
              <w:t>团员发展按节点及时率</w:t>
            </w:r>
          </w:p>
        </w:tc>
        <w:tc>
          <w:tcPr>
            <w:tcW w:w="760"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eastAsia="宋体" w:cs="宋体"/>
                <w:color w:val="000000"/>
                <w:kern w:val="0"/>
                <w:sz w:val="16"/>
                <w:szCs w:val="16"/>
              </w:rPr>
            </w:pPr>
            <w:r>
              <w:rPr>
                <w:rFonts w:hint="eastAsia" w:ascii="宋体" w:eastAsia="宋体" w:cs="宋体"/>
                <w:color w:val="000000"/>
                <w:kern w:val="0"/>
                <w:sz w:val="16"/>
                <w:szCs w:val="16"/>
              </w:rPr>
              <w:t>≥95%</w:t>
            </w:r>
          </w:p>
        </w:tc>
        <w:tc>
          <w:tcPr>
            <w:tcW w:w="800"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eastAsia="宋体" w:cs="宋体"/>
                <w:color w:val="000000"/>
                <w:kern w:val="0"/>
                <w:sz w:val="16"/>
                <w:szCs w:val="16"/>
              </w:rPr>
            </w:pPr>
            <w:r>
              <w:rPr>
                <w:rFonts w:hint="eastAsia" w:ascii="宋体" w:eastAsia="宋体" w:cs="宋体"/>
                <w:color w:val="000000"/>
                <w:kern w:val="0"/>
                <w:sz w:val="16"/>
                <w:szCs w:val="16"/>
              </w:rPr>
              <w:t>100%</w:t>
            </w:r>
          </w:p>
        </w:tc>
        <w:tc>
          <w:tcPr>
            <w:tcW w:w="1160"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eastAsia="宋体" w:cs="宋体"/>
                <w:color w:val="000000"/>
                <w:kern w:val="0"/>
                <w:sz w:val="16"/>
                <w:szCs w:val="16"/>
              </w:rPr>
            </w:pPr>
            <w:r>
              <w:rPr>
                <w:rFonts w:hint="eastAsia" w:ascii="宋体" w:eastAsia="宋体" w:cs="宋体"/>
                <w:color w:val="000000"/>
                <w:kern w:val="0"/>
                <w:sz w:val="16"/>
                <w:szCs w:val="16"/>
              </w:rPr>
              <w:t>20</w:t>
            </w:r>
          </w:p>
        </w:tc>
      </w:tr>
      <w:tr>
        <w:tblPrEx>
          <w:tblCellMar>
            <w:top w:w="0" w:type="dxa"/>
            <w:left w:w="108" w:type="dxa"/>
            <w:bottom w:w="0" w:type="dxa"/>
            <w:right w:w="108" w:type="dxa"/>
          </w:tblCellMar>
        </w:tblPrEx>
        <w:trPr>
          <w:trHeight w:val="1080" w:hRule="atLeast"/>
          <w:jc w:val="center"/>
        </w:trPr>
        <w:tc>
          <w:tcPr>
            <w:tcW w:w="840" w:type="dxa"/>
            <w:vMerge w:val="continue"/>
            <w:tcBorders>
              <w:top w:val="nil"/>
              <w:left w:val="single" w:color="auto" w:sz="4" w:space="0"/>
              <w:bottom w:val="single" w:color="000000" w:sz="4" w:space="0"/>
              <w:right w:val="nil"/>
            </w:tcBorders>
            <w:vAlign w:val="center"/>
          </w:tcPr>
          <w:p/>
        </w:tc>
        <w:tc>
          <w:tcPr>
            <w:tcW w:w="1180" w:type="dxa"/>
            <w:tcBorders>
              <w:top w:val="nil"/>
              <w:left w:val="single" w:color="auto" w:sz="4" w:space="0"/>
              <w:bottom w:val="single" w:color="auto" w:sz="4" w:space="0"/>
              <w:right w:val="single" w:color="auto" w:sz="4" w:space="0"/>
            </w:tcBorders>
            <w:shd w:val="clear" w:color="auto" w:fill="auto"/>
            <w:vAlign w:val="center"/>
          </w:tcPr>
          <w:p>
            <w:pPr>
              <w:widowControl/>
              <w:spacing w:line="200" w:lineRule="exact"/>
              <w:jc w:val="left"/>
              <w:rPr>
                <w:rFonts w:ascii="宋体" w:eastAsia="宋体" w:cs="宋体"/>
                <w:color w:val="000000"/>
                <w:kern w:val="0"/>
                <w:sz w:val="16"/>
                <w:szCs w:val="16"/>
              </w:rPr>
            </w:pPr>
            <w:r>
              <w:rPr>
                <w:rFonts w:hint="eastAsia" w:ascii="宋体" w:eastAsia="宋体" w:cs="宋体"/>
                <w:color w:val="000000"/>
                <w:kern w:val="0"/>
                <w:sz w:val="16"/>
                <w:szCs w:val="16"/>
              </w:rPr>
              <w:t>效益指标（30）</w:t>
            </w:r>
          </w:p>
        </w:tc>
        <w:tc>
          <w:tcPr>
            <w:tcW w:w="980"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eastAsia="宋体" w:cs="宋体"/>
                <w:color w:val="000000"/>
                <w:kern w:val="0"/>
                <w:sz w:val="16"/>
                <w:szCs w:val="16"/>
              </w:rPr>
            </w:pPr>
            <w:r>
              <w:rPr>
                <w:rFonts w:hint="eastAsia" w:ascii="宋体" w:eastAsia="宋体" w:cs="宋体"/>
                <w:color w:val="000000"/>
                <w:kern w:val="0"/>
                <w:sz w:val="16"/>
                <w:szCs w:val="16"/>
              </w:rPr>
              <w:t>社会效益指标</w:t>
            </w:r>
          </w:p>
        </w:tc>
        <w:tc>
          <w:tcPr>
            <w:tcW w:w="2080" w:type="dxa"/>
            <w:gridSpan w:val="2"/>
            <w:tcBorders>
              <w:top w:val="single" w:color="000000" w:sz="4" w:space="0"/>
              <w:left w:val="nil"/>
              <w:bottom w:val="single" w:color="000000" w:sz="4" w:space="0"/>
              <w:right w:val="single" w:color="000000" w:sz="4" w:space="0"/>
            </w:tcBorders>
            <w:shd w:val="clear" w:color="auto" w:fill="auto"/>
            <w:vAlign w:val="center"/>
          </w:tcPr>
          <w:p>
            <w:pPr>
              <w:widowControl/>
              <w:spacing w:line="200" w:lineRule="exact"/>
              <w:jc w:val="left"/>
              <w:rPr>
                <w:rFonts w:ascii="宋体" w:eastAsia="宋体" w:cs="宋体"/>
                <w:color w:val="000000"/>
                <w:kern w:val="0"/>
                <w:sz w:val="16"/>
                <w:szCs w:val="16"/>
              </w:rPr>
            </w:pPr>
            <w:r>
              <w:rPr>
                <w:rFonts w:hint="eastAsia" w:ascii="宋体" w:eastAsia="宋体" w:cs="宋体"/>
                <w:color w:val="000000"/>
                <w:kern w:val="0"/>
                <w:sz w:val="16"/>
                <w:szCs w:val="16"/>
              </w:rPr>
              <w:t>提升团组织和青年组织的水平</w:t>
            </w:r>
          </w:p>
        </w:tc>
        <w:tc>
          <w:tcPr>
            <w:tcW w:w="760"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eastAsia="宋体" w:cs="宋体"/>
                <w:color w:val="000000"/>
                <w:kern w:val="0"/>
                <w:sz w:val="16"/>
                <w:szCs w:val="16"/>
              </w:rPr>
            </w:pPr>
            <w:r>
              <w:rPr>
                <w:rFonts w:hint="eastAsia" w:ascii="宋体" w:eastAsia="宋体" w:cs="宋体"/>
                <w:color w:val="000000"/>
                <w:kern w:val="0"/>
                <w:sz w:val="16"/>
                <w:szCs w:val="16"/>
              </w:rPr>
              <w:t>≥100%</w:t>
            </w:r>
          </w:p>
        </w:tc>
        <w:tc>
          <w:tcPr>
            <w:tcW w:w="800"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eastAsia="宋体" w:cs="宋体"/>
                <w:color w:val="000000"/>
                <w:kern w:val="0"/>
                <w:sz w:val="16"/>
                <w:szCs w:val="16"/>
              </w:rPr>
            </w:pPr>
            <w:r>
              <w:rPr>
                <w:rFonts w:hint="eastAsia" w:ascii="宋体" w:eastAsia="宋体" w:cs="宋体"/>
                <w:color w:val="000000"/>
                <w:kern w:val="0"/>
                <w:sz w:val="16"/>
                <w:szCs w:val="16"/>
              </w:rPr>
              <w:t>100%</w:t>
            </w:r>
          </w:p>
        </w:tc>
        <w:tc>
          <w:tcPr>
            <w:tcW w:w="1160"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eastAsia="宋体" w:cs="宋体"/>
                <w:color w:val="000000"/>
                <w:kern w:val="0"/>
                <w:sz w:val="16"/>
                <w:szCs w:val="16"/>
              </w:rPr>
            </w:pPr>
            <w:r>
              <w:rPr>
                <w:rFonts w:hint="eastAsia" w:ascii="宋体" w:eastAsia="宋体" w:cs="宋体"/>
                <w:color w:val="000000"/>
                <w:kern w:val="0"/>
                <w:sz w:val="16"/>
                <w:szCs w:val="16"/>
              </w:rPr>
              <w:t>30</w:t>
            </w:r>
          </w:p>
        </w:tc>
      </w:tr>
      <w:tr>
        <w:tblPrEx>
          <w:tblCellMar>
            <w:top w:w="0" w:type="dxa"/>
            <w:left w:w="108" w:type="dxa"/>
            <w:bottom w:w="0" w:type="dxa"/>
            <w:right w:w="108" w:type="dxa"/>
          </w:tblCellMar>
        </w:tblPrEx>
        <w:trPr>
          <w:trHeight w:val="942" w:hRule="atLeast"/>
          <w:jc w:val="center"/>
        </w:trPr>
        <w:tc>
          <w:tcPr>
            <w:tcW w:w="840" w:type="dxa"/>
            <w:vMerge w:val="continue"/>
            <w:tcBorders>
              <w:top w:val="nil"/>
              <w:left w:val="single" w:color="auto" w:sz="4" w:space="0"/>
              <w:bottom w:val="single" w:color="000000" w:sz="4" w:space="0"/>
              <w:right w:val="nil"/>
            </w:tcBorders>
            <w:vAlign w:val="center"/>
          </w:tcPr>
          <w:p/>
        </w:tc>
        <w:tc>
          <w:tcPr>
            <w:tcW w:w="1180"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center"/>
              <w:rPr>
                <w:rFonts w:ascii="宋体" w:eastAsia="宋体" w:cs="宋体"/>
                <w:color w:val="000000"/>
                <w:kern w:val="0"/>
                <w:sz w:val="16"/>
                <w:szCs w:val="16"/>
              </w:rPr>
            </w:pPr>
            <w:r>
              <w:rPr>
                <w:rFonts w:hint="eastAsia" w:ascii="宋体" w:eastAsia="宋体" w:cs="宋体"/>
                <w:color w:val="000000"/>
                <w:kern w:val="0"/>
                <w:sz w:val="16"/>
                <w:szCs w:val="16"/>
              </w:rPr>
              <w:t>满意度指标（10）</w:t>
            </w:r>
          </w:p>
        </w:tc>
        <w:tc>
          <w:tcPr>
            <w:tcW w:w="980"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eastAsia="宋体" w:cs="宋体"/>
                <w:color w:val="000000"/>
                <w:kern w:val="0"/>
                <w:sz w:val="16"/>
                <w:szCs w:val="16"/>
              </w:rPr>
            </w:pPr>
            <w:r>
              <w:rPr>
                <w:rFonts w:hint="eastAsia" w:ascii="宋体" w:eastAsia="宋体" w:cs="宋体"/>
                <w:color w:val="000000"/>
                <w:kern w:val="0"/>
                <w:sz w:val="16"/>
                <w:szCs w:val="16"/>
              </w:rPr>
              <w:t>满意度指标</w:t>
            </w:r>
          </w:p>
        </w:tc>
        <w:tc>
          <w:tcPr>
            <w:tcW w:w="2080" w:type="dxa"/>
            <w:gridSpan w:val="2"/>
            <w:tcBorders>
              <w:top w:val="single" w:color="000000" w:sz="4" w:space="0"/>
              <w:left w:val="nil"/>
              <w:bottom w:val="single" w:color="000000" w:sz="4" w:space="0"/>
              <w:right w:val="single" w:color="000000" w:sz="4" w:space="0"/>
            </w:tcBorders>
            <w:shd w:val="clear" w:color="auto" w:fill="auto"/>
            <w:vAlign w:val="center"/>
          </w:tcPr>
          <w:p>
            <w:pPr>
              <w:widowControl/>
              <w:spacing w:line="200" w:lineRule="exact"/>
              <w:jc w:val="left"/>
              <w:rPr>
                <w:rFonts w:ascii="宋体" w:eastAsia="宋体" w:cs="宋体"/>
                <w:color w:val="000000"/>
                <w:kern w:val="0"/>
                <w:sz w:val="16"/>
                <w:szCs w:val="16"/>
              </w:rPr>
            </w:pPr>
            <w:r>
              <w:rPr>
                <w:rFonts w:hint="eastAsia" w:ascii="宋体" w:eastAsia="宋体" w:cs="宋体"/>
                <w:color w:val="000000"/>
                <w:kern w:val="0"/>
                <w:sz w:val="16"/>
                <w:szCs w:val="16"/>
              </w:rPr>
              <w:t>青年参与团活动满意度</w:t>
            </w:r>
          </w:p>
        </w:tc>
        <w:tc>
          <w:tcPr>
            <w:tcW w:w="760"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eastAsia="宋体" w:cs="宋体"/>
                <w:color w:val="000000"/>
                <w:kern w:val="0"/>
                <w:sz w:val="16"/>
                <w:szCs w:val="16"/>
              </w:rPr>
            </w:pPr>
            <w:r>
              <w:rPr>
                <w:rFonts w:hint="eastAsia" w:ascii="宋体" w:eastAsia="宋体" w:cs="宋体"/>
                <w:color w:val="000000"/>
                <w:kern w:val="0"/>
                <w:sz w:val="16"/>
                <w:szCs w:val="16"/>
              </w:rPr>
              <w:t>≥80%</w:t>
            </w:r>
          </w:p>
        </w:tc>
        <w:tc>
          <w:tcPr>
            <w:tcW w:w="800"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eastAsia="宋体" w:cs="宋体"/>
                <w:color w:val="000000"/>
                <w:kern w:val="0"/>
                <w:sz w:val="16"/>
                <w:szCs w:val="16"/>
              </w:rPr>
            </w:pPr>
            <w:r>
              <w:rPr>
                <w:rFonts w:hint="eastAsia" w:ascii="宋体" w:eastAsia="宋体" w:cs="宋体"/>
                <w:color w:val="000000"/>
                <w:kern w:val="0"/>
                <w:sz w:val="16"/>
                <w:szCs w:val="16"/>
              </w:rPr>
              <w:t>100%</w:t>
            </w:r>
          </w:p>
        </w:tc>
        <w:tc>
          <w:tcPr>
            <w:tcW w:w="1160"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eastAsia="宋体" w:cs="宋体"/>
                <w:color w:val="000000"/>
                <w:kern w:val="0"/>
                <w:sz w:val="16"/>
                <w:szCs w:val="16"/>
              </w:rPr>
            </w:pPr>
            <w:r>
              <w:rPr>
                <w:rFonts w:hint="eastAsia" w:ascii="宋体" w:eastAsia="宋体" w:cs="宋体"/>
                <w:color w:val="000000"/>
                <w:kern w:val="0"/>
                <w:sz w:val="16"/>
                <w:szCs w:val="16"/>
              </w:rPr>
              <w:t>10</w:t>
            </w:r>
          </w:p>
        </w:tc>
      </w:tr>
      <w:tr>
        <w:tblPrEx>
          <w:tblCellMar>
            <w:top w:w="0" w:type="dxa"/>
            <w:left w:w="108" w:type="dxa"/>
            <w:bottom w:w="0" w:type="dxa"/>
            <w:right w:w="108" w:type="dxa"/>
          </w:tblCellMar>
        </w:tblPrEx>
        <w:trPr>
          <w:trHeight w:val="465" w:hRule="atLeast"/>
          <w:jc w:val="center"/>
        </w:trPr>
        <w:tc>
          <w:tcPr>
            <w:tcW w:w="840" w:type="dxa"/>
            <w:vMerge w:val="continue"/>
            <w:tcBorders>
              <w:top w:val="nil"/>
              <w:left w:val="single" w:color="auto" w:sz="4" w:space="0"/>
              <w:bottom w:val="single" w:color="000000" w:sz="4" w:space="0"/>
              <w:right w:val="nil"/>
            </w:tcBorders>
            <w:vAlign w:val="center"/>
          </w:tcPr>
          <w:p/>
        </w:tc>
        <w:tc>
          <w:tcPr>
            <w:tcW w:w="11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ascii="宋体" w:eastAsia="宋体" w:cs="宋体"/>
                <w:color w:val="000000"/>
                <w:kern w:val="0"/>
                <w:sz w:val="16"/>
                <w:szCs w:val="16"/>
              </w:rPr>
            </w:pPr>
            <w:r>
              <w:rPr>
                <w:rFonts w:hint="eastAsia" w:ascii="宋体" w:eastAsia="宋体" w:cs="宋体"/>
                <w:color w:val="000000"/>
                <w:kern w:val="0"/>
                <w:sz w:val="16"/>
                <w:szCs w:val="16"/>
              </w:rPr>
              <w:t>预算执行率（10）</w:t>
            </w:r>
          </w:p>
        </w:tc>
        <w:tc>
          <w:tcPr>
            <w:tcW w:w="980" w:type="dxa"/>
            <w:tcBorders>
              <w:top w:val="single" w:color="auto" w:sz="4" w:space="0"/>
              <w:left w:val="nil"/>
              <w:bottom w:val="single" w:color="auto" w:sz="4" w:space="0"/>
              <w:right w:val="single" w:color="auto" w:sz="4" w:space="0"/>
            </w:tcBorders>
            <w:shd w:val="clear" w:color="auto" w:fill="auto"/>
            <w:vAlign w:val="center"/>
          </w:tcPr>
          <w:p>
            <w:pPr>
              <w:widowControl/>
              <w:spacing w:line="200" w:lineRule="exact"/>
              <w:jc w:val="center"/>
              <w:rPr>
                <w:rFonts w:ascii="宋体" w:eastAsia="宋体" w:cs="宋体"/>
                <w:color w:val="000000"/>
                <w:kern w:val="0"/>
                <w:sz w:val="16"/>
                <w:szCs w:val="16"/>
              </w:rPr>
            </w:pPr>
            <w:r>
              <w:rPr>
                <w:rFonts w:hint="eastAsia" w:ascii="宋体" w:eastAsia="宋体" w:cs="宋体"/>
                <w:color w:val="000000"/>
                <w:kern w:val="0"/>
                <w:sz w:val="16"/>
                <w:szCs w:val="16"/>
              </w:rPr>
              <w:t>预算执行率</w:t>
            </w:r>
          </w:p>
        </w:tc>
        <w:tc>
          <w:tcPr>
            <w:tcW w:w="2080" w:type="dxa"/>
            <w:gridSpan w:val="2"/>
            <w:tcBorders>
              <w:top w:val="single" w:color="auto" w:sz="4" w:space="0"/>
              <w:left w:val="nil"/>
              <w:bottom w:val="single" w:color="auto" w:sz="4" w:space="0"/>
              <w:right w:val="single" w:color="000000" w:sz="4" w:space="0"/>
            </w:tcBorders>
            <w:shd w:val="clear" w:color="auto" w:fill="auto"/>
            <w:vAlign w:val="center"/>
          </w:tcPr>
          <w:p>
            <w:pPr>
              <w:widowControl/>
              <w:spacing w:line="200" w:lineRule="exact"/>
              <w:jc w:val="center"/>
              <w:rPr>
                <w:rFonts w:ascii="宋体" w:eastAsia="宋体" w:cs="宋体"/>
                <w:color w:val="000000"/>
                <w:kern w:val="0"/>
                <w:sz w:val="16"/>
                <w:szCs w:val="16"/>
              </w:rPr>
            </w:pPr>
            <w:r>
              <w:rPr>
                <w:rFonts w:hint="eastAsia" w:ascii="宋体" w:eastAsia="宋体" w:cs="宋体"/>
                <w:color w:val="000000"/>
                <w:kern w:val="0"/>
                <w:sz w:val="16"/>
                <w:szCs w:val="16"/>
              </w:rPr>
              <w:t>执行预算效率</w:t>
            </w:r>
          </w:p>
        </w:tc>
        <w:tc>
          <w:tcPr>
            <w:tcW w:w="760" w:type="dxa"/>
            <w:tcBorders>
              <w:top w:val="single" w:color="auto" w:sz="4" w:space="0"/>
              <w:left w:val="nil"/>
              <w:bottom w:val="single" w:color="auto" w:sz="4" w:space="0"/>
              <w:right w:val="single" w:color="auto" w:sz="4" w:space="0"/>
            </w:tcBorders>
            <w:shd w:val="clear" w:color="auto" w:fill="auto"/>
            <w:vAlign w:val="center"/>
          </w:tcPr>
          <w:p>
            <w:pPr>
              <w:widowControl/>
              <w:spacing w:line="200" w:lineRule="exact"/>
              <w:jc w:val="center"/>
              <w:rPr>
                <w:rFonts w:ascii="宋体" w:eastAsia="宋体" w:cs="宋体"/>
                <w:color w:val="000000"/>
                <w:kern w:val="0"/>
                <w:sz w:val="16"/>
                <w:szCs w:val="16"/>
              </w:rPr>
            </w:pPr>
            <w:r>
              <w:rPr>
                <w:rFonts w:hint="eastAsia" w:ascii="宋体" w:eastAsia="宋体" w:cs="宋体"/>
                <w:color w:val="000000"/>
                <w:kern w:val="0"/>
                <w:sz w:val="16"/>
                <w:szCs w:val="16"/>
              </w:rPr>
              <w:t>100%</w:t>
            </w:r>
          </w:p>
        </w:tc>
        <w:tc>
          <w:tcPr>
            <w:tcW w:w="800" w:type="dxa"/>
            <w:tcBorders>
              <w:top w:val="single" w:color="auto" w:sz="4" w:space="0"/>
              <w:left w:val="nil"/>
              <w:bottom w:val="single" w:color="auto" w:sz="4" w:space="0"/>
              <w:right w:val="single" w:color="auto" w:sz="4" w:space="0"/>
            </w:tcBorders>
            <w:shd w:val="clear" w:color="auto" w:fill="auto"/>
            <w:vAlign w:val="center"/>
          </w:tcPr>
          <w:p>
            <w:pPr>
              <w:widowControl/>
              <w:spacing w:line="200" w:lineRule="exact"/>
              <w:jc w:val="center"/>
              <w:rPr>
                <w:rFonts w:ascii="宋体" w:eastAsia="宋体" w:cs="宋体"/>
                <w:color w:val="000000"/>
                <w:kern w:val="0"/>
                <w:sz w:val="16"/>
                <w:szCs w:val="16"/>
              </w:rPr>
            </w:pPr>
            <w:r>
              <w:rPr>
                <w:rFonts w:hint="eastAsia" w:ascii="宋体" w:eastAsia="宋体" w:cs="宋体"/>
                <w:color w:val="000000"/>
                <w:kern w:val="0"/>
                <w:sz w:val="16"/>
                <w:szCs w:val="16"/>
              </w:rPr>
              <w:t>100%</w:t>
            </w:r>
          </w:p>
        </w:tc>
        <w:tc>
          <w:tcPr>
            <w:tcW w:w="1160"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center"/>
              <w:rPr>
                <w:rFonts w:ascii="宋体" w:eastAsia="宋体" w:cs="宋体"/>
                <w:color w:val="000000"/>
                <w:kern w:val="0"/>
                <w:sz w:val="16"/>
                <w:szCs w:val="16"/>
              </w:rPr>
            </w:pPr>
            <w:r>
              <w:rPr>
                <w:rFonts w:hint="eastAsia" w:ascii="宋体" w:eastAsia="宋体" w:cs="宋体"/>
                <w:color w:val="000000"/>
                <w:kern w:val="0"/>
                <w:sz w:val="16"/>
                <w:szCs w:val="16"/>
              </w:rPr>
              <w:t>10</w:t>
            </w:r>
          </w:p>
        </w:tc>
      </w:tr>
      <w:tr>
        <w:tblPrEx>
          <w:tblCellMar>
            <w:top w:w="0" w:type="dxa"/>
            <w:left w:w="108" w:type="dxa"/>
            <w:bottom w:w="0" w:type="dxa"/>
            <w:right w:w="108" w:type="dxa"/>
          </w:tblCellMar>
        </w:tblPrEx>
        <w:trPr>
          <w:trHeight w:val="495" w:hRule="atLeast"/>
          <w:jc w:val="center"/>
        </w:trPr>
        <w:tc>
          <w:tcPr>
            <w:tcW w:w="840" w:type="dxa"/>
            <w:vMerge w:val="continue"/>
            <w:tcBorders>
              <w:top w:val="nil"/>
              <w:left w:val="single" w:color="auto" w:sz="4" w:space="0"/>
              <w:bottom w:val="single" w:color="000000" w:sz="4" w:space="0"/>
              <w:right w:val="nil"/>
            </w:tcBorders>
            <w:vAlign w:val="center"/>
          </w:tcPr>
          <w:p/>
        </w:tc>
        <w:tc>
          <w:tcPr>
            <w:tcW w:w="5800"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ascii="宋体" w:eastAsia="宋体" w:cs="宋体"/>
                <w:color w:val="000000"/>
                <w:kern w:val="0"/>
                <w:sz w:val="16"/>
                <w:szCs w:val="16"/>
              </w:rPr>
            </w:pPr>
            <w:r>
              <w:rPr>
                <w:rFonts w:hint="eastAsia" w:ascii="宋体" w:eastAsia="宋体" w:cs="宋体"/>
                <w:color w:val="000000"/>
                <w:kern w:val="0"/>
                <w:sz w:val="16"/>
                <w:szCs w:val="16"/>
              </w:rPr>
              <w:t>总分</w:t>
            </w:r>
          </w:p>
        </w:tc>
        <w:tc>
          <w:tcPr>
            <w:tcW w:w="1160"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center"/>
              <w:rPr>
                <w:rFonts w:ascii="宋体" w:eastAsia="宋体" w:cs="宋体"/>
                <w:color w:val="000000"/>
                <w:kern w:val="0"/>
                <w:sz w:val="16"/>
                <w:szCs w:val="16"/>
              </w:rPr>
            </w:pPr>
            <w:r>
              <w:rPr>
                <w:rFonts w:hint="eastAsia" w:ascii="宋体" w:eastAsia="宋体" w:cs="宋体"/>
                <w:color w:val="000000"/>
                <w:kern w:val="0"/>
                <w:sz w:val="16"/>
                <w:szCs w:val="16"/>
              </w:rPr>
              <w:t>100</w:t>
            </w:r>
          </w:p>
        </w:tc>
      </w:tr>
      <w:tr>
        <w:tblPrEx>
          <w:tblCellMar>
            <w:top w:w="0" w:type="dxa"/>
            <w:left w:w="108" w:type="dxa"/>
            <w:bottom w:w="0" w:type="dxa"/>
            <w:right w:w="108" w:type="dxa"/>
          </w:tblCellMar>
        </w:tblPrEx>
        <w:trPr>
          <w:trHeight w:val="288" w:hRule="atLeast"/>
          <w:jc w:val="center"/>
        </w:trPr>
        <w:tc>
          <w:tcPr>
            <w:tcW w:w="840" w:type="dxa"/>
            <w:vMerge w:val="continue"/>
            <w:tcBorders>
              <w:top w:val="nil"/>
              <w:left w:val="single" w:color="auto" w:sz="4" w:space="0"/>
              <w:bottom w:val="single" w:color="000000" w:sz="4" w:space="0"/>
              <w:right w:val="nil"/>
            </w:tcBorders>
            <w:vAlign w:val="center"/>
          </w:tcPr>
          <w:p/>
        </w:tc>
        <w:tc>
          <w:tcPr>
            <w:tcW w:w="6960" w:type="dxa"/>
            <w:gridSpan w:val="7"/>
            <w:tcBorders>
              <w:top w:val="single" w:color="auto" w:sz="4" w:space="0"/>
              <w:left w:val="single" w:color="000000" w:sz="4" w:space="0"/>
              <w:bottom w:val="nil"/>
              <w:right w:val="single" w:color="000000" w:sz="4" w:space="0"/>
            </w:tcBorders>
            <w:shd w:val="clear" w:color="auto" w:fill="auto"/>
            <w:vAlign w:val="center"/>
          </w:tcPr>
          <w:p>
            <w:pPr>
              <w:widowControl/>
              <w:spacing w:line="200" w:lineRule="exact"/>
              <w:jc w:val="left"/>
              <w:rPr>
                <w:rFonts w:ascii="宋体" w:eastAsia="宋体" w:cs="宋体"/>
                <w:color w:val="000000"/>
                <w:kern w:val="0"/>
                <w:sz w:val="16"/>
                <w:szCs w:val="16"/>
              </w:rPr>
            </w:pPr>
            <w:r>
              <w:rPr>
                <w:rFonts w:hint="eastAsia" w:ascii="宋体" w:eastAsia="宋体" w:cs="宋体"/>
                <w:color w:val="000000"/>
                <w:kern w:val="0"/>
                <w:sz w:val="16"/>
                <w:szCs w:val="16"/>
              </w:rPr>
              <w:t>总体目标完成。</w:t>
            </w:r>
          </w:p>
        </w:tc>
      </w:tr>
      <w:tr>
        <w:tblPrEx>
          <w:tblCellMar>
            <w:top w:w="0" w:type="dxa"/>
            <w:left w:w="108" w:type="dxa"/>
            <w:bottom w:w="0" w:type="dxa"/>
            <w:right w:w="108" w:type="dxa"/>
          </w:tblCellMar>
        </w:tblPrEx>
        <w:trPr>
          <w:trHeight w:val="996" w:hRule="atLeast"/>
          <w:jc w:val="center"/>
        </w:trPr>
        <w:tc>
          <w:tcPr>
            <w:tcW w:w="840" w:type="dxa"/>
            <w:tcBorders>
              <w:top w:val="nil"/>
              <w:left w:val="single" w:color="000000" w:sz="4" w:space="0"/>
              <w:bottom w:val="single" w:color="000000" w:sz="4" w:space="0"/>
              <w:right w:val="nil"/>
            </w:tcBorders>
            <w:shd w:val="clear" w:color="auto" w:fill="auto"/>
            <w:vAlign w:val="center"/>
          </w:tcPr>
          <w:p>
            <w:pPr>
              <w:widowControl/>
              <w:spacing w:line="200" w:lineRule="exact"/>
              <w:jc w:val="left"/>
              <w:rPr>
                <w:rFonts w:ascii="宋体" w:eastAsia="宋体" w:cs="宋体"/>
                <w:color w:val="000000"/>
                <w:kern w:val="0"/>
                <w:sz w:val="16"/>
                <w:szCs w:val="16"/>
              </w:rPr>
            </w:pPr>
            <w:r>
              <w:rPr>
                <w:rFonts w:hint="eastAsia" w:ascii="宋体" w:eastAsia="宋体" w:cs="宋体"/>
                <w:color w:val="000000"/>
                <w:kern w:val="0"/>
                <w:sz w:val="16"/>
                <w:szCs w:val="16"/>
              </w:rPr>
              <w:t>五、</w:t>
            </w:r>
            <w:r>
              <w:rPr>
                <w:rFonts w:ascii="Calibri" w:hAnsi="Calibri" w:eastAsia="宋体" w:cs="宋体"/>
                <w:color w:val="000000"/>
                <w:kern w:val="0"/>
                <w:sz w:val="16"/>
                <w:szCs w:val="16"/>
              </w:rPr>
              <w:t> </w:t>
            </w:r>
            <w:r>
              <w:rPr>
                <w:rFonts w:hint="eastAsia" w:ascii="宋体" w:eastAsia="宋体" w:cs="宋体"/>
                <w:color w:val="000000"/>
                <w:kern w:val="0"/>
                <w:sz w:val="16"/>
                <w:szCs w:val="16"/>
              </w:rPr>
              <w:t>存在问题、原因及下一步整改措施</w:t>
            </w:r>
          </w:p>
        </w:tc>
        <w:tc>
          <w:tcPr>
            <w:tcW w:w="6960" w:type="dxa"/>
            <w:gridSpan w:val="7"/>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spacing w:line="200" w:lineRule="exact"/>
              <w:jc w:val="left"/>
              <w:rPr>
                <w:rFonts w:ascii="宋体" w:eastAsia="宋体" w:cs="宋体"/>
                <w:color w:val="000000"/>
                <w:kern w:val="0"/>
                <w:sz w:val="16"/>
                <w:szCs w:val="16"/>
              </w:rPr>
            </w:pPr>
            <w:r>
              <w:rPr>
                <w:rFonts w:hint="eastAsia" w:ascii="宋体" w:eastAsia="宋体" w:cs="宋体"/>
                <w:color w:val="000000"/>
                <w:kern w:val="0"/>
                <w:sz w:val="16"/>
                <w:szCs w:val="16"/>
              </w:rPr>
              <w:t>组织团内活动，加强青年对团组织的了解，充分发挥团员带头作用，吸引更多青年加入。</w:t>
            </w:r>
          </w:p>
        </w:tc>
      </w:tr>
    </w:tbl>
    <w:p>
      <w:pPr>
        <w:spacing w:line="300" w:lineRule="exact"/>
        <w:jc w:val="center"/>
        <w:outlineLvl w:val="0"/>
      </w:pPr>
    </w:p>
    <w:tbl>
      <w:tblPr>
        <w:tblStyle w:val="9"/>
        <w:tblW w:w="7800" w:type="dxa"/>
        <w:jc w:val="center"/>
        <w:tblLayout w:type="autofit"/>
        <w:tblCellMar>
          <w:top w:w="0" w:type="dxa"/>
          <w:left w:w="108" w:type="dxa"/>
          <w:bottom w:w="0" w:type="dxa"/>
          <w:right w:w="108" w:type="dxa"/>
        </w:tblCellMar>
      </w:tblPr>
      <w:tblGrid>
        <w:gridCol w:w="840"/>
        <w:gridCol w:w="1180"/>
        <w:gridCol w:w="980"/>
        <w:gridCol w:w="1060"/>
        <w:gridCol w:w="1020"/>
        <w:gridCol w:w="760"/>
        <w:gridCol w:w="800"/>
        <w:gridCol w:w="1160"/>
      </w:tblGrid>
      <w:tr>
        <w:tblPrEx>
          <w:tblCellMar>
            <w:top w:w="0" w:type="dxa"/>
            <w:left w:w="108" w:type="dxa"/>
            <w:bottom w:w="0" w:type="dxa"/>
            <w:right w:w="108" w:type="dxa"/>
          </w:tblCellMar>
        </w:tblPrEx>
        <w:trPr>
          <w:trHeight w:val="516" w:hRule="atLeast"/>
          <w:jc w:val="center"/>
        </w:trPr>
        <w:tc>
          <w:tcPr>
            <w:tcW w:w="7800" w:type="dxa"/>
            <w:gridSpan w:val="8"/>
            <w:tcBorders>
              <w:top w:val="nil"/>
              <w:left w:val="nil"/>
              <w:bottom w:val="nil"/>
              <w:right w:val="nil"/>
            </w:tcBorders>
            <w:shd w:val="clear" w:color="auto" w:fill="auto"/>
            <w:noWrap/>
            <w:vAlign w:val="center"/>
          </w:tcPr>
          <w:p>
            <w:pPr>
              <w:widowControl/>
              <w:jc w:val="center"/>
              <w:rPr>
                <w:rFonts w:ascii="方正小标宋_GBK" w:eastAsia="方正小标宋_GBK" w:cs="宋体"/>
                <w:color w:val="000000"/>
                <w:kern w:val="0"/>
                <w:sz w:val="40"/>
                <w:szCs w:val="40"/>
              </w:rPr>
            </w:pPr>
          </w:p>
          <w:p>
            <w:pPr>
              <w:widowControl/>
              <w:jc w:val="center"/>
              <w:rPr>
                <w:rFonts w:ascii="方正小标宋_GBK" w:eastAsia="方正小标宋_GBK" w:cs="宋体"/>
                <w:color w:val="000000"/>
                <w:kern w:val="0"/>
                <w:sz w:val="40"/>
                <w:szCs w:val="40"/>
              </w:rPr>
            </w:pPr>
            <w:r>
              <w:rPr>
                <w:rFonts w:hint="eastAsia" w:ascii="方正小标宋_GBK" w:eastAsia="方正小标宋_GBK" w:cs="宋体"/>
                <w:color w:val="000000"/>
                <w:kern w:val="0"/>
                <w:sz w:val="40"/>
                <w:szCs w:val="40"/>
              </w:rPr>
              <w:t>二、部门预算重点项目绩效自评表</w:t>
            </w:r>
          </w:p>
        </w:tc>
      </w:tr>
      <w:tr>
        <w:tblPrEx>
          <w:tblCellMar>
            <w:top w:w="0" w:type="dxa"/>
            <w:left w:w="108" w:type="dxa"/>
            <w:bottom w:w="0" w:type="dxa"/>
            <w:right w:w="108" w:type="dxa"/>
          </w:tblCellMar>
        </w:tblPrEx>
        <w:trPr>
          <w:trHeight w:val="345" w:hRule="atLeast"/>
          <w:jc w:val="center"/>
        </w:trPr>
        <w:tc>
          <w:tcPr>
            <w:tcW w:w="7800" w:type="dxa"/>
            <w:gridSpan w:val="8"/>
            <w:tcBorders>
              <w:top w:val="nil"/>
              <w:left w:val="nil"/>
              <w:bottom w:val="nil"/>
              <w:right w:val="nil"/>
            </w:tcBorders>
            <w:shd w:val="clear" w:color="auto" w:fill="auto"/>
            <w:noWrap/>
            <w:vAlign w:val="bottom"/>
          </w:tcPr>
          <w:p>
            <w:pPr>
              <w:widowControl/>
              <w:jc w:val="center"/>
              <w:rPr>
                <w:rFonts w:ascii="宋体" w:eastAsia="宋体" w:cs="宋体"/>
                <w:color w:val="000000"/>
                <w:kern w:val="0"/>
                <w:sz w:val="20"/>
                <w:szCs w:val="20"/>
              </w:rPr>
            </w:pPr>
            <w:r>
              <w:rPr>
                <w:rFonts w:hint="eastAsia" w:ascii="宋体" w:eastAsia="宋体" w:cs="宋体"/>
                <w:color w:val="000000"/>
                <w:kern w:val="0"/>
                <w:sz w:val="20"/>
                <w:szCs w:val="20"/>
              </w:rPr>
              <w:t>（2019年度）</w:t>
            </w:r>
          </w:p>
        </w:tc>
      </w:tr>
      <w:tr>
        <w:tblPrEx>
          <w:tblCellMar>
            <w:top w:w="0" w:type="dxa"/>
            <w:left w:w="108" w:type="dxa"/>
            <w:bottom w:w="0" w:type="dxa"/>
            <w:right w:w="108" w:type="dxa"/>
          </w:tblCellMar>
        </w:tblPrEx>
        <w:trPr>
          <w:trHeight w:val="435" w:hRule="atLeast"/>
          <w:jc w:val="center"/>
        </w:trPr>
        <w:tc>
          <w:tcPr>
            <w:tcW w:w="4060" w:type="dxa"/>
            <w:gridSpan w:val="4"/>
            <w:tcBorders>
              <w:top w:val="nil"/>
              <w:left w:val="nil"/>
              <w:bottom w:val="nil"/>
              <w:right w:val="nil"/>
            </w:tcBorders>
            <w:shd w:val="clear" w:color="auto" w:fill="auto"/>
            <w:noWrap/>
            <w:vAlign w:val="center"/>
          </w:tcPr>
          <w:p>
            <w:pPr>
              <w:widowControl/>
              <w:jc w:val="left"/>
              <w:rPr>
                <w:rFonts w:ascii="宋体" w:eastAsia="宋体" w:cs="宋体"/>
                <w:color w:val="000000"/>
                <w:kern w:val="0"/>
                <w:sz w:val="16"/>
                <w:szCs w:val="16"/>
              </w:rPr>
            </w:pPr>
            <w:r>
              <w:rPr>
                <w:rFonts w:hint="eastAsia" w:ascii="宋体" w:eastAsia="宋体" w:cs="宋体"/>
                <w:color w:val="000000"/>
                <w:kern w:val="0"/>
                <w:sz w:val="16"/>
                <w:szCs w:val="16"/>
              </w:rPr>
              <w:t>填报单位：中国共产主义青年团大城县委员会</w:t>
            </w:r>
          </w:p>
        </w:tc>
        <w:tc>
          <w:tcPr>
            <w:tcW w:w="1020" w:type="dxa"/>
            <w:tcBorders>
              <w:top w:val="nil"/>
              <w:left w:val="nil"/>
              <w:bottom w:val="nil"/>
              <w:right w:val="nil"/>
            </w:tcBorders>
            <w:shd w:val="clear" w:color="auto" w:fill="auto"/>
            <w:noWrap/>
            <w:vAlign w:val="center"/>
          </w:tcPr>
          <w:p>
            <w:pPr>
              <w:widowControl/>
              <w:jc w:val="center"/>
              <w:rPr>
                <w:rFonts w:ascii="宋体" w:eastAsia="宋体" w:cs="宋体"/>
                <w:color w:val="000000"/>
                <w:kern w:val="0"/>
                <w:sz w:val="16"/>
                <w:szCs w:val="16"/>
              </w:rPr>
            </w:pPr>
          </w:p>
        </w:tc>
        <w:tc>
          <w:tcPr>
            <w:tcW w:w="760" w:type="dxa"/>
            <w:tcBorders>
              <w:top w:val="nil"/>
              <w:left w:val="nil"/>
              <w:bottom w:val="nil"/>
              <w:right w:val="nil"/>
            </w:tcBorders>
            <w:shd w:val="clear" w:color="auto" w:fill="auto"/>
            <w:noWrap/>
            <w:vAlign w:val="center"/>
          </w:tcPr>
          <w:p>
            <w:pPr>
              <w:widowControl/>
              <w:jc w:val="center"/>
              <w:rPr>
                <w:rFonts w:ascii="宋体" w:eastAsia="宋体" w:cs="宋体"/>
                <w:color w:val="000000"/>
                <w:kern w:val="0"/>
                <w:sz w:val="16"/>
                <w:szCs w:val="16"/>
              </w:rPr>
            </w:pPr>
          </w:p>
        </w:tc>
        <w:tc>
          <w:tcPr>
            <w:tcW w:w="800" w:type="dxa"/>
            <w:tcBorders>
              <w:top w:val="nil"/>
              <w:left w:val="nil"/>
              <w:bottom w:val="nil"/>
              <w:right w:val="nil"/>
            </w:tcBorders>
            <w:shd w:val="clear" w:color="auto" w:fill="auto"/>
            <w:noWrap/>
            <w:vAlign w:val="center"/>
          </w:tcPr>
          <w:p>
            <w:pPr>
              <w:widowControl/>
              <w:jc w:val="center"/>
              <w:rPr>
                <w:rFonts w:ascii="宋体" w:eastAsia="宋体" w:cs="宋体"/>
                <w:color w:val="000000"/>
                <w:kern w:val="0"/>
                <w:sz w:val="16"/>
                <w:szCs w:val="16"/>
              </w:rPr>
            </w:pPr>
          </w:p>
        </w:tc>
        <w:tc>
          <w:tcPr>
            <w:tcW w:w="1160" w:type="dxa"/>
            <w:tcBorders>
              <w:top w:val="nil"/>
              <w:left w:val="nil"/>
              <w:bottom w:val="nil"/>
              <w:right w:val="nil"/>
            </w:tcBorders>
            <w:shd w:val="clear" w:color="auto" w:fill="auto"/>
            <w:noWrap/>
            <w:vAlign w:val="center"/>
          </w:tcPr>
          <w:p>
            <w:pPr>
              <w:widowControl/>
              <w:jc w:val="center"/>
              <w:rPr>
                <w:rFonts w:ascii="宋体" w:eastAsia="宋体" w:cs="宋体"/>
                <w:color w:val="000000"/>
                <w:kern w:val="0"/>
                <w:sz w:val="16"/>
                <w:szCs w:val="16"/>
              </w:rPr>
            </w:pPr>
            <w:r>
              <w:rPr>
                <w:rFonts w:hint="eastAsia" w:ascii="宋体" w:eastAsia="宋体" w:cs="宋体"/>
                <w:color w:val="000000"/>
                <w:kern w:val="0"/>
                <w:sz w:val="16"/>
                <w:szCs w:val="16"/>
              </w:rPr>
              <w:t>金额单位：万元</w:t>
            </w:r>
          </w:p>
        </w:tc>
      </w:tr>
      <w:tr>
        <w:tblPrEx>
          <w:tblCellMar>
            <w:top w:w="0" w:type="dxa"/>
            <w:left w:w="108" w:type="dxa"/>
            <w:bottom w:w="0" w:type="dxa"/>
            <w:right w:w="108" w:type="dxa"/>
          </w:tblCellMar>
        </w:tblPrEx>
        <w:trPr>
          <w:trHeight w:val="495" w:hRule="atLeast"/>
          <w:jc w:val="center"/>
        </w:trPr>
        <w:tc>
          <w:tcPr>
            <w:tcW w:w="840" w:type="dxa"/>
            <w:tcBorders>
              <w:top w:val="single" w:color="000000" w:sz="4" w:space="0"/>
              <w:left w:val="single" w:color="000000" w:sz="4" w:space="0"/>
              <w:bottom w:val="nil"/>
              <w:right w:val="single" w:color="000000" w:sz="4" w:space="0"/>
            </w:tcBorders>
            <w:shd w:val="clear" w:color="auto" w:fill="auto"/>
            <w:vAlign w:val="center"/>
          </w:tcPr>
          <w:p>
            <w:pPr>
              <w:widowControl/>
              <w:spacing w:line="200" w:lineRule="exact"/>
              <w:jc w:val="left"/>
              <w:rPr>
                <w:rFonts w:ascii="宋体" w:eastAsia="宋体" w:cs="宋体"/>
                <w:color w:val="000000"/>
                <w:kern w:val="0"/>
                <w:sz w:val="16"/>
                <w:szCs w:val="16"/>
              </w:rPr>
            </w:pPr>
            <w:r>
              <w:rPr>
                <w:rFonts w:hint="eastAsia" w:ascii="宋体" w:eastAsia="宋体" w:cs="宋体"/>
                <w:color w:val="000000"/>
                <w:kern w:val="0"/>
                <w:sz w:val="16"/>
                <w:szCs w:val="16"/>
              </w:rPr>
              <w:t>一、</w:t>
            </w:r>
            <w:r>
              <w:rPr>
                <w:rFonts w:ascii="Calibri" w:hAnsi="Calibri" w:eastAsia="宋体" w:cs="宋体"/>
                <w:color w:val="000000"/>
                <w:kern w:val="0"/>
                <w:sz w:val="16"/>
                <w:szCs w:val="16"/>
              </w:rPr>
              <w:t> </w:t>
            </w:r>
            <w:r>
              <w:rPr>
                <w:rFonts w:hint="eastAsia" w:ascii="宋体" w:eastAsia="宋体" w:cs="宋体"/>
                <w:color w:val="000000"/>
                <w:kern w:val="0"/>
                <w:sz w:val="16"/>
                <w:szCs w:val="16"/>
              </w:rPr>
              <w:t>基本情况</w:t>
            </w:r>
          </w:p>
        </w:tc>
        <w:tc>
          <w:tcPr>
            <w:tcW w:w="1180" w:type="dxa"/>
            <w:tcBorders>
              <w:top w:val="single" w:color="000000" w:sz="4" w:space="0"/>
              <w:left w:val="nil"/>
              <w:bottom w:val="single" w:color="000000" w:sz="4" w:space="0"/>
              <w:right w:val="single" w:color="000000" w:sz="4" w:space="0"/>
            </w:tcBorders>
            <w:shd w:val="clear" w:color="auto" w:fill="auto"/>
            <w:vAlign w:val="center"/>
          </w:tcPr>
          <w:p>
            <w:pPr>
              <w:widowControl/>
              <w:spacing w:line="200" w:lineRule="exact"/>
              <w:jc w:val="center"/>
              <w:rPr>
                <w:rFonts w:ascii="宋体" w:eastAsia="宋体" w:cs="宋体"/>
                <w:color w:val="000000"/>
                <w:kern w:val="0"/>
                <w:sz w:val="16"/>
                <w:szCs w:val="16"/>
              </w:rPr>
            </w:pPr>
            <w:r>
              <w:rPr>
                <w:rFonts w:hint="eastAsia" w:ascii="宋体" w:eastAsia="宋体" w:cs="宋体"/>
                <w:color w:val="000000"/>
                <w:kern w:val="0"/>
                <w:sz w:val="16"/>
                <w:szCs w:val="16"/>
              </w:rPr>
              <w:t>项目名称</w:t>
            </w:r>
          </w:p>
        </w:tc>
        <w:tc>
          <w:tcPr>
            <w:tcW w:w="2040" w:type="dxa"/>
            <w:gridSpan w:val="2"/>
            <w:tcBorders>
              <w:top w:val="single" w:color="000000" w:sz="4" w:space="0"/>
              <w:left w:val="nil"/>
              <w:bottom w:val="single" w:color="000000" w:sz="4" w:space="0"/>
              <w:right w:val="single" w:color="000000" w:sz="4" w:space="0"/>
            </w:tcBorders>
            <w:shd w:val="clear" w:color="auto" w:fill="auto"/>
            <w:vAlign w:val="center"/>
          </w:tcPr>
          <w:p>
            <w:pPr>
              <w:widowControl/>
              <w:spacing w:line="200" w:lineRule="exact"/>
              <w:jc w:val="left"/>
              <w:rPr>
                <w:rFonts w:ascii="宋体" w:eastAsia="宋体" w:cs="宋体"/>
                <w:color w:val="000000"/>
                <w:kern w:val="0"/>
                <w:sz w:val="16"/>
                <w:szCs w:val="16"/>
              </w:rPr>
            </w:pPr>
            <w:r>
              <w:rPr>
                <w:rFonts w:hint="eastAsia" w:ascii="宋体" w:eastAsia="宋体" w:cs="宋体"/>
                <w:color w:val="000000"/>
                <w:kern w:val="0"/>
                <w:sz w:val="16"/>
                <w:szCs w:val="16"/>
              </w:rPr>
              <w:t>安监工作经费</w:t>
            </w:r>
          </w:p>
        </w:tc>
        <w:tc>
          <w:tcPr>
            <w:tcW w:w="1020" w:type="dxa"/>
            <w:tcBorders>
              <w:top w:val="single" w:color="000000" w:sz="4" w:space="0"/>
              <w:left w:val="nil"/>
              <w:bottom w:val="single" w:color="000000" w:sz="4" w:space="0"/>
              <w:right w:val="single" w:color="000000" w:sz="4" w:space="0"/>
            </w:tcBorders>
            <w:shd w:val="clear" w:color="auto" w:fill="auto"/>
            <w:vAlign w:val="center"/>
          </w:tcPr>
          <w:p>
            <w:pPr>
              <w:widowControl/>
              <w:spacing w:line="200" w:lineRule="exact"/>
              <w:jc w:val="center"/>
              <w:rPr>
                <w:rFonts w:ascii="宋体" w:eastAsia="宋体" w:cs="宋体"/>
                <w:color w:val="000000"/>
                <w:kern w:val="0"/>
                <w:sz w:val="16"/>
                <w:szCs w:val="16"/>
              </w:rPr>
            </w:pPr>
            <w:r>
              <w:rPr>
                <w:rFonts w:hint="eastAsia" w:ascii="宋体" w:eastAsia="宋体" w:cs="宋体"/>
                <w:color w:val="000000"/>
                <w:kern w:val="0"/>
                <w:sz w:val="16"/>
                <w:szCs w:val="16"/>
              </w:rPr>
              <w:t>实施(主管）单位</w:t>
            </w:r>
          </w:p>
        </w:tc>
        <w:tc>
          <w:tcPr>
            <w:tcW w:w="2720" w:type="dxa"/>
            <w:gridSpan w:val="3"/>
            <w:tcBorders>
              <w:top w:val="single" w:color="000000" w:sz="4" w:space="0"/>
              <w:left w:val="nil"/>
              <w:bottom w:val="single" w:color="000000" w:sz="4" w:space="0"/>
              <w:right w:val="single" w:color="000000" w:sz="4" w:space="0"/>
            </w:tcBorders>
            <w:shd w:val="clear" w:color="auto" w:fill="auto"/>
            <w:vAlign w:val="center"/>
          </w:tcPr>
          <w:p>
            <w:pPr>
              <w:widowControl/>
              <w:spacing w:line="200" w:lineRule="exact"/>
              <w:jc w:val="center"/>
              <w:rPr>
                <w:rFonts w:ascii="宋体" w:eastAsia="宋体" w:cs="宋体"/>
                <w:color w:val="000000"/>
                <w:kern w:val="0"/>
                <w:sz w:val="16"/>
                <w:szCs w:val="16"/>
              </w:rPr>
            </w:pPr>
            <w:r>
              <w:rPr>
                <w:rFonts w:hint="eastAsia" w:ascii="宋体" w:eastAsia="宋体" w:cs="宋体"/>
                <w:color w:val="000000"/>
                <w:kern w:val="0"/>
                <w:sz w:val="16"/>
                <w:szCs w:val="16"/>
              </w:rPr>
              <w:t>中国共产主义青年团大城县委员会</w:t>
            </w:r>
          </w:p>
        </w:tc>
      </w:tr>
      <w:tr>
        <w:tblPrEx>
          <w:tblCellMar>
            <w:top w:w="0" w:type="dxa"/>
            <w:left w:w="108" w:type="dxa"/>
            <w:bottom w:w="0" w:type="dxa"/>
            <w:right w:w="108" w:type="dxa"/>
          </w:tblCellMar>
        </w:tblPrEx>
        <w:trPr>
          <w:trHeight w:val="288" w:hRule="atLeast"/>
          <w:jc w:val="center"/>
        </w:trPr>
        <w:tc>
          <w:tcPr>
            <w:tcW w:w="8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rPr>
                <w:rFonts w:ascii="宋体" w:eastAsia="宋体" w:cs="宋体"/>
                <w:color w:val="000000"/>
                <w:kern w:val="0"/>
                <w:sz w:val="16"/>
                <w:szCs w:val="16"/>
              </w:rPr>
            </w:pPr>
            <w:r>
              <w:rPr>
                <w:rFonts w:hint="eastAsia" w:ascii="宋体" w:eastAsia="宋体" w:cs="宋体"/>
                <w:color w:val="000000"/>
                <w:kern w:val="0"/>
                <w:sz w:val="16"/>
                <w:szCs w:val="16"/>
              </w:rPr>
              <w:t>二、预算执行情况</w:t>
            </w:r>
          </w:p>
        </w:tc>
        <w:tc>
          <w:tcPr>
            <w:tcW w:w="2160" w:type="dxa"/>
            <w:gridSpan w:val="2"/>
            <w:tcBorders>
              <w:top w:val="single" w:color="000000" w:sz="4" w:space="0"/>
              <w:left w:val="nil"/>
              <w:bottom w:val="single" w:color="000000" w:sz="4" w:space="0"/>
              <w:right w:val="single" w:color="000000" w:sz="4" w:space="0"/>
            </w:tcBorders>
            <w:shd w:val="clear" w:color="auto" w:fill="auto"/>
            <w:vAlign w:val="center"/>
          </w:tcPr>
          <w:p>
            <w:pPr>
              <w:widowControl/>
              <w:spacing w:line="200" w:lineRule="exact"/>
              <w:jc w:val="center"/>
              <w:rPr>
                <w:rFonts w:ascii="宋体" w:eastAsia="宋体" w:cs="宋体"/>
                <w:color w:val="000000"/>
                <w:kern w:val="0"/>
                <w:sz w:val="16"/>
                <w:szCs w:val="16"/>
              </w:rPr>
            </w:pPr>
            <w:r>
              <w:rPr>
                <w:rFonts w:hint="eastAsia" w:ascii="宋体" w:eastAsia="宋体" w:cs="宋体"/>
                <w:color w:val="000000"/>
                <w:kern w:val="0"/>
                <w:sz w:val="16"/>
                <w:szCs w:val="16"/>
              </w:rPr>
              <w:t>预算安排情况（调整后）</w:t>
            </w:r>
          </w:p>
        </w:tc>
        <w:tc>
          <w:tcPr>
            <w:tcW w:w="2080" w:type="dxa"/>
            <w:gridSpan w:val="2"/>
            <w:tcBorders>
              <w:top w:val="single" w:color="000000" w:sz="4" w:space="0"/>
              <w:left w:val="nil"/>
              <w:bottom w:val="single" w:color="000000" w:sz="4" w:space="0"/>
              <w:right w:val="single" w:color="000000" w:sz="4" w:space="0"/>
            </w:tcBorders>
            <w:shd w:val="clear" w:color="auto" w:fill="auto"/>
            <w:vAlign w:val="center"/>
          </w:tcPr>
          <w:p>
            <w:pPr>
              <w:widowControl/>
              <w:spacing w:line="200" w:lineRule="exact"/>
              <w:jc w:val="center"/>
              <w:rPr>
                <w:rFonts w:ascii="宋体" w:eastAsia="宋体" w:cs="宋体"/>
                <w:color w:val="000000"/>
                <w:kern w:val="0"/>
                <w:sz w:val="16"/>
                <w:szCs w:val="16"/>
              </w:rPr>
            </w:pPr>
            <w:r>
              <w:rPr>
                <w:rFonts w:hint="eastAsia" w:ascii="宋体" w:eastAsia="宋体" w:cs="宋体"/>
                <w:color w:val="000000"/>
                <w:kern w:val="0"/>
                <w:sz w:val="16"/>
                <w:szCs w:val="16"/>
              </w:rPr>
              <w:t>资金到位情况</w:t>
            </w:r>
          </w:p>
        </w:tc>
        <w:tc>
          <w:tcPr>
            <w:tcW w:w="1560" w:type="dxa"/>
            <w:gridSpan w:val="2"/>
            <w:tcBorders>
              <w:top w:val="single" w:color="000000" w:sz="4" w:space="0"/>
              <w:left w:val="nil"/>
              <w:bottom w:val="single" w:color="000000" w:sz="4" w:space="0"/>
              <w:right w:val="single" w:color="000000" w:sz="4" w:space="0"/>
            </w:tcBorders>
            <w:shd w:val="clear" w:color="auto" w:fill="auto"/>
            <w:vAlign w:val="center"/>
          </w:tcPr>
          <w:p>
            <w:pPr>
              <w:widowControl/>
              <w:spacing w:line="200" w:lineRule="exact"/>
              <w:jc w:val="center"/>
              <w:rPr>
                <w:rFonts w:ascii="宋体" w:eastAsia="宋体" w:cs="宋体"/>
                <w:color w:val="000000"/>
                <w:kern w:val="0"/>
                <w:sz w:val="16"/>
                <w:szCs w:val="16"/>
              </w:rPr>
            </w:pPr>
            <w:r>
              <w:rPr>
                <w:rFonts w:hint="eastAsia" w:ascii="宋体" w:eastAsia="宋体" w:cs="宋体"/>
                <w:color w:val="000000"/>
                <w:kern w:val="0"/>
                <w:sz w:val="16"/>
                <w:szCs w:val="16"/>
              </w:rPr>
              <w:t>资金执行情况</w:t>
            </w:r>
          </w:p>
        </w:tc>
        <w:tc>
          <w:tcPr>
            <w:tcW w:w="1160"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eastAsia="宋体" w:cs="宋体"/>
                <w:color w:val="000000"/>
                <w:kern w:val="0"/>
                <w:sz w:val="16"/>
                <w:szCs w:val="16"/>
              </w:rPr>
            </w:pPr>
            <w:r>
              <w:rPr>
                <w:rFonts w:hint="eastAsia" w:ascii="宋体" w:eastAsia="宋体" w:cs="宋体"/>
                <w:color w:val="000000"/>
                <w:kern w:val="0"/>
                <w:sz w:val="16"/>
                <w:szCs w:val="16"/>
              </w:rPr>
              <w:t>预算执行进度</w:t>
            </w:r>
          </w:p>
        </w:tc>
      </w:tr>
      <w:tr>
        <w:tblPrEx>
          <w:tblCellMar>
            <w:top w:w="0" w:type="dxa"/>
            <w:left w:w="108" w:type="dxa"/>
            <w:bottom w:w="0" w:type="dxa"/>
            <w:right w:w="108" w:type="dxa"/>
          </w:tblCellMar>
        </w:tblPrEx>
        <w:trPr>
          <w:trHeight w:val="288" w:hRule="atLeast"/>
          <w:jc w:val="center"/>
        </w:trPr>
        <w:tc>
          <w:tcPr>
            <w:tcW w:w="840" w:type="dxa"/>
            <w:vMerge w:val="continue"/>
            <w:tcBorders>
              <w:top w:val="single" w:color="000000" w:sz="4" w:space="0"/>
              <w:left w:val="single" w:color="000000" w:sz="4" w:space="0"/>
              <w:bottom w:val="single" w:color="000000" w:sz="4" w:space="0"/>
              <w:right w:val="single" w:color="000000" w:sz="4" w:space="0"/>
            </w:tcBorders>
            <w:vAlign w:val="center"/>
          </w:tcPr>
          <w:p/>
        </w:tc>
        <w:tc>
          <w:tcPr>
            <w:tcW w:w="1180"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eastAsia="宋体" w:cs="宋体"/>
                <w:color w:val="000000"/>
                <w:kern w:val="0"/>
                <w:sz w:val="16"/>
                <w:szCs w:val="16"/>
              </w:rPr>
            </w:pPr>
            <w:r>
              <w:rPr>
                <w:rFonts w:hint="eastAsia" w:ascii="宋体" w:eastAsia="宋体" w:cs="宋体"/>
                <w:color w:val="000000"/>
                <w:kern w:val="0"/>
                <w:sz w:val="16"/>
                <w:szCs w:val="16"/>
              </w:rPr>
              <w:t>预算数：</w:t>
            </w:r>
          </w:p>
        </w:tc>
        <w:tc>
          <w:tcPr>
            <w:tcW w:w="980"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eastAsia="宋体" w:cs="宋体"/>
                <w:color w:val="000000"/>
                <w:kern w:val="0"/>
                <w:sz w:val="16"/>
                <w:szCs w:val="16"/>
              </w:rPr>
            </w:pPr>
            <w:r>
              <w:rPr>
                <w:rFonts w:hint="eastAsia" w:ascii="宋体" w:eastAsia="宋体" w:cs="宋体"/>
                <w:color w:val="000000"/>
                <w:kern w:val="0"/>
                <w:sz w:val="16"/>
                <w:szCs w:val="16"/>
              </w:rPr>
              <w:t>1</w:t>
            </w:r>
          </w:p>
        </w:tc>
        <w:tc>
          <w:tcPr>
            <w:tcW w:w="1060"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eastAsia="宋体" w:cs="宋体"/>
                <w:color w:val="000000"/>
                <w:kern w:val="0"/>
                <w:sz w:val="16"/>
                <w:szCs w:val="16"/>
              </w:rPr>
            </w:pPr>
            <w:r>
              <w:rPr>
                <w:rFonts w:hint="eastAsia" w:ascii="宋体" w:eastAsia="宋体" w:cs="宋体"/>
                <w:color w:val="000000"/>
                <w:kern w:val="0"/>
                <w:sz w:val="16"/>
                <w:szCs w:val="16"/>
              </w:rPr>
              <w:t>到位数：</w:t>
            </w:r>
          </w:p>
        </w:tc>
        <w:tc>
          <w:tcPr>
            <w:tcW w:w="1020"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eastAsia="宋体" w:cs="宋体"/>
                <w:color w:val="000000"/>
                <w:kern w:val="0"/>
                <w:sz w:val="16"/>
                <w:szCs w:val="16"/>
              </w:rPr>
            </w:pPr>
            <w:r>
              <w:rPr>
                <w:rFonts w:hint="eastAsia" w:ascii="宋体" w:eastAsia="宋体" w:cs="宋体"/>
                <w:color w:val="000000"/>
                <w:kern w:val="0"/>
                <w:sz w:val="16"/>
                <w:szCs w:val="16"/>
              </w:rPr>
              <w:t>1</w:t>
            </w:r>
          </w:p>
        </w:tc>
        <w:tc>
          <w:tcPr>
            <w:tcW w:w="760"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eastAsia="宋体" w:cs="宋体"/>
                <w:color w:val="000000"/>
                <w:kern w:val="0"/>
                <w:sz w:val="16"/>
                <w:szCs w:val="16"/>
              </w:rPr>
            </w:pPr>
            <w:r>
              <w:rPr>
                <w:rFonts w:hint="eastAsia" w:ascii="宋体" w:eastAsia="宋体" w:cs="宋体"/>
                <w:color w:val="000000"/>
                <w:kern w:val="0"/>
                <w:sz w:val="16"/>
                <w:szCs w:val="16"/>
              </w:rPr>
              <w:t>执行数：</w:t>
            </w:r>
          </w:p>
        </w:tc>
        <w:tc>
          <w:tcPr>
            <w:tcW w:w="800"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eastAsia="宋体" w:cs="宋体"/>
                <w:color w:val="000000"/>
                <w:kern w:val="0"/>
                <w:sz w:val="16"/>
                <w:szCs w:val="16"/>
              </w:rPr>
            </w:pPr>
            <w:r>
              <w:rPr>
                <w:rFonts w:hint="eastAsia" w:ascii="宋体" w:eastAsia="宋体" w:cs="宋体"/>
                <w:color w:val="000000"/>
                <w:kern w:val="0"/>
                <w:sz w:val="16"/>
                <w:szCs w:val="16"/>
              </w:rPr>
              <w:t>1</w:t>
            </w:r>
          </w:p>
        </w:tc>
        <w:tc>
          <w:tcPr>
            <w:tcW w:w="116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center"/>
              <w:rPr>
                <w:rFonts w:ascii="宋体" w:eastAsia="宋体" w:cs="宋体"/>
                <w:color w:val="000000"/>
                <w:kern w:val="0"/>
                <w:sz w:val="16"/>
                <w:szCs w:val="16"/>
              </w:rPr>
            </w:pPr>
            <w:r>
              <w:rPr>
                <w:rFonts w:hint="eastAsia" w:ascii="宋体" w:eastAsia="宋体" w:cs="宋体"/>
                <w:color w:val="000000"/>
                <w:kern w:val="0"/>
                <w:sz w:val="16"/>
                <w:szCs w:val="16"/>
              </w:rPr>
              <w:t>100.00%</w:t>
            </w:r>
          </w:p>
        </w:tc>
      </w:tr>
      <w:tr>
        <w:tblPrEx>
          <w:tblCellMar>
            <w:top w:w="0" w:type="dxa"/>
            <w:left w:w="108" w:type="dxa"/>
            <w:bottom w:w="0" w:type="dxa"/>
            <w:right w:w="108" w:type="dxa"/>
          </w:tblCellMar>
        </w:tblPrEx>
        <w:trPr>
          <w:trHeight w:val="396" w:hRule="atLeast"/>
          <w:jc w:val="center"/>
        </w:trPr>
        <w:tc>
          <w:tcPr>
            <w:tcW w:w="840" w:type="dxa"/>
            <w:vMerge w:val="continue"/>
            <w:tcBorders>
              <w:top w:val="single" w:color="000000" w:sz="4" w:space="0"/>
              <w:left w:val="single" w:color="000000" w:sz="4" w:space="0"/>
              <w:bottom w:val="single" w:color="000000" w:sz="4" w:space="0"/>
              <w:right w:val="single" w:color="000000" w:sz="4" w:space="0"/>
            </w:tcBorders>
            <w:vAlign w:val="center"/>
          </w:tcPr>
          <w:p/>
        </w:tc>
        <w:tc>
          <w:tcPr>
            <w:tcW w:w="1180"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宋体" w:eastAsia="宋体" w:cs="宋体"/>
                <w:color w:val="000000"/>
                <w:kern w:val="0"/>
                <w:sz w:val="16"/>
                <w:szCs w:val="16"/>
              </w:rPr>
            </w:pPr>
            <w:r>
              <w:rPr>
                <w:rFonts w:hint="eastAsia" w:ascii="宋体" w:eastAsia="宋体" w:cs="宋体"/>
                <w:color w:val="000000"/>
                <w:kern w:val="0"/>
                <w:sz w:val="16"/>
                <w:szCs w:val="16"/>
              </w:rPr>
              <w:t>其中：财政资金</w:t>
            </w:r>
          </w:p>
        </w:tc>
        <w:tc>
          <w:tcPr>
            <w:tcW w:w="980"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eastAsia="宋体" w:cs="宋体"/>
                <w:color w:val="000000"/>
                <w:kern w:val="0"/>
                <w:sz w:val="16"/>
                <w:szCs w:val="16"/>
              </w:rPr>
            </w:pPr>
            <w:r>
              <w:rPr>
                <w:rFonts w:hint="eastAsia" w:ascii="宋体" w:eastAsia="宋体" w:cs="宋体"/>
                <w:color w:val="000000"/>
                <w:kern w:val="0"/>
                <w:sz w:val="16"/>
                <w:szCs w:val="16"/>
              </w:rPr>
              <w:t>1</w:t>
            </w:r>
          </w:p>
        </w:tc>
        <w:tc>
          <w:tcPr>
            <w:tcW w:w="1060"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eastAsia="宋体" w:cs="宋体"/>
                <w:color w:val="000000"/>
                <w:kern w:val="0"/>
                <w:sz w:val="16"/>
                <w:szCs w:val="16"/>
              </w:rPr>
            </w:pPr>
            <w:r>
              <w:rPr>
                <w:rFonts w:hint="eastAsia" w:ascii="宋体" w:eastAsia="宋体" w:cs="宋体"/>
                <w:color w:val="000000"/>
                <w:kern w:val="0"/>
                <w:sz w:val="16"/>
                <w:szCs w:val="16"/>
              </w:rPr>
              <w:t>其中：财政资金</w:t>
            </w:r>
          </w:p>
        </w:tc>
        <w:tc>
          <w:tcPr>
            <w:tcW w:w="1020"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eastAsia="宋体" w:cs="宋体"/>
                <w:color w:val="000000"/>
                <w:kern w:val="0"/>
                <w:sz w:val="16"/>
                <w:szCs w:val="16"/>
              </w:rPr>
            </w:pPr>
            <w:r>
              <w:rPr>
                <w:rFonts w:hint="eastAsia" w:ascii="宋体" w:eastAsia="宋体" w:cs="宋体"/>
                <w:color w:val="000000"/>
                <w:kern w:val="0"/>
                <w:sz w:val="16"/>
                <w:szCs w:val="16"/>
              </w:rPr>
              <w:t>1</w:t>
            </w:r>
          </w:p>
        </w:tc>
        <w:tc>
          <w:tcPr>
            <w:tcW w:w="760"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eastAsia="宋体" w:cs="宋体"/>
                <w:color w:val="000000"/>
                <w:kern w:val="0"/>
                <w:sz w:val="16"/>
                <w:szCs w:val="16"/>
              </w:rPr>
            </w:pPr>
            <w:r>
              <w:rPr>
                <w:rFonts w:hint="eastAsia" w:ascii="宋体" w:eastAsia="宋体" w:cs="宋体"/>
                <w:color w:val="000000"/>
                <w:kern w:val="0"/>
                <w:sz w:val="16"/>
                <w:szCs w:val="16"/>
              </w:rPr>
              <w:t>其中：财政资金</w:t>
            </w:r>
          </w:p>
        </w:tc>
        <w:tc>
          <w:tcPr>
            <w:tcW w:w="800"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eastAsia="宋体" w:cs="宋体"/>
                <w:color w:val="000000"/>
                <w:kern w:val="0"/>
                <w:sz w:val="16"/>
                <w:szCs w:val="16"/>
              </w:rPr>
            </w:pPr>
            <w:r>
              <w:rPr>
                <w:rFonts w:hint="eastAsia" w:ascii="宋体" w:eastAsia="宋体" w:cs="宋体"/>
                <w:color w:val="000000"/>
                <w:kern w:val="0"/>
                <w:sz w:val="16"/>
                <w:szCs w:val="16"/>
              </w:rPr>
              <w:t>1</w:t>
            </w:r>
          </w:p>
        </w:tc>
        <w:tc>
          <w:tcPr>
            <w:tcW w:w="1160" w:type="dxa"/>
            <w:vMerge w:val="continue"/>
            <w:tcBorders>
              <w:top w:val="nil"/>
              <w:left w:val="single" w:color="000000" w:sz="4" w:space="0"/>
              <w:bottom w:val="single" w:color="000000" w:sz="4" w:space="0"/>
              <w:right w:val="single" w:color="000000" w:sz="4" w:space="0"/>
            </w:tcBorders>
            <w:vAlign w:val="center"/>
          </w:tcPr>
          <w:p/>
        </w:tc>
      </w:tr>
      <w:tr>
        <w:tblPrEx>
          <w:tblCellMar>
            <w:top w:w="0" w:type="dxa"/>
            <w:left w:w="108" w:type="dxa"/>
            <w:bottom w:w="0" w:type="dxa"/>
            <w:right w:w="108" w:type="dxa"/>
          </w:tblCellMar>
        </w:tblPrEx>
        <w:trPr>
          <w:trHeight w:val="288" w:hRule="atLeast"/>
          <w:jc w:val="center"/>
        </w:trPr>
        <w:tc>
          <w:tcPr>
            <w:tcW w:w="840" w:type="dxa"/>
            <w:vMerge w:val="continue"/>
            <w:tcBorders>
              <w:top w:val="single" w:color="000000" w:sz="4" w:space="0"/>
              <w:left w:val="single" w:color="000000" w:sz="4" w:space="0"/>
              <w:bottom w:val="single" w:color="000000" w:sz="4" w:space="0"/>
              <w:right w:val="single" w:color="000000" w:sz="4" w:space="0"/>
            </w:tcBorders>
            <w:vAlign w:val="center"/>
          </w:tcPr>
          <w:p/>
        </w:tc>
        <w:tc>
          <w:tcPr>
            <w:tcW w:w="1180"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宋体" w:eastAsia="宋体" w:cs="宋体"/>
                <w:color w:val="000000"/>
                <w:kern w:val="0"/>
                <w:sz w:val="16"/>
                <w:szCs w:val="16"/>
              </w:rPr>
            </w:pPr>
            <w:r>
              <w:rPr>
                <w:rFonts w:hint="eastAsia" w:ascii="宋体" w:eastAsia="宋体" w:cs="宋体"/>
                <w:color w:val="000000"/>
                <w:kern w:val="0"/>
                <w:sz w:val="16"/>
                <w:szCs w:val="16"/>
              </w:rPr>
              <w:t>其他</w:t>
            </w:r>
          </w:p>
        </w:tc>
        <w:tc>
          <w:tcPr>
            <w:tcW w:w="980"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Calibri" w:hAnsi="Calibri" w:eastAsia="宋体" w:cs="宋体"/>
                <w:color w:val="000000"/>
                <w:kern w:val="0"/>
                <w:szCs w:val="21"/>
              </w:rPr>
            </w:pPr>
            <w:r>
              <w:rPr>
                <w:rFonts w:ascii="Calibri" w:hAnsi="Calibri" w:eastAsia="宋体" w:cs="宋体"/>
                <w:color w:val="000000"/>
                <w:kern w:val="0"/>
                <w:szCs w:val="21"/>
              </w:rPr>
              <w:t>　</w:t>
            </w:r>
          </w:p>
        </w:tc>
        <w:tc>
          <w:tcPr>
            <w:tcW w:w="1060"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eastAsia="宋体" w:cs="宋体"/>
                <w:color w:val="000000"/>
                <w:kern w:val="0"/>
                <w:sz w:val="16"/>
                <w:szCs w:val="16"/>
              </w:rPr>
            </w:pPr>
            <w:r>
              <w:rPr>
                <w:rFonts w:hint="eastAsia" w:ascii="宋体" w:eastAsia="宋体" w:cs="宋体"/>
                <w:color w:val="000000"/>
                <w:kern w:val="0"/>
                <w:sz w:val="16"/>
                <w:szCs w:val="16"/>
              </w:rPr>
              <w:t>其他</w:t>
            </w:r>
          </w:p>
        </w:tc>
        <w:tc>
          <w:tcPr>
            <w:tcW w:w="1020"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eastAsia="宋体" w:cs="宋体"/>
                <w:color w:val="000000"/>
                <w:kern w:val="0"/>
                <w:sz w:val="16"/>
                <w:szCs w:val="16"/>
              </w:rPr>
            </w:pPr>
            <w:r>
              <w:rPr>
                <w:rFonts w:hint="eastAsia" w:ascii="宋体" w:eastAsia="宋体" w:cs="宋体"/>
                <w:color w:val="000000"/>
                <w:kern w:val="0"/>
                <w:sz w:val="16"/>
                <w:szCs w:val="16"/>
              </w:rPr>
              <w:t>　</w:t>
            </w:r>
          </w:p>
        </w:tc>
        <w:tc>
          <w:tcPr>
            <w:tcW w:w="760"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eastAsia="宋体" w:cs="宋体"/>
                <w:color w:val="000000"/>
                <w:kern w:val="0"/>
                <w:sz w:val="16"/>
                <w:szCs w:val="16"/>
              </w:rPr>
            </w:pPr>
            <w:r>
              <w:rPr>
                <w:rFonts w:hint="eastAsia" w:ascii="宋体" w:eastAsia="宋体" w:cs="宋体"/>
                <w:color w:val="000000"/>
                <w:kern w:val="0"/>
                <w:sz w:val="16"/>
                <w:szCs w:val="16"/>
              </w:rPr>
              <w:t>其他</w:t>
            </w:r>
          </w:p>
        </w:tc>
        <w:tc>
          <w:tcPr>
            <w:tcW w:w="800"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eastAsia="宋体" w:cs="宋体"/>
                <w:color w:val="000000"/>
                <w:kern w:val="0"/>
                <w:sz w:val="16"/>
                <w:szCs w:val="16"/>
              </w:rPr>
            </w:pPr>
            <w:r>
              <w:rPr>
                <w:rFonts w:hint="eastAsia" w:ascii="宋体" w:eastAsia="宋体" w:cs="宋体"/>
                <w:color w:val="000000"/>
                <w:kern w:val="0"/>
                <w:sz w:val="16"/>
                <w:szCs w:val="16"/>
              </w:rPr>
              <w:t>　</w:t>
            </w:r>
          </w:p>
        </w:tc>
        <w:tc>
          <w:tcPr>
            <w:tcW w:w="1160" w:type="dxa"/>
            <w:vMerge w:val="continue"/>
            <w:tcBorders>
              <w:top w:val="nil"/>
              <w:left w:val="single" w:color="000000" w:sz="4" w:space="0"/>
              <w:bottom w:val="single" w:color="000000" w:sz="4" w:space="0"/>
              <w:right w:val="single" w:color="000000" w:sz="4" w:space="0"/>
            </w:tcBorders>
            <w:vAlign w:val="center"/>
          </w:tcPr>
          <w:p/>
        </w:tc>
      </w:tr>
      <w:tr>
        <w:tblPrEx>
          <w:tblCellMar>
            <w:top w:w="0" w:type="dxa"/>
            <w:left w:w="108" w:type="dxa"/>
            <w:bottom w:w="0" w:type="dxa"/>
            <w:right w:w="108" w:type="dxa"/>
          </w:tblCellMar>
        </w:tblPrEx>
        <w:trPr>
          <w:trHeight w:val="288" w:hRule="atLeast"/>
          <w:jc w:val="center"/>
        </w:trPr>
        <w:tc>
          <w:tcPr>
            <w:tcW w:w="84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center"/>
              <w:rPr>
                <w:rFonts w:ascii="宋体" w:eastAsia="宋体" w:cs="宋体"/>
                <w:color w:val="000000"/>
                <w:kern w:val="0"/>
                <w:sz w:val="16"/>
                <w:szCs w:val="16"/>
              </w:rPr>
            </w:pPr>
            <w:r>
              <w:rPr>
                <w:rFonts w:hint="eastAsia" w:ascii="宋体" w:eastAsia="宋体" w:cs="宋体"/>
                <w:color w:val="000000"/>
                <w:kern w:val="0"/>
                <w:sz w:val="16"/>
                <w:szCs w:val="16"/>
              </w:rPr>
              <w:t>三、目标完成情况</w:t>
            </w:r>
          </w:p>
        </w:tc>
        <w:tc>
          <w:tcPr>
            <w:tcW w:w="3220" w:type="dxa"/>
            <w:gridSpan w:val="3"/>
            <w:tcBorders>
              <w:top w:val="single" w:color="000000" w:sz="4" w:space="0"/>
              <w:left w:val="nil"/>
              <w:bottom w:val="single" w:color="000000" w:sz="4" w:space="0"/>
              <w:right w:val="single" w:color="000000" w:sz="4" w:space="0"/>
            </w:tcBorders>
            <w:shd w:val="clear" w:color="auto" w:fill="auto"/>
            <w:vAlign w:val="center"/>
          </w:tcPr>
          <w:p>
            <w:pPr>
              <w:widowControl/>
              <w:spacing w:line="200" w:lineRule="exact"/>
              <w:jc w:val="center"/>
              <w:rPr>
                <w:rFonts w:ascii="宋体" w:eastAsia="宋体" w:cs="宋体"/>
                <w:color w:val="000000"/>
                <w:kern w:val="0"/>
                <w:sz w:val="16"/>
                <w:szCs w:val="16"/>
              </w:rPr>
            </w:pPr>
            <w:r>
              <w:rPr>
                <w:rFonts w:hint="eastAsia" w:ascii="宋体" w:eastAsia="宋体" w:cs="宋体"/>
                <w:color w:val="000000"/>
                <w:kern w:val="0"/>
                <w:sz w:val="16"/>
                <w:szCs w:val="16"/>
              </w:rPr>
              <w:t>年度预期目标</w:t>
            </w:r>
          </w:p>
        </w:tc>
        <w:tc>
          <w:tcPr>
            <w:tcW w:w="2580" w:type="dxa"/>
            <w:gridSpan w:val="3"/>
            <w:tcBorders>
              <w:top w:val="single" w:color="000000" w:sz="4" w:space="0"/>
              <w:left w:val="nil"/>
              <w:bottom w:val="single" w:color="000000" w:sz="4" w:space="0"/>
              <w:right w:val="single" w:color="000000" w:sz="4" w:space="0"/>
            </w:tcBorders>
            <w:shd w:val="clear" w:color="auto" w:fill="auto"/>
            <w:vAlign w:val="center"/>
          </w:tcPr>
          <w:p>
            <w:pPr>
              <w:widowControl/>
              <w:spacing w:line="200" w:lineRule="exact"/>
              <w:jc w:val="center"/>
              <w:rPr>
                <w:rFonts w:ascii="宋体" w:eastAsia="宋体" w:cs="宋体"/>
                <w:color w:val="000000"/>
                <w:kern w:val="0"/>
                <w:sz w:val="16"/>
                <w:szCs w:val="16"/>
              </w:rPr>
            </w:pPr>
            <w:r>
              <w:rPr>
                <w:rFonts w:hint="eastAsia" w:ascii="宋体" w:eastAsia="宋体" w:cs="宋体"/>
                <w:color w:val="000000"/>
                <w:kern w:val="0"/>
                <w:sz w:val="16"/>
                <w:szCs w:val="16"/>
              </w:rPr>
              <w:t>具体完成情况</w:t>
            </w:r>
          </w:p>
        </w:tc>
        <w:tc>
          <w:tcPr>
            <w:tcW w:w="1160"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eastAsia="宋体" w:cs="宋体"/>
                <w:color w:val="000000"/>
                <w:kern w:val="0"/>
                <w:sz w:val="16"/>
                <w:szCs w:val="16"/>
              </w:rPr>
            </w:pPr>
            <w:r>
              <w:rPr>
                <w:rFonts w:hint="eastAsia" w:ascii="宋体" w:eastAsia="宋体" w:cs="宋体"/>
                <w:color w:val="000000"/>
                <w:kern w:val="0"/>
                <w:sz w:val="16"/>
                <w:szCs w:val="16"/>
              </w:rPr>
              <w:t>总体完成率</w:t>
            </w:r>
          </w:p>
        </w:tc>
      </w:tr>
      <w:tr>
        <w:tblPrEx>
          <w:tblCellMar>
            <w:top w:w="0" w:type="dxa"/>
            <w:left w:w="108" w:type="dxa"/>
            <w:bottom w:w="0" w:type="dxa"/>
            <w:right w:w="108" w:type="dxa"/>
          </w:tblCellMar>
        </w:tblPrEx>
        <w:trPr>
          <w:trHeight w:val="624" w:hRule="atLeast"/>
          <w:jc w:val="center"/>
        </w:trPr>
        <w:tc>
          <w:tcPr>
            <w:tcW w:w="840" w:type="dxa"/>
            <w:vMerge w:val="continue"/>
            <w:tcBorders>
              <w:top w:val="nil"/>
              <w:left w:val="single" w:color="000000" w:sz="4" w:space="0"/>
              <w:bottom w:val="single" w:color="000000" w:sz="4" w:space="0"/>
              <w:right w:val="single" w:color="000000" w:sz="4" w:space="0"/>
            </w:tcBorders>
            <w:vAlign w:val="center"/>
          </w:tcPr>
          <w:p/>
        </w:tc>
        <w:tc>
          <w:tcPr>
            <w:tcW w:w="3220"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left"/>
              <w:rPr>
                <w:rFonts w:ascii="宋体" w:eastAsia="宋体" w:cs="宋体"/>
                <w:color w:val="000000"/>
                <w:kern w:val="0"/>
                <w:sz w:val="16"/>
                <w:szCs w:val="16"/>
              </w:rPr>
            </w:pPr>
            <w:r>
              <w:rPr>
                <w:rFonts w:hint="eastAsia" w:ascii="宋体" w:eastAsia="宋体" w:cs="宋体"/>
                <w:color w:val="000000"/>
                <w:kern w:val="0"/>
                <w:sz w:val="16"/>
                <w:szCs w:val="16"/>
              </w:rPr>
              <w:t>协助相关安全部门搞好安全生产宣传,提高青少年安全意识</w:t>
            </w:r>
          </w:p>
        </w:tc>
        <w:tc>
          <w:tcPr>
            <w:tcW w:w="2580"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left"/>
              <w:rPr>
                <w:rFonts w:ascii="宋体" w:eastAsia="宋体" w:cs="宋体"/>
                <w:color w:val="000000"/>
                <w:kern w:val="0"/>
                <w:sz w:val="16"/>
                <w:szCs w:val="16"/>
              </w:rPr>
            </w:pPr>
            <w:r>
              <w:rPr>
                <w:rFonts w:hint="eastAsia" w:ascii="宋体" w:eastAsia="宋体" w:cs="宋体"/>
                <w:color w:val="000000"/>
                <w:kern w:val="0"/>
                <w:sz w:val="16"/>
                <w:szCs w:val="16"/>
              </w:rPr>
              <w:t>完成年初既定工作任务</w:t>
            </w:r>
          </w:p>
        </w:tc>
        <w:tc>
          <w:tcPr>
            <w:tcW w:w="116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center"/>
              <w:rPr>
                <w:rFonts w:ascii="宋体" w:eastAsia="宋体" w:cs="宋体"/>
                <w:color w:val="000000"/>
                <w:kern w:val="0"/>
                <w:sz w:val="16"/>
                <w:szCs w:val="16"/>
              </w:rPr>
            </w:pPr>
            <w:r>
              <w:rPr>
                <w:rFonts w:hint="eastAsia" w:ascii="宋体" w:eastAsia="宋体" w:cs="宋体"/>
                <w:color w:val="000000"/>
                <w:kern w:val="0"/>
                <w:sz w:val="16"/>
                <w:szCs w:val="16"/>
              </w:rPr>
              <w:t>100%</w:t>
            </w:r>
          </w:p>
        </w:tc>
      </w:tr>
      <w:tr>
        <w:tblPrEx>
          <w:tblCellMar>
            <w:top w:w="0" w:type="dxa"/>
            <w:left w:w="108" w:type="dxa"/>
            <w:bottom w:w="0" w:type="dxa"/>
            <w:right w:w="108" w:type="dxa"/>
          </w:tblCellMar>
        </w:tblPrEx>
        <w:trPr>
          <w:trHeight w:val="624" w:hRule="atLeast"/>
          <w:jc w:val="center"/>
        </w:trPr>
        <w:tc>
          <w:tcPr>
            <w:tcW w:w="840" w:type="dxa"/>
            <w:vMerge w:val="continue"/>
            <w:tcBorders>
              <w:top w:val="nil"/>
              <w:left w:val="single" w:color="000000" w:sz="4" w:space="0"/>
              <w:bottom w:val="single" w:color="000000" w:sz="4" w:space="0"/>
              <w:right w:val="single" w:color="000000" w:sz="4" w:space="0"/>
            </w:tcBorders>
            <w:vAlign w:val="center"/>
          </w:tcPr>
          <w:p/>
        </w:tc>
        <w:tc>
          <w:tcPr>
            <w:tcW w:w="3220" w:type="dxa"/>
            <w:gridSpan w:val="3"/>
            <w:vMerge w:val="continue"/>
            <w:tcBorders>
              <w:top w:val="single" w:color="000000" w:sz="4" w:space="0"/>
              <w:left w:val="single" w:color="000000" w:sz="4" w:space="0"/>
              <w:bottom w:val="single" w:color="000000" w:sz="4" w:space="0"/>
              <w:right w:val="single" w:color="000000" w:sz="4" w:space="0"/>
            </w:tcBorders>
            <w:vAlign w:val="center"/>
          </w:tcPr>
          <w:p/>
        </w:tc>
        <w:tc>
          <w:tcPr>
            <w:tcW w:w="2580" w:type="dxa"/>
            <w:gridSpan w:val="3"/>
            <w:vMerge w:val="continue"/>
            <w:tcBorders>
              <w:top w:val="single" w:color="000000" w:sz="4" w:space="0"/>
              <w:left w:val="single" w:color="000000" w:sz="4" w:space="0"/>
              <w:bottom w:val="single" w:color="000000" w:sz="4" w:space="0"/>
              <w:right w:val="single" w:color="000000" w:sz="4" w:space="0"/>
            </w:tcBorders>
            <w:vAlign w:val="center"/>
          </w:tcPr>
          <w:p/>
        </w:tc>
        <w:tc>
          <w:tcPr>
            <w:tcW w:w="1160" w:type="dxa"/>
            <w:vMerge w:val="continue"/>
            <w:tcBorders>
              <w:top w:val="nil"/>
              <w:left w:val="single" w:color="000000" w:sz="4" w:space="0"/>
              <w:bottom w:val="single" w:color="000000" w:sz="4" w:space="0"/>
              <w:right w:val="single" w:color="000000" w:sz="4" w:space="0"/>
            </w:tcBorders>
            <w:vAlign w:val="center"/>
          </w:tcPr>
          <w:p/>
        </w:tc>
      </w:tr>
      <w:tr>
        <w:tblPrEx>
          <w:tblCellMar>
            <w:top w:w="0" w:type="dxa"/>
            <w:left w:w="108" w:type="dxa"/>
            <w:bottom w:w="0" w:type="dxa"/>
            <w:right w:w="108" w:type="dxa"/>
          </w:tblCellMar>
        </w:tblPrEx>
        <w:trPr>
          <w:trHeight w:val="918" w:hRule="atLeast"/>
          <w:jc w:val="center"/>
        </w:trPr>
        <w:tc>
          <w:tcPr>
            <w:tcW w:w="840" w:type="dxa"/>
            <w:vMerge w:val="continue"/>
            <w:tcBorders>
              <w:top w:val="nil"/>
              <w:left w:val="single" w:color="000000" w:sz="4" w:space="0"/>
              <w:bottom w:val="single" w:color="000000" w:sz="4" w:space="0"/>
              <w:right w:val="single" w:color="000000" w:sz="4" w:space="0"/>
            </w:tcBorders>
            <w:vAlign w:val="center"/>
          </w:tcPr>
          <w:p/>
        </w:tc>
        <w:tc>
          <w:tcPr>
            <w:tcW w:w="3220" w:type="dxa"/>
            <w:gridSpan w:val="3"/>
            <w:vMerge w:val="continue"/>
            <w:tcBorders>
              <w:top w:val="single" w:color="000000" w:sz="4" w:space="0"/>
              <w:left w:val="single" w:color="000000" w:sz="4" w:space="0"/>
              <w:bottom w:val="single" w:color="000000" w:sz="4" w:space="0"/>
              <w:right w:val="single" w:color="000000" w:sz="4" w:space="0"/>
            </w:tcBorders>
            <w:vAlign w:val="center"/>
          </w:tcPr>
          <w:p/>
        </w:tc>
        <w:tc>
          <w:tcPr>
            <w:tcW w:w="2580" w:type="dxa"/>
            <w:gridSpan w:val="3"/>
            <w:vMerge w:val="continue"/>
            <w:tcBorders>
              <w:top w:val="single" w:color="000000" w:sz="4" w:space="0"/>
              <w:left w:val="single" w:color="000000" w:sz="4" w:space="0"/>
              <w:bottom w:val="single" w:color="000000" w:sz="4" w:space="0"/>
              <w:right w:val="single" w:color="000000" w:sz="4" w:space="0"/>
            </w:tcBorders>
            <w:vAlign w:val="center"/>
          </w:tcPr>
          <w:p/>
        </w:tc>
        <w:tc>
          <w:tcPr>
            <w:tcW w:w="1160" w:type="dxa"/>
            <w:vMerge w:val="continue"/>
            <w:tcBorders>
              <w:top w:val="nil"/>
              <w:left w:val="single" w:color="000000" w:sz="4" w:space="0"/>
              <w:bottom w:val="single" w:color="000000" w:sz="4" w:space="0"/>
              <w:right w:val="single" w:color="000000" w:sz="4" w:space="0"/>
            </w:tcBorders>
            <w:vAlign w:val="center"/>
          </w:tcPr>
          <w:p/>
        </w:tc>
      </w:tr>
      <w:tr>
        <w:tblPrEx>
          <w:tblCellMar>
            <w:top w:w="0" w:type="dxa"/>
            <w:left w:w="108" w:type="dxa"/>
            <w:bottom w:w="0" w:type="dxa"/>
            <w:right w:w="108" w:type="dxa"/>
          </w:tblCellMar>
        </w:tblPrEx>
        <w:trPr>
          <w:trHeight w:val="384" w:hRule="atLeast"/>
          <w:jc w:val="center"/>
        </w:trPr>
        <w:tc>
          <w:tcPr>
            <w:tcW w:w="840" w:type="dxa"/>
            <w:vMerge w:val="restart"/>
            <w:tcBorders>
              <w:top w:val="nil"/>
              <w:left w:val="single" w:color="auto" w:sz="4" w:space="0"/>
              <w:bottom w:val="single" w:color="000000" w:sz="4" w:space="0"/>
              <w:right w:val="nil"/>
            </w:tcBorders>
            <w:shd w:val="clear" w:color="auto" w:fill="auto"/>
            <w:vAlign w:val="center"/>
          </w:tcPr>
          <w:p>
            <w:pPr>
              <w:widowControl/>
              <w:spacing w:line="200" w:lineRule="exact"/>
              <w:jc w:val="center"/>
              <w:rPr>
                <w:rFonts w:ascii="宋体" w:eastAsia="宋体" w:cs="宋体"/>
                <w:color w:val="000000"/>
                <w:kern w:val="0"/>
                <w:sz w:val="16"/>
                <w:szCs w:val="16"/>
              </w:rPr>
            </w:pPr>
            <w:r>
              <w:rPr>
                <w:rFonts w:hint="eastAsia" w:ascii="宋体" w:eastAsia="宋体" w:cs="宋体"/>
                <w:color w:val="000000"/>
                <w:kern w:val="0"/>
                <w:sz w:val="16"/>
                <w:szCs w:val="16"/>
              </w:rPr>
              <w:t>四、</w:t>
            </w:r>
            <w:r>
              <w:rPr>
                <w:rFonts w:ascii="Calibri" w:hAnsi="Calibri" w:eastAsia="宋体" w:cs="宋体"/>
                <w:color w:val="000000"/>
                <w:kern w:val="0"/>
                <w:sz w:val="16"/>
                <w:szCs w:val="16"/>
              </w:rPr>
              <w:t> </w:t>
            </w:r>
            <w:r>
              <w:rPr>
                <w:rFonts w:hint="eastAsia" w:ascii="宋体" w:eastAsia="宋体" w:cs="宋体"/>
                <w:color w:val="000000"/>
                <w:kern w:val="0"/>
                <w:sz w:val="16"/>
                <w:szCs w:val="16"/>
              </w:rPr>
              <w:t>年度绩效指标完成情况</w:t>
            </w:r>
          </w:p>
        </w:tc>
        <w:tc>
          <w:tcPr>
            <w:tcW w:w="1180" w:type="dxa"/>
            <w:tcBorders>
              <w:top w:val="nil"/>
              <w:left w:val="single" w:color="000000" w:sz="4" w:space="0"/>
              <w:bottom w:val="nil"/>
              <w:right w:val="single" w:color="000000" w:sz="4" w:space="0"/>
            </w:tcBorders>
            <w:shd w:val="clear" w:color="auto" w:fill="auto"/>
            <w:vAlign w:val="center"/>
          </w:tcPr>
          <w:p>
            <w:pPr>
              <w:widowControl/>
              <w:spacing w:line="200" w:lineRule="exact"/>
              <w:jc w:val="center"/>
              <w:rPr>
                <w:rFonts w:ascii="宋体" w:eastAsia="宋体" w:cs="宋体"/>
                <w:color w:val="000000"/>
                <w:kern w:val="0"/>
                <w:sz w:val="16"/>
                <w:szCs w:val="16"/>
              </w:rPr>
            </w:pPr>
            <w:r>
              <w:rPr>
                <w:rFonts w:hint="eastAsia" w:ascii="宋体" w:eastAsia="宋体" w:cs="宋体"/>
                <w:color w:val="000000"/>
                <w:kern w:val="0"/>
                <w:sz w:val="16"/>
                <w:szCs w:val="16"/>
              </w:rPr>
              <w:t>一级指标</w:t>
            </w:r>
          </w:p>
        </w:tc>
        <w:tc>
          <w:tcPr>
            <w:tcW w:w="980" w:type="dxa"/>
            <w:tcBorders>
              <w:top w:val="nil"/>
              <w:left w:val="nil"/>
              <w:bottom w:val="nil"/>
              <w:right w:val="single" w:color="000000" w:sz="4" w:space="0"/>
            </w:tcBorders>
            <w:shd w:val="clear" w:color="auto" w:fill="auto"/>
            <w:vAlign w:val="center"/>
          </w:tcPr>
          <w:p>
            <w:pPr>
              <w:widowControl/>
              <w:spacing w:line="200" w:lineRule="exact"/>
              <w:jc w:val="center"/>
              <w:rPr>
                <w:rFonts w:ascii="宋体" w:eastAsia="宋体" w:cs="宋体"/>
                <w:color w:val="000000"/>
                <w:kern w:val="0"/>
                <w:sz w:val="16"/>
                <w:szCs w:val="16"/>
              </w:rPr>
            </w:pPr>
            <w:r>
              <w:rPr>
                <w:rFonts w:hint="eastAsia" w:ascii="宋体" w:eastAsia="宋体" w:cs="宋体"/>
                <w:color w:val="000000"/>
                <w:kern w:val="0"/>
                <w:sz w:val="16"/>
                <w:szCs w:val="16"/>
              </w:rPr>
              <w:t>二级指标</w:t>
            </w:r>
          </w:p>
        </w:tc>
        <w:tc>
          <w:tcPr>
            <w:tcW w:w="2080" w:type="dxa"/>
            <w:gridSpan w:val="2"/>
            <w:tcBorders>
              <w:top w:val="single" w:color="000000" w:sz="4" w:space="0"/>
              <w:left w:val="nil"/>
              <w:bottom w:val="nil"/>
              <w:right w:val="single" w:color="000000" w:sz="4" w:space="0"/>
            </w:tcBorders>
            <w:shd w:val="clear" w:color="auto" w:fill="auto"/>
            <w:vAlign w:val="center"/>
          </w:tcPr>
          <w:p>
            <w:pPr>
              <w:widowControl/>
              <w:spacing w:line="200" w:lineRule="exact"/>
              <w:jc w:val="center"/>
              <w:rPr>
                <w:rFonts w:ascii="宋体" w:eastAsia="宋体" w:cs="宋体"/>
                <w:color w:val="000000"/>
                <w:kern w:val="0"/>
                <w:sz w:val="16"/>
                <w:szCs w:val="16"/>
              </w:rPr>
            </w:pPr>
            <w:r>
              <w:rPr>
                <w:rFonts w:hint="eastAsia" w:ascii="宋体" w:eastAsia="宋体" w:cs="宋体"/>
                <w:color w:val="000000"/>
                <w:kern w:val="0"/>
                <w:sz w:val="16"/>
                <w:szCs w:val="16"/>
              </w:rPr>
              <w:t>三级指标</w:t>
            </w:r>
          </w:p>
        </w:tc>
        <w:tc>
          <w:tcPr>
            <w:tcW w:w="760"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eastAsia="宋体" w:cs="宋体"/>
                <w:color w:val="000000"/>
                <w:kern w:val="0"/>
                <w:sz w:val="16"/>
                <w:szCs w:val="16"/>
              </w:rPr>
            </w:pPr>
            <w:r>
              <w:rPr>
                <w:rFonts w:hint="eastAsia" w:ascii="宋体" w:eastAsia="宋体" w:cs="宋体"/>
                <w:color w:val="000000"/>
                <w:kern w:val="0"/>
                <w:sz w:val="16"/>
                <w:szCs w:val="16"/>
              </w:rPr>
              <w:t>预期指标值</w:t>
            </w:r>
          </w:p>
        </w:tc>
        <w:tc>
          <w:tcPr>
            <w:tcW w:w="800"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eastAsia="宋体" w:cs="宋体"/>
                <w:color w:val="000000"/>
                <w:kern w:val="0"/>
                <w:sz w:val="16"/>
                <w:szCs w:val="16"/>
              </w:rPr>
            </w:pPr>
            <w:r>
              <w:rPr>
                <w:rFonts w:hint="eastAsia" w:ascii="宋体" w:eastAsia="宋体" w:cs="宋体"/>
                <w:color w:val="000000"/>
                <w:kern w:val="0"/>
                <w:sz w:val="16"/>
                <w:szCs w:val="16"/>
              </w:rPr>
              <w:t>实际完成值</w:t>
            </w:r>
          </w:p>
        </w:tc>
        <w:tc>
          <w:tcPr>
            <w:tcW w:w="1160"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eastAsia="宋体" w:cs="宋体"/>
                <w:color w:val="000000"/>
                <w:kern w:val="0"/>
                <w:sz w:val="16"/>
                <w:szCs w:val="16"/>
              </w:rPr>
            </w:pPr>
            <w:r>
              <w:rPr>
                <w:rFonts w:hint="eastAsia" w:ascii="宋体" w:eastAsia="宋体" w:cs="宋体"/>
                <w:color w:val="000000"/>
                <w:kern w:val="0"/>
                <w:sz w:val="16"/>
                <w:szCs w:val="16"/>
              </w:rPr>
              <w:t>自评得分</w:t>
            </w:r>
          </w:p>
        </w:tc>
      </w:tr>
      <w:tr>
        <w:tblPrEx>
          <w:tblCellMar>
            <w:top w:w="0" w:type="dxa"/>
            <w:left w:w="108" w:type="dxa"/>
            <w:bottom w:w="0" w:type="dxa"/>
            <w:right w:w="108" w:type="dxa"/>
          </w:tblCellMar>
        </w:tblPrEx>
        <w:trPr>
          <w:trHeight w:val="615" w:hRule="atLeast"/>
          <w:jc w:val="center"/>
        </w:trPr>
        <w:tc>
          <w:tcPr>
            <w:tcW w:w="840" w:type="dxa"/>
            <w:vMerge w:val="continue"/>
            <w:tcBorders>
              <w:top w:val="nil"/>
              <w:left w:val="single" w:color="auto" w:sz="4" w:space="0"/>
              <w:bottom w:val="single" w:color="000000" w:sz="4" w:space="0"/>
              <w:right w:val="nil"/>
            </w:tcBorders>
            <w:vAlign w:val="center"/>
          </w:tcPr>
          <w:p/>
        </w:tc>
        <w:tc>
          <w:tcPr>
            <w:tcW w:w="11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ascii="宋体" w:eastAsia="宋体" w:cs="宋体"/>
                <w:color w:val="000000"/>
                <w:kern w:val="0"/>
                <w:sz w:val="16"/>
                <w:szCs w:val="16"/>
              </w:rPr>
            </w:pPr>
            <w:r>
              <w:rPr>
                <w:rFonts w:hint="eastAsia" w:ascii="宋体" w:eastAsia="宋体" w:cs="宋体"/>
                <w:color w:val="000000"/>
                <w:kern w:val="0"/>
                <w:sz w:val="16"/>
                <w:szCs w:val="16"/>
              </w:rPr>
              <w:t>产出指标（50）</w:t>
            </w:r>
          </w:p>
        </w:tc>
        <w:tc>
          <w:tcPr>
            <w:tcW w:w="980" w:type="dxa"/>
            <w:tcBorders>
              <w:top w:val="single" w:color="auto" w:sz="4" w:space="0"/>
              <w:left w:val="nil"/>
              <w:bottom w:val="single" w:color="auto" w:sz="4" w:space="0"/>
              <w:right w:val="single" w:color="auto" w:sz="4" w:space="0"/>
            </w:tcBorders>
            <w:shd w:val="clear" w:color="auto" w:fill="auto"/>
            <w:vAlign w:val="center"/>
          </w:tcPr>
          <w:p>
            <w:pPr>
              <w:widowControl/>
              <w:spacing w:line="200" w:lineRule="exact"/>
              <w:jc w:val="left"/>
              <w:rPr>
                <w:rFonts w:ascii="宋体" w:eastAsia="宋体" w:cs="宋体"/>
                <w:color w:val="000000"/>
                <w:kern w:val="0"/>
                <w:sz w:val="16"/>
                <w:szCs w:val="16"/>
              </w:rPr>
            </w:pPr>
            <w:r>
              <w:rPr>
                <w:rFonts w:hint="eastAsia" w:ascii="宋体" w:eastAsia="宋体" w:cs="宋体"/>
                <w:color w:val="000000"/>
                <w:kern w:val="0"/>
                <w:sz w:val="16"/>
                <w:szCs w:val="16"/>
              </w:rPr>
              <w:t>数量指标</w:t>
            </w:r>
          </w:p>
        </w:tc>
        <w:tc>
          <w:tcPr>
            <w:tcW w:w="20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left"/>
              <w:rPr>
                <w:rFonts w:ascii="宋体" w:eastAsia="宋体" w:cs="宋体"/>
                <w:color w:val="000000"/>
                <w:kern w:val="0"/>
                <w:sz w:val="16"/>
                <w:szCs w:val="16"/>
              </w:rPr>
            </w:pPr>
            <w:r>
              <w:rPr>
                <w:rFonts w:hint="eastAsia" w:ascii="宋体" w:eastAsia="宋体" w:cs="宋体"/>
                <w:color w:val="000000"/>
                <w:kern w:val="0"/>
                <w:sz w:val="16"/>
                <w:szCs w:val="16"/>
              </w:rPr>
              <w:t>安全生产示范企业数</w:t>
            </w:r>
          </w:p>
        </w:tc>
        <w:tc>
          <w:tcPr>
            <w:tcW w:w="760"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eastAsia="宋体" w:cs="宋体"/>
                <w:color w:val="000000"/>
                <w:kern w:val="0"/>
                <w:sz w:val="16"/>
                <w:szCs w:val="16"/>
              </w:rPr>
            </w:pPr>
            <w:r>
              <w:rPr>
                <w:rFonts w:hint="eastAsia" w:ascii="宋体" w:eastAsia="宋体" w:cs="宋体"/>
                <w:color w:val="000000"/>
                <w:kern w:val="0"/>
                <w:sz w:val="16"/>
                <w:szCs w:val="16"/>
              </w:rPr>
              <w:t>≤10个</w:t>
            </w:r>
          </w:p>
        </w:tc>
        <w:tc>
          <w:tcPr>
            <w:tcW w:w="800"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eastAsia="宋体" w:cs="宋体"/>
                <w:color w:val="000000"/>
                <w:kern w:val="0"/>
                <w:sz w:val="16"/>
                <w:szCs w:val="16"/>
              </w:rPr>
            </w:pPr>
            <w:r>
              <w:rPr>
                <w:rFonts w:hint="eastAsia" w:ascii="宋体" w:eastAsia="宋体" w:cs="宋体"/>
                <w:color w:val="000000"/>
                <w:kern w:val="0"/>
                <w:sz w:val="16"/>
                <w:szCs w:val="16"/>
              </w:rPr>
              <w:t>11个</w:t>
            </w:r>
          </w:p>
        </w:tc>
        <w:tc>
          <w:tcPr>
            <w:tcW w:w="1160"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eastAsia="宋体" w:cs="宋体"/>
                <w:color w:val="000000"/>
                <w:kern w:val="0"/>
                <w:sz w:val="16"/>
                <w:szCs w:val="16"/>
              </w:rPr>
            </w:pPr>
            <w:r>
              <w:rPr>
                <w:rFonts w:hint="eastAsia" w:ascii="宋体" w:eastAsia="宋体" w:cs="宋体"/>
                <w:color w:val="000000"/>
                <w:kern w:val="0"/>
                <w:sz w:val="16"/>
                <w:szCs w:val="16"/>
              </w:rPr>
              <w:t>30</w:t>
            </w:r>
          </w:p>
        </w:tc>
      </w:tr>
      <w:tr>
        <w:tblPrEx>
          <w:tblCellMar>
            <w:top w:w="0" w:type="dxa"/>
            <w:left w:w="108" w:type="dxa"/>
            <w:bottom w:w="0" w:type="dxa"/>
            <w:right w:w="108" w:type="dxa"/>
          </w:tblCellMar>
        </w:tblPrEx>
        <w:trPr>
          <w:trHeight w:val="780" w:hRule="atLeast"/>
          <w:jc w:val="center"/>
        </w:trPr>
        <w:tc>
          <w:tcPr>
            <w:tcW w:w="840" w:type="dxa"/>
            <w:vMerge w:val="continue"/>
            <w:tcBorders>
              <w:top w:val="nil"/>
              <w:left w:val="single" w:color="auto" w:sz="4" w:space="0"/>
              <w:bottom w:val="single" w:color="000000" w:sz="4" w:space="0"/>
              <w:right w:val="nil"/>
            </w:tcBorders>
            <w:vAlign w:val="center"/>
          </w:tcPr>
          <w:p/>
        </w:tc>
        <w:tc>
          <w:tcPr>
            <w:tcW w:w="1180" w:type="dxa"/>
            <w:vMerge w:val="continue"/>
            <w:tcBorders>
              <w:top w:val="single" w:color="auto" w:sz="4" w:space="0"/>
              <w:left w:val="single" w:color="auto" w:sz="4" w:space="0"/>
              <w:bottom w:val="single" w:color="auto" w:sz="4" w:space="0"/>
              <w:right w:val="single" w:color="auto" w:sz="4" w:space="0"/>
            </w:tcBorders>
            <w:vAlign w:val="center"/>
          </w:tcPr>
          <w:p/>
        </w:tc>
        <w:tc>
          <w:tcPr>
            <w:tcW w:w="980"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eastAsia="宋体" w:cs="宋体"/>
                <w:color w:val="000000"/>
                <w:kern w:val="0"/>
                <w:sz w:val="16"/>
                <w:szCs w:val="16"/>
              </w:rPr>
            </w:pPr>
            <w:r>
              <w:rPr>
                <w:rFonts w:hint="eastAsia" w:ascii="宋体" w:eastAsia="宋体" w:cs="宋体"/>
                <w:color w:val="000000"/>
                <w:kern w:val="0"/>
                <w:sz w:val="16"/>
                <w:szCs w:val="16"/>
              </w:rPr>
              <w:t>时效指标</w:t>
            </w:r>
          </w:p>
        </w:tc>
        <w:tc>
          <w:tcPr>
            <w:tcW w:w="2080" w:type="dxa"/>
            <w:gridSpan w:val="2"/>
            <w:tcBorders>
              <w:top w:val="single" w:color="000000" w:sz="4" w:space="0"/>
              <w:left w:val="nil"/>
              <w:bottom w:val="single" w:color="000000" w:sz="4" w:space="0"/>
              <w:right w:val="single" w:color="000000" w:sz="4" w:space="0"/>
            </w:tcBorders>
            <w:shd w:val="clear" w:color="auto" w:fill="auto"/>
            <w:vAlign w:val="center"/>
          </w:tcPr>
          <w:p>
            <w:pPr>
              <w:widowControl/>
              <w:spacing w:line="200" w:lineRule="exact"/>
              <w:jc w:val="left"/>
              <w:rPr>
                <w:rFonts w:ascii="宋体" w:eastAsia="宋体" w:cs="宋体"/>
                <w:color w:val="000000"/>
                <w:kern w:val="0"/>
                <w:sz w:val="16"/>
                <w:szCs w:val="16"/>
              </w:rPr>
            </w:pPr>
            <w:r>
              <w:rPr>
                <w:rFonts w:hint="eastAsia" w:ascii="宋体" w:eastAsia="宋体" w:cs="宋体"/>
                <w:color w:val="000000"/>
                <w:kern w:val="0"/>
                <w:sz w:val="16"/>
                <w:szCs w:val="16"/>
              </w:rPr>
              <w:t>青少年了解安全生产的时间节点率</w:t>
            </w:r>
          </w:p>
        </w:tc>
        <w:tc>
          <w:tcPr>
            <w:tcW w:w="760"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eastAsia="宋体" w:cs="宋体"/>
                <w:color w:val="000000"/>
                <w:kern w:val="0"/>
                <w:sz w:val="16"/>
                <w:szCs w:val="16"/>
              </w:rPr>
            </w:pPr>
            <w:r>
              <w:rPr>
                <w:rFonts w:hint="eastAsia" w:ascii="宋体" w:eastAsia="宋体" w:cs="宋体"/>
                <w:color w:val="000000"/>
                <w:kern w:val="0"/>
                <w:sz w:val="16"/>
                <w:szCs w:val="16"/>
              </w:rPr>
              <w:t>≥95%</w:t>
            </w:r>
          </w:p>
        </w:tc>
        <w:tc>
          <w:tcPr>
            <w:tcW w:w="800"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eastAsia="宋体" w:cs="宋体"/>
                <w:color w:val="000000"/>
                <w:kern w:val="0"/>
                <w:sz w:val="16"/>
                <w:szCs w:val="16"/>
              </w:rPr>
            </w:pPr>
            <w:r>
              <w:rPr>
                <w:rFonts w:hint="eastAsia" w:ascii="宋体" w:eastAsia="宋体" w:cs="宋体"/>
                <w:color w:val="000000"/>
                <w:kern w:val="0"/>
                <w:sz w:val="16"/>
                <w:szCs w:val="16"/>
              </w:rPr>
              <w:t>100%</w:t>
            </w:r>
          </w:p>
        </w:tc>
        <w:tc>
          <w:tcPr>
            <w:tcW w:w="1160"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eastAsia="宋体" w:cs="宋体"/>
                <w:color w:val="000000"/>
                <w:kern w:val="0"/>
                <w:sz w:val="16"/>
                <w:szCs w:val="16"/>
              </w:rPr>
            </w:pPr>
            <w:r>
              <w:rPr>
                <w:rFonts w:hint="eastAsia" w:ascii="宋体" w:eastAsia="宋体" w:cs="宋体"/>
                <w:color w:val="000000"/>
                <w:kern w:val="0"/>
                <w:sz w:val="16"/>
                <w:szCs w:val="16"/>
              </w:rPr>
              <w:t>20</w:t>
            </w:r>
          </w:p>
        </w:tc>
      </w:tr>
      <w:tr>
        <w:tblPrEx>
          <w:tblCellMar>
            <w:top w:w="0" w:type="dxa"/>
            <w:left w:w="108" w:type="dxa"/>
            <w:bottom w:w="0" w:type="dxa"/>
            <w:right w:w="108" w:type="dxa"/>
          </w:tblCellMar>
        </w:tblPrEx>
        <w:trPr>
          <w:trHeight w:val="1080" w:hRule="atLeast"/>
          <w:jc w:val="center"/>
        </w:trPr>
        <w:tc>
          <w:tcPr>
            <w:tcW w:w="840" w:type="dxa"/>
            <w:vMerge w:val="continue"/>
            <w:tcBorders>
              <w:top w:val="nil"/>
              <w:left w:val="single" w:color="auto" w:sz="4" w:space="0"/>
              <w:bottom w:val="single" w:color="000000" w:sz="4" w:space="0"/>
              <w:right w:val="nil"/>
            </w:tcBorders>
            <w:vAlign w:val="center"/>
          </w:tcPr>
          <w:p/>
        </w:tc>
        <w:tc>
          <w:tcPr>
            <w:tcW w:w="1180" w:type="dxa"/>
            <w:tcBorders>
              <w:top w:val="nil"/>
              <w:left w:val="single" w:color="auto" w:sz="4" w:space="0"/>
              <w:bottom w:val="single" w:color="auto" w:sz="4" w:space="0"/>
              <w:right w:val="single" w:color="auto" w:sz="4" w:space="0"/>
            </w:tcBorders>
            <w:shd w:val="clear" w:color="auto" w:fill="auto"/>
            <w:vAlign w:val="center"/>
          </w:tcPr>
          <w:p>
            <w:pPr>
              <w:widowControl/>
              <w:spacing w:line="200" w:lineRule="exact"/>
              <w:jc w:val="left"/>
              <w:rPr>
                <w:rFonts w:ascii="宋体" w:eastAsia="宋体" w:cs="宋体"/>
                <w:color w:val="000000"/>
                <w:kern w:val="0"/>
                <w:sz w:val="16"/>
                <w:szCs w:val="16"/>
              </w:rPr>
            </w:pPr>
            <w:r>
              <w:rPr>
                <w:rFonts w:hint="eastAsia" w:ascii="宋体" w:eastAsia="宋体" w:cs="宋体"/>
                <w:color w:val="000000"/>
                <w:kern w:val="0"/>
                <w:sz w:val="16"/>
                <w:szCs w:val="16"/>
              </w:rPr>
              <w:t>效益指标（30）</w:t>
            </w:r>
          </w:p>
        </w:tc>
        <w:tc>
          <w:tcPr>
            <w:tcW w:w="980"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eastAsia="宋体" w:cs="宋体"/>
                <w:color w:val="000000"/>
                <w:kern w:val="0"/>
                <w:sz w:val="16"/>
                <w:szCs w:val="16"/>
              </w:rPr>
            </w:pPr>
            <w:r>
              <w:rPr>
                <w:rFonts w:hint="eastAsia" w:ascii="宋体" w:eastAsia="宋体" w:cs="宋体"/>
                <w:color w:val="000000"/>
                <w:kern w:val="0"/>
                <w:sz w:val="16"/>
                <w:szCs w:val="16"/>
              </w:rPr>
              <w:t>社会效益指标</w:t>
            </w:r>
          </w:p>
        </w:tc>
        <w:tc>
          <w:tcPr>
            <w:tcW w:w="2080" w:type="dxa"/>
            <w:gridSpan w:val="2"/>
            <w:tcBorders>
              <w:top w:val="single" w:color="000000" w:sz="4" w:space="0"/>
              <w:left w:val="nil"/>
              <w:bottom w:val="single" w:color="000000" w:sz="4" w:space="0"/>
              <w:right w:val="single" w:color="000000" w:sz="4" w:space="0"/>
            </w:tcBorders>
            <w:shd w:val="clear" w:color="auto" w:fill="auto"/>
            <w:vAlign w:val="center"/>
          </w:tcPr>
          <w:p>
            <w:pPr>
              <w:widowControl/>
              <w:spacing w:line="200" w:lineRule="exact"/>
              <w:jc w:val="left"/>
              <w:rPr>
                <w:rFonts w:ascii="宋体" w:eastAsia="宋体" w:cs="宋体"/>
                <w:color w:val="000000"/>
                <w:kern w:val="0"/>
                <w:sz w:val="16"/>
                <w:szCs w:val="16"/>
              </w:rPr>
            </w:pPr>
            <w:r>
              <w:rPr>
                <w:rFonts w:hint="eastAsia" w:ascii="宋体" w:eastAsia="宋体" w:cs="宋体"/>
                <w:color w:val="000000"/>
                <w:kern w:val="0"/>
                <w:sz w:val="16"/>
                <w:szCs w:val="16"/>
              </w:rPr>
              <w:t>提升生产人员安全意识</w:t>
            </w:r>
          </w:p>
        </w:tc>
        <w:tc>
          <w:tcPr>
            <w:tcW w:w="760"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eastAsia="宋体" w:cs="宋体"/>
                <w:color w:val="000000"/>
                <w:kern w:val="0"/>
                <w:sz w:val="16"/>
                <w:szCs w:val="16"/>
              </w:rPr>
            </w:pPr>
            <w:r>
              <w:rPr>
                <w:rFonts w:hint="eastAsia" w:ascii="宋体" w:eastAsia="宋体" w:cs="宋体"/>
                <w:color w:val="000000"/>
                <w:kern w:val="0"/>
                <w:sz w:val="16"/>
                <w:szCs w:val="16"/>
              </w:rPr>
              <w:t>≥100%</w:t>
            </w:r>
          </w:p>
        </w:tc>
        <w:tc>
          <w:tcPr>
            <w:tcW w:w="800"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eastAsia="宋体" w:cs="宋体"/>
                <w:color w:val="000000"/>
                <w:kern w:val="0"/>
                <w:sz w:val="16"/>
                <w:szCs w:val="16"/>
              </w:rPr>
            </w:pPr>
            <w:r>
              <w:rPr>
                <w:rFonts w:hint="eastAsia" w:ascii="宋体" w:eastAsia="宋体" w:cs="宋体"/>
                <w:color w:val="000000"/>
                <w:kern w:val="0"/>
                <w:sz w:val="16"/>
                <w:szCs w:val="16"/>
              </w:rPr>
              <w:t>100%</w:t>
            </w:r>
          </w:p>
        </w:tc>
        <w:tc>
          <w:tcPr>
            <w:tcW w:w="1160"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eastAsia="宋体" w:cs="宋体"/>
                <w:color w:val="000000"/>
                <w:kern w:val="0"/>
                <w:sz w:val="16"/>
                <w:szCs w:val="16"/>
              </w:rPr>
            </w:pPr>
            <w:r>
              <w:rPr>
                <w:rFonts w:hint="eastAsia" w:ascii="宋体" w:eastAsia="宋体" w:cs="宋体"/>
                <w:color w:val="000000"/>
                <w:kern w:val="0"/>
                <w:sz w:val="16"/>
                <w:szCs w:val="16"/>
              </w:rPr>
              <w:t>30</w:t>
            </w:r>
          </w:p>
        </w:tc>
      </w:tr>
      <w:tr>
        <w:tblPrEx>
          <w:tblCellMar>
            <w:top w:w="0" w:type="dxa"/>
            <w:left w:w="108" w:type="dxa"/>
            <w:bottom w:w="0" w:type="dxa"/>
            <w:right w:w="108" w:type="dxa"/>
          </w:tblCellMar>
        </w:tblPrEx>
        <w:trPr>
          <w:trHeight w:val="942" w:hRule="atLeast"/>
          <w:jc w:val="center"/>
        </w:trPr>
        <w:tc>
          <w:tcPr>
            <w:tcW w:w="840" w:type="dxa"/>
            <w:vMerge w:val="continue"/>
            <w:tcBorders>
              <w:top w:val="nil"/>
              <w:left w:val="single" w:color="auto" w:sz="4" w:space="0"/>
              <w:bottom w:val="single" w:color="000000" w:sz="4" w:space="0"/>
              <w:right w:val="nil"/>
            </w:tcBorders>
            <w:vAlign w:val="center"/>
          </w:tcPr>
          <w:p/>
        </w:tc>
        <w:tc>
          <w:tcPr>
            <w:tcW w:w="1180"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center"/>
              <w:rPr>
                <w:rFonts w:ascii="宋体" w:eastAsia="宋体" w:cs="宋体"/>
                <w:color w:val="000000"/>
                <w:kern w:val="0"/>
                <w:sz w:val="16"/>
                <w:szCs w:val="16"/>
              </w:rPr>
            </w:pPr>
            <w:r>
              <w:rPr>
                <w:rFonts w:hint="eastAsia" w:ascii="宋体" w:eastAsia="宋体" w:cs="宋体"/>
                <w:color w:val="000000"/>
                <w:kern w:val="0"/>
                <w:sz w:val="16"/>
                <w:szCs w:val="16"/>
              </w:rPr>
              <w:t>满意度指标（10）</w:t>
            </w:r>
          </w:p>
        </w:tc>
        <w:tc>
          <w:tcPr>
            <w:tcW w:w="980"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eastAsia="宋体" w:cs="宋体"/>
                <w:color w:val="000000"/>
                <w:kern w:val="0"/>
                <w:sz w:val="16"/>
                <w:szCs w:val="16"/>
              </w:rPr>
            </w:pPr>
            <w:r>
              <w:rPr>
                <w:rFonts w:hint="eastAsia" w:ascii="宋体" w:eastAsia="宋体" w:cs="宋体"/>
                <w:color w:val="000000"/>
                <w:kern w:val="0"/>
                <w:sz w:val="16"/>
                <w:szCs w:val="16"/>
              </w:rPr>
              <w:t>满意度指标</w:t>
            </w:r>
          </w:p>
        </w:tc>
        <w:tc>
          <w:tcPr>
            <w:tcW w:w="2080" w:type="dxa"/>
            <w:gridSpan w:val="2"/>
            <w:tcBorders>
              <w:top w:val="single" w:color="000000" w:sz="4" w:space="0"/>
              <w:left w:val="nil"/>
              <w:bottom w:val="single" w:color="000000" w:sz="4" w:space="0"/>
              <w:right w:val="single" w:color="000000" w:sz="4" w:space="0"/>
            </w:tcBorders>
            <w:shd w:val="clear" w:color="auto" w:fill="auto"/>
            <w:vAlign w:val="center"/>
          </w:tcPr>
          <w:p>
            <w:pPr>
              <w:widowControl/>
              <w:spacing w:line="200" w:lineRule="exact"/>
              <w:jc w:val="left"/>
              <w:rPr>
                <w:rFonts w:ascii="宋体" w:eastAsia="宋体" w:cs="宋体"/>
                <w:color w:val="000000"/>
                <w:kern w:val="0"/>
                <w:sz w:val="16"/>
                <w:szCs w:val="16"/>
              </w:rPr>
            </w:pPr>
            <w:r>
              <w:rPr>
                <w:rFonts w:hint="eastAsia" w:ascii="宋体" w:eastAsia="宋体" w:cs="宋体"/>
                <w:color w:val="000000"/>
                <w:kern w:val="0"/>
                <w:sz w:val="16"/>
                <w:szCs w:val="16"/>
              </w:rPr>
              <w:t>青少年参与活动满意度</w:t>
            </w:r>
          </w:p>
        </w:tc>
        <w:tc>
          <w:tcPr>
            <w:tcW w:w="760"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eastAsia="宋体" w:cs="宋体"/>
                <w:color w:val="000000"/>
                <w:kern w:val="0"/>
                <w:sz w:val="16"/>
                <w:szCs w:val="16"/>
              </w:rPr>
            </w:pPr>
            <w:r>
              <w:rPr>
                <w:rFonts w:hint="eastAsia" w:ascii="宋体" w:eastAsia="宋体" w:cs="宋体"/>
                <w:color w:val="000000"/>
                <w:kern w:val="0"/>
                <w:sz w:val="16"/>
                <w:szCs w:val="16"/>
              </w:rPr>
              <w:t>≥80%</w:t>
            </w:r>
          </w:p>
        </w:tc>
        <w:tc>
          <w:tcPr>
            <w:tcW w:w="800"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eastAsia="宋体" w:cs="宋体"/>
                <w:color w:val="000000"/>
                <w:kern w:val="0"/>
                <w:sz w:val="16"/>
                <w:szCs w:val="16"/>
              </w:rPr>
            </w:pPr>
            <w:r>
              <w:rPr>
                <w:rFonts w:hint="eastAsia" w:ascii="宋体" w:eastAsia="宋体" w:cs="宋体"/>
                <w:color w:val="000000"/>
                <w:kern w:val="0"/>
                <w:sz w:val="16"/>
                <w:szCs w:val="16"/>
              </w:rPr>
              <w:t>100%</w:t>
            </w:r>
          </w:p>
        </w:tc>
        <w:tc>
          <w:tcPr>
            <w:tcW w:w="1160"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eastAsia="宋体" w:cs="宋体"/>
                <w:color w:val="000000"/>
                <w:kern w:val="0"/>
                <w:sz w:val="16"/>
                <w:szCs w:val="16"/>
              </w:rPr>
            </w:pPr>
            <w:r>
              <w:rPr>
                <w:rFonts w:hint="eastAsia" w:ascii="宋体" w:eastAsia="宋体" w:cs="宋体"/>
                <w:color w:val="000000"/>
                <w:kern w:val="0"/>
                <w:sz w:val="16"/>
                <w:szCs w:val="16"/>
              </w:rPr>
              <w:t>10</w:t>
            </w:r>
          </w:p>
        </w:tc>
      </w:tr>
      <w:tr>
        <w:tblPrEx>
          <w:tblCellMar>
            <w:top w:w="0" w:type="dxa"/>
            <w:left w:w="108" w:type="dxa"/>
            <w:bottom w:w="0" w:type="dxa"/>
            <w:right w:w="108" w:type="dxa"/>
          </w:tblCellMar>
        </w:tblPrEx>
        <w:trPr>
          <w:trHeight w:val="465" w:hRule="atLeast"/>
          <w:jc w:val="center"/>
        </w:trPr>
        <w:tc>
          <w:tcPr>
            <w:tcW w:w="840" w:type="dxa"/>
            <w:vMerge w:val="continue"/>
            <w:tcBorders>
              <w:top w:val="nil"/>
              <w:left w:val="single" w:color="auto" w:sz="4" w:space="0"/>
              <w:bottom w:val="single" w:color="000000" w:sz="4" w:space="0"/>
              <w:right w:val="nil"/>
            </w:tcBorders>
            <w:vAlign w:val="center"/>
          </w:tcPr>
          <w:p/>
        </w:tc>
        <w:tc>
          <w:tcPr>
            <w:tcW w:w="11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ascii="宋体" w:eastAsia="宋体" w:cs="宋体"/>
                <w:color w:val="000000"/>
                <w:kern w:val="0"/>
                <w:sz w:val="16"/>
                <w:szCs w:val="16"/>
              </w:rPr>
            </w:pPr>
            <w:r>
              <w:rPr>
                <w:rFonts w:hint="eastAsia" w:ascii="宋体" w:eastAsia="宋体" w:cs="宋体"/>
                <w:color w:val="000000"/>
                <w:kern w:val="0"/>
                <w:sz w:val="16"/>
                <w:szCs w:val="16"/>
              </w:rPr>
              <w:t>预算执行率（10）</w:t>
            </w:r>
          </w:p>
        </w:tc>
        <w:tc>
          <w:tcPr>
            <w:tcW w:w="980" w:type="dxa"/>
            <w:tcBorders>
              <w:top w:val="single" w:color="auto" w:sz="4" w:space="0"/>
              <w:left w:val="nil"/>
              <w:bottom w:val="single" w:color="auto" w:sz="4" w:space="0"/>
              <w:right w:val="single" w:color="auto" w:sz="4" w:space="0"/>
            </w:tcBorders>
            <w:shd w:val="clear" w:color="auto" w:fill="auto"/>
            <w:vAlign w:val="center"/>
          </w:tcPr>
          <w:p>
            <w:pPr>
              <w:widowControl/>
              <w:spacing w:line="200" w:lineRule="exact"/>
              <w:jc w:val="center"/>
              <w:rPr>
                <w:rFonts w:ascii="宋体" w:eastAsia="宋体" w:cs="宋体"/>
                <w:color w:val="000000"/>
                <w:kern w:val="0"/>
                <w:sz w:val="16"/>
                <w:szCs w:val="16"/>
              </w:rPr>
            </w:pPr>
            <w:r>
              <w:rPr>
                <w:rFonts w:hint="eastAsia" w:ascii="宋体" w:eastAsia="宋体" w:cs="宋体"/>
                <w:color w:val="000000"/>
                <w:kern w:val="0"/>
                <w:sz w:val="16"/>
                <w:szCs w:val="16"/>
              </w:rPr>
              <w:t>预算执行率</w:t>
            </w:r>
          </w:p>
        </w:tc>
        <w:tc>
          <w:tcPr>
            <w:tcW w:w="2080" w:type="dxa"/>
            <w:gridSpan w:val="2"/>
            <w:tcBorders>
              <w:top w:val="single" w:color="auto" w:sz="4" w:space="0"/>
              <w:left w:val="nil"/>
              <w:bottom w:val="single" w:color="auto" w:sz="4" w:space="0"/>
              <w:right w:val="single" w:color="000000" w:sz="4" w:space="0"/>
            </w:tcBorders>
            <w:shd w:val="clear" w:color="auto" w:fill="auto"/>
            <w:vAlign w:val="center"/>
          </w:tcPr>
          <w:p>
            <w:pPr>
              <w:widowControl/>
              <w:spacing w:line="200" w:lineRule="exact"/>
              <w:jc w:val="center"/>
              <w:rPr>
                <w:rFonts w:ascii="宋体" w:eastAsia="宋体" w:cs="宋体"/>
                <w:color w:val="000000"/>
                <w:kern w:val="0"/>
                <w:sz w:val="16"/>
                <w:szCs w:val="16"/>
              </w:rPr>
            </w:pPr>
            <w:r>
              <w:rPr>
                <w:rFonts w:hint="eastAsia" w:ascii="宋体" w:eastAsia="宋体" w:cs="宋体"/>
                <w:color w:val="000000"/>
                <w:kern w:val="0"/>
                <w:sz w:val="16"/>
                <w:szCs w:val="16"/>
              </w:rPr>
              <w:t>执行预算效率</w:t>
            </w:r>
          </w:p>
        </w:tc>
        <w:tc>
          <w:tcPr>
            <w:tcW w:w="760" w:type="dxa"/>
            <w:tcBorders>
              <w:top w:val="single" w:color="auto" w:sz="4" w:space="0"/>
              <w:left w:val="nil"/>
              <w:bottom w:val="single" w:color="auto" w:sz="4" w:space="0"/>
              <w:right w:val="single" w:color="auto" w:sz="4" w:space="0"/>
            </w:tcBorders>
            <w:shd w:val="clear" w:color="auto" w:fill="auto"/>
            <w:vAlign w:val="center"/>
          </w:tcPr>
          <w:p>
            <w:pPr>
              <w:widowControl/>
              <w:spacing w:line="200" w:lineRule="exact"/>
              <w:jc w:val="center"/>
              <w:rPr>
                <w:rFonts w:ascii="宋体" w:eastAsia="宋体" w:cs="宋体"/>
                <w:color w:val="000000"/>
                <w:kern w:val="0"/>
                <w:sz w:val="16"/>
                <w:szCs w:val="16"/>
              </w:rPr>
            </w:pPr>
            <w:r>
              <w:rPr>
                <w:rFonts w:hint="eastAsia" w:ascii="宋体" w:eastAsia="宋体" w:cs="宋体"/>
                <w:color w:val="000000"/>
                <w:kern w:val="0"/>
                <w:sz w:val="16"/>
                <w:szCs w:val="16"/>
              </w:rPr>
              <w:t>100%</w:t>
            </w:r>
          </w:p>
        </w:tc>
        <w:tc>
          <w:tcPr>
            <w:tcW w:w="800" w:type="dxa"/>
            <w:tcBorders>
              <w:top w:val="single" w:color="auto" w:sz="4" w:space="0"/>
              <w:left w:val="nil"/>
              <w:bottom w:val="single" w:color="auto" w:sz="4" w:space="0"/>
              <w:right w:val="single" w:color="auto" w:sz="4" w:space="0"/>
            </w:tcBorders>
            <w:shd w:val="clear" w:color="auto" w:fill="auto"/>
            <w:vAlign w:val="center"/>
          </w:tcPr>
          <w:p>
            <w:pPr>
              <w:widowControl/>
              <w:spacing w:line="200" w:lineRule="exact"/>
              <w:jc w:val="center"/>
              <w:rPr>
                <w:rFonts w:ascii="宋体" w:eastAsia="宋体" w:cs="宋体"/>
                <w:color w:val="000000"/>
                <w:kern w:val="0"/>
                <w:sz w:val="16"/>
                <w:szCs w:val="16"/>
              </w:rPr>
            </w:pPr>
            <w:r>
              <w:rPr>
                <w:rFonts w:hint="eastAsia" w:ascii="宋体" w:eastAsia="宋体" w:cs="宋体"/>
                <w:color w:val="000000"/>
                <w:kern w:val="0"/>
                <w:sz w:val="16"/>
                <w:szCs w:val="16"/>
              </w:rPr>
              <w:t>100%</w:t>
            </w:r>
          </w:p>
        </w:tc>
        <w:tc>
          <w:tcPr>
            <w:tcW w:w="1160"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center"/>
              <w:rPr>
                <w:rFonts w:ascii="宋体" w:eastAsia="宋体" w:cs="宋体"/>
                <w:color w:val="000000"/>
                <w:kern w:val="0"/>
                <w:sz w:val="16"/>
                <w:szCs w:val="16"/>
              </w:rPr>
            </w:pPr>
            <w:r>
              <w:rPr>
                <w:rFonts w:hint="eastAsia" w:ascii="宋体" w:eastAsia="宋体" w:cs="宋体"/>
                <w:color w:val="000000"/>
                <w:kern w:val="0"/>
                <w:sz w:val="16"/>
                <w:szCs w:val="16"/>
              </w:rPr>
              <w:t>10</w:t>
            </w:r>
          </w:p>
        </w:tc>
      </w:tr>
      <w:tr>
        <w:tblPrEx>
          <w:tblCellMar>
            <w:top w:w="0" w:type="dxa"/>
            <w:left w:w="108" w:type="dxa"/>
            <w:bottom w:w="0" w:type="dxa"/>
            <w:right w:w="108" w:type="dxa"/>
          </w:tblCellMar>
        </w:tblPrEx>
        <w:trPr>
          <w:trHeight w:val="495" w:hRule="atLeast"/>
          <w:jc w:val="center"/>
        </w:trPr>
        <w:tc>
          <w:tcPr>
            <w:tcW w:w="840" w:type="dxa"/>
            <w:vMerge w:val="continue"/>
            <w:tcBorders>
              <w:top w:val="nil"/>
              <w:left w:val="single" w:color="auto" w:sz="4" w:space="0"/>
              <w:bottom w:val="single" w:color="000000" w:sz="4" w:space="0"/>
              <w:right w:val="nil"/>
            </w:tcBorders>
            <w:vAlign w:val="center"/>
          </w:tcPr>
          <w:p/>
        </w:tc>
        <w:tc>
          <w:tcPr>
            <w:tcW w:w="5800"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ascii="宋体" w:eastAsia="宋体" w:cs="宋体"/>
                <w:color w:val="000000"/>
                <w:kern w:val="0"/>
                <w:sz w:val="16"/>
                <w:szCs w:val="16"/>
              </w:rPr>
            </w:pPr>
            <w:r>
              <w:rPr>
                <w:rFonts w:hint="eastAsia" w:ascii="宋体" w:eastAsia="宋体" w:cs="宋体"/>
                <w:color w:val="000000"/>
                <w:kern w:val="0"/>
                <w:sz w:val="16"/>
                <w:szCs w:val="16"/>
              </w:rPr>
              <w:t>总分</w:t>
            </w:r>
          </w:p>
        </w:tc>
        <w:tc>
          <w:tcPr>
            <w:tcW w:w="1160"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center"/>
              <w:rPr>
                <w:rFonts w:ascii="宋体" w:eastAsia="宋体" w:cs="宋体"/>
                <w:color w:val="000000"/>
                <w:kern w:val="0"/>
                <w:sz w:val="16"/>
                <w:szCs w:val="16"/>
              </w:rPr>
            </w:pPr>
            <w:r>
              <w:rPr>
                <w:rFonts w:hint="eastAsia" w:ascii="宋体" w:eastAsia="宋体" w:cs="宋体"/>
                <w:color w:val="000000"/>
                <w:kern w:val="0"/>
                <w:sz w:val="16"/>
                <w:szCs w:val="16"/>
              </w:rPr>
              <w:t>100</w:t>
            </w:r>
          </w:p>
        </w:tc>
      </w:tr>
      <w:tr>
        <w:tblPrEx>
          <w:tblCellMar>
            <w:top w:w="0" w:type="dxa"/>
            <w:left w:w="108" w:type="dxa"/>
            <w:bottom w:w="0" w:type="dxa"/>
            <w:right w:w="108" w:type="dxa"/>
          </w:tblCellMar>
        </w:tblPrEx>
        <w:trPr>
          <w:trHeight w:val="288" w:hRule="atLeast"/>
          <w:jc w:val="center"/>
        </w:trPr>
        <w:tc>
          <w:tcPr>
            <w:tcW w:w="840" w:type="dxa"/>
            <w:vMerge w:val="continue"/>
            <w:tcBorders>
              <w:top w:val="nil"/>
              <w:left w:val="single" w:color="auto" w:sz="4" w:space="0"/>
              <w:bottom w:val="single" w:color="000000" w:sz="4" w:space="0"/>
              <w:right w:val="nil"/>
            </w:tcBorders>
            <w:vAlign w:val="center"/>
          </w:tcPr>
          <w:p/>
        </w:tc>
        <w:tc>
          <w:tcPr>
            <w:tcW w:w="6960" w:type="dxa"/>
            <w:gridSpan w:val="7"/>
            <w:tcBorders>
              <w:top w:val="single" w:color="auto" w:sz="4" w:space="0"/>
              <w:left w:val="single" w:color="000000" w:sz="4" w:space="0"/>
              <w:bottom w:val="nil"/>
              <w:right w:val="single" w:color="000000" w:sz="4" w:space="0"/>
            </w:tcBorders>
            <w:shd w:val="clear" w:color="auto" w:fill="auto"/>
            <w:vAlign w:val="center"/>
          </w:tcPr>
          <w:p>
            <w:pPr>
              <w:widowControl/>
              <w:spacing w:line="200" w:lineRule="exact"/>
              <w:jc w:val="left"/>
              <w:rPr>
                <w:rFonts w:ascii="宋体" w:eastAsia="宋体" w:cs="宋体"/>
                <w:color w:val="000000"/>
                <w:kern w:val="0"/>
                <w:sz w:val="16"/>
                <w:szCs w:val="16"/>
              </w:rPr>
            </w:pPr>
            <w:r>
              <w:rPr>
                <w:rFonts w:hint="eastAsia" w:ascii="宋体" w:eastAsia="宋体" w:cs="宋体"/>
                <w:color w:val="000000"/>
                <w:kern w:val="0"/>
                <w:sz w:val="16"/>
                <w:szCs w:val="16"/>
              </w:rPr>
              <w:t>总体目标完成。</w:t>
            </w:r>
          </w:p>
        </w:tc>
      </w:tr>
      <w:tr>
        <w:tblPrEx>
          <w:tblCellMar>
            <w:top w:w="0" w:type="dxa"/>
            <w:left w:w="108" w:type="dxa"/>
            <w:bottom w:w="0" w:type="dxa"/>
            <w:right w:w="108" w:type="dxa"/>
          </w:tblCellMar>
        </w:tblPrEx>
        <w:trPr>
          <w:trHeight w:val="996" w:hRule="atLeast"/>
          <w:jc w:val="center"/>
        </w:trPr>
        <w:tc>
          <w:tcPr>
            <w:tcW w:w="840" w:type="dxa"/>
            <w:tcBorders>
              <w:top w:val="nil"/>
              <w:left w:val="single" w:color="000000" w:sz="4" w:space="0"/>
              <w:bottom w:val="single" w:color="000000" w:sz="4" w:space="0"/>
              <w:right w:val="nil"/>
            </w:tcBorders>
            <w:shd w:val="clear" w:color="auto" w:fill="auto"/>
            <w:vAlign w:val="center"/>
          </w:tcPr>
          <w:p>
            <w:pPr>
              <w:widowControl/>
              <w:spacing w:line="200" w:lineRule="exact"/>
              <w:jc w:val="left"/>
              <w:rPr>
                <w:rFonts w:ascii="宋体" w:eastAsia="宋体" w:cs="宋体"/>
                <w:color w:val="000000"/>
                <w:kern w:val="0"/>
                <w:sz w:val="16"/>
                <w:szCs w:val="16"/>
              </w:rPr>
            </w:pPr>
            <w:r>
              <w:rPr>
                <w:rFonts w:hint="eastAsia" w:ascii="宋体" w:eastAsia="宋体" w:cs="宋体"/>
                <w:color w:val="000000"/>
                <w:kern w:val="0"/>
                <w:sz w:val="16"/>
                <w:szCs w:val="16"/>
              </w:rPr>
              <w:t>五、</w:t>
            </w:r>
            <w:r>
              <w:rPr>
                <w:rFonts w:ascii="Calibri" w:hAnsi="Calibri" w:eastAsia="宋体" w:cs="宋体"/>
                <w:color w:val="000000"/>
                <w:kern w:val="0"/>
                <w:sz w:val="16"/>
                <w:szCs w:val="16"/>
              </w:rPr>
              <w:t> </w:t>
            </w:r>
            <w:r>
              <w:rPr>
                <w:rFonts w:hint="eastAsia" w:ascii="宋体" w:eastAsia="宋体" w:cs="宋体"/>
                <w:color w:val="000000"/>
                <w:kern w:val="0"/>
                <w:sz w:val="16"/>
                <w:szCs w:val="16"/>
              </w:rPr>
              <w:t>存在问题、原因及下一步整改措施</w:t>
            </w:r>
          </w:p>
        </w:tc>
        <w:tc>
          <w:tcPr>
            <w:tcW w:w="6960" w:type="dxa"/>
            <w:gridSpan w:val="7"/>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spacing w:line="200" w:lineRule="exact"/>
              <w:jc w:val="left"/>
              <w:rPr>
                <w:rFonts w:ascii="宋体" w:eastAsia="宋体" w:cs="宋体"/>
                <w:color w:val="000000"/>
                <w:kern w:val="0"/>
                <w:sz w:val="16"/>
                <w:szCs w:val="16"/>
              </w:rPr>
            </w:pPr>
            <w:r>
              <w:rPr>
                <w:rFonts w:hint="eastAsia" w:ascii="宋体" w:eastAsia="宋体" w:cs="宋体"/>
                <w:color w:val="000000"/>
                <w:kern w:val="0"/>
                <w:sz w:val="16"/>
                <w:szCs w:val="16"/>
              </w:rPr>
              <w:t>通过安全生产宣传，加强青少年对安全生产的了解。</w:t>
            </w:r>
          </w:p>
        </w:tc>
      </w:tr>
    </w:tbl>
    <w:p>
      <w:pPr>
        <w:keepNext/>
        <w:keepLines/>
        <w:snapToGrid w:val="0"/>
        <w:spacing w:line="580" w:lineRule="exact"/>
        <w:ind w:firstLine="640" w:firstLineChars="200"/>
        <w:outlineLvl w:val="1"/>
        <w:rPr>
          <w:rFonts w:ascii="黑体" w:eastAsia="黑体" w:cs="Times New Roman"/>
          <w:sz w:val="32"/>
          <w:szCs w:val="32"/>
        </w:rPr>
      </w:pPr>
      <w:r>
        <w:rPr>
          <w:rFonts w:hint="eastAsia" w:ascii="黑体" w:eastAsia="黑体" w:cs="Times New Roman"/>
          <w:sz w:val="32"/>
          <w:szCs w:val="32"/>
        </w:rPr>
        <w:t>七、其他重要事项的说明</w:t>
      </w:r>
    </w:p>
    <w:p>
      <w:pPr>
        <w:keepNext/>
        <w:keepLines/>
        <w:snapToGrid w:val="0"/>
        <w:spacing w:line="580" w:lineRule="exact"/>
        <w:ind w:firstLine="643" w:firstLineChars="200"/>
        <w:outlineLvl w:val="2"/>
        <w:rPr>
          <w:rFonts w:ascii="楷体_GB2312" w:eastAsia="楷体_GB2312" w:cs="DengXian-Bold"/>
          <w:b/>
          <w:bCs/>
          <w:sz w:val="32"/>
          <w:szCs w:val="32"/>
        </w:rPr>
      </w:pPr>
      <w:r>
        <w:rPr>
          <w:rFonts w:hint="eastAsia" w:ascii="楷体_GB2312" w:eastAsia="楷体_GB2312" w:cs="DengXian-Bold"/>
          <w:b/>
          <w:bCs/>
          <w:sz w:val="32"/>
          <w:szCs w:val="32"/>
        </w:rPr>
        <w:t>（一）机关运行经费情况</w:t>
      </w:r>
    </w:p>
    <w:p>
      <w:pPr>
        <w:adjustRightInd w:val="0"/>
        <w:snapToGrid w:val="0"/>
        <w:spacing w:line="580" w:lineRule="exact"/>
        <w:ind w:firstLine="640" w:firstLineChars="200"/>
        <w:rPr>
          <w:rFonts w:eastAsia="仿宋_GB2312"/>
          <w:sz w:val="32"/>
          <w:szCs w:val="32"/>
        </w:rPr>
      </w:pPr>
      <w:r>
        <w:rPr>
          <w:rFonts w:hint="eastAsia" w:ascii="仿宋_GB2312" w:eastAsia="仿宋_GB2312" w:cs="DengXian-Regular"/>
          <w:sz w:val="32"/>
          <w:szCs w:val="32"/>
        </w:rPr>
        <w:t>本部门2019年度机关运行经费支出6.45万元，</w:t>
      </w:r>
      <w:r>
        <w:rPr>
          <w:rFonts w:ascii="仿宋_GB2312" w:eastAsia="仿宋_GB2312" w:cs="DengXian-Regular"/>
          <w:sz w:val="32"/>
          <w:szCs w:val="32"/>
        </w:rPr>
        <w:t>比</w:t>
      </w:r>
      <w:r>
        <w:rPr>
          <w:rFonts w:hint="eastAsia" w:ascii="仿宋_GB2312" w:eastAsia="仿宋_GB2312" w:cs="DengXian-Regular"/>
          <w:sz w:val="32"/>
          <w:szCs w:val="32"/>
        </w:rPr>
        <w:t>年初预算数增</w:t>
      </w:r>
      <w:r>
        <w:rPr>
          <w:rFonts w:ascii="仿宋_GB2312" w:eastAsia="仿宋_GB2312" w:cs="DengXian-Regular"/>
          <w:sz w:val="32"/>
          <w:szCs w:val="32"/>
        </w:rPr>
        <w:t>加0万元，增长0%，主要是没有人员增</w:t>
      </w:r>
      <w:r>
        <w:rPr>
          <w:rFonts w:hint="eastAsia" w:ascii="仿宋_GB2312" w:eastAsia="仿宋_GB2312" w:cs="DengXian-Regular"/>
          <w:sz w:val="32"/>
          <w:szCs w:val="32"/>
        </w:rPr>
        <w:t>减变化</w:t>
      </w:r>
      <w:r>
        <w:rPr>
          <w:rFonts w:ascii="仿宋_GB2312" w:eastAsia="仿宋_GB2312" w:cs="DengXian-Regular"/>
          <w:sz w:val="32"/>
          <w:szCs w:val="32"/>
        </w:rPr>
        <w:t>。</w:t>
      </w:r>
      <w:r>
        <w:rPr>
          <w:rFonts w:hint="eastAsia" w:ascii="仿宋_GB2312" w:eastAsia="仿宋_GB2312" w:cs="DengXian-Regular"/>
          <w:sz w:val="32"/>
          <w:szCs w:val="32"/>
        </w:rPr>
        <w:t>比2018年度决算减少0.12万元，降低1.86%。主要原因是</w:t>
      </w:r>
      <w:r>
        <w:rPr>
          <w:rFonts w:hint="eastAsia" w:eastAsia="仿宋_GB2312"/>
          <w:sz w:val="32"/>
          <w:szCs w:val="32"/>
        </w:rPr>
        <w:t>在保证机关运行的情况下尽量减少不必要支出。</w:t>
      </w:r>
    </w:p>
    <w:p>
      <w:pPr>
        <w:adjustRightInd w:val="0"/>
        <w:snapToGrid w:val="0"/>
        <w:spacing w:line="580" w:lineRule="exact"/>
        <w:ind w:firstLine="643" w:firstLineChars="200"/>
        <w:rPr>
          <w:rFonts w:ascii="楷体_GB2312" w:eastAsia="楷体_GB2312" w:cs="DengXian-Bold"/>
          <w:b/>
          <w:bCs/>
          <w:sz w:val="32"/>
          <w:szCs w:val="32"/>
        </w:rPr>
      </w:pPr>
      <w:r>
        <w:rPr>
          <w:rFonts w:hint="eastAsia" w:ascii="楷体_GB2312" w:eastAsia="楷体_GB2312" w:cs="DengXian-Bold"/>
          <w:b/>
          <w:bCs/>
          <w:sz w:val="32"/>
          <w:szCs w:val="32"/>
        </w:rPr>
        <w:t>（二）政府采购情况</w:t>
      </w:r>
    </w:p>
    <w:p>
      <w:pPr>
        <w:pStyle w:val="4"/>
        <w:spacing w:before="0" w:after="0" w:line="580" w:lineRule="exact"/>
        <w:ind w:firstLine="640" w:firstLineChars="200"/>
        <w:rPr>
          <w:rFonts w:ascii="楷体_GB2312" w:eastAsia="楷体_GB2312" w:cs="DengXian-Bold"/>
        </w:rPr>
      </w:pPr>
      <w:r>
        <w:rPr>
          <w:rFonts w:hint="eastAsia" w:ascii="仿宋_GB2312" w:eastAsia="仿宋_GB2312" w:cs="DengXian-Regular"/>
          <w:b w:val="0"/>
        </w:rPr>
        <w:t>本部门2019年度政府采购支出总额0万元，从采购类型来看，</w:t>
      </w:r>
      <w:r>
        <w:rPr>
          <w:rFonts w:ascii="仿宋_GB2312" w:eastAsia="仿宋_GB2312" w:cs="仿宋_GB2312"/>
          <w:b w:val="0"/>
          <w:color w:val="000000"/>
          <w:kern w:val="0"/>
        </w:rPr>
        <w:t>政府采购货物支出</w:t>
      </w:r>
      <w:r>
        <w:rPr>
          <w:rFonts w:hint="eastAsia" w:ascii="仿宋_GB2312" w:eastAsia="仿宋_GB2312" w:cs="仿宋_GB2312"/>
          <w:b w:val="0"/>
          <w:color w:val="000000"/>
          <w:kern w:val="0"/>
        </w:rPr>
        <w:t>0</w:t>
      </w:r>
      <w:r>
        <w:rPr>
          <w:rFonts w:ascii="仿宋_GB2312" w:eastAsia="仿宋_GB2312" w:cs="仿宋_GB2312"/>
          <w:b w:val="0"/>
          <w:color w:val="000000"/>
          <w:kern w:val="0"/>
        </w:rPr>
        <w:t xml:space="preserve"> 万元、政府采购工程支出</w:t>
      </w:r>
      <w:r>
        <w:rPr>
          <w:rFonts w:hint="eastAsia" w:ascii="仿宋_GB2312" w:eastAsia="仿宋_GB2312" w:cs="仿宋_GB2312"/>
          <w:b w:val="0"/>
          <w:color w:val="000000"/>
          <w:kern w:val="0"/>
        </w:rPr>
        <w:t>0</w:t>
      </w:r>
      <w:r>
        <w:rPr>
          <w:rFonts w:ascii="仿宋_GB2312" w:eastAsia="仿宋_GB2312" w:cs="仿宋_GB2312"/>
          <w:b w:val="0"/>
          <w:color w:val="000000"/>
          <w:kern w:val="0"/>
        </w:rPr>
        <w:t>万元、政府采购服务支出</w:t>
      </w:r>
      <w:r>
        <w:rPr>
          <w:rFonts w:hint="eastAsia" w:ascii="仿宋_GB2312" w:eastAsia="仿宋_GB2312" w:cs="仿宋_GB2312"/>
          <w:b w:val="0"/>
          <w:color w:val="000000"/>
          <w:kern w:val="0"/>
        </w:rPr>
        <w:t>0</w:t>
      </w:r>
      <w:r>
        <w:rPr>
          <w:rFonts w:ascii="仿宋_GB2312" w:eastAsia="仿宋_GB2312" w:cs="仿宋_GB2312"/>
          <w:b w:val="0"/>
          <w:color w:val="000000"/>
          <w:kern w:val="0"/>
        </w:rPr>
        <w:t>万元。授予中小企业合同金</w:t>
      </w:r>
      <w:r>
        <w:rPr>
          <w:rFonts w:hint="eastAsia" w:ascii="仿宋_GB2312" w:eastAsia="仿宋_GB2312" w:cs="仿宋_GB2312"/>
          <w:b w:val="0"/>
          <w:color w:val="000000"/>
          <w:kern w:val="0"/>
        </w:rPr>
        <w:t>0</w:t>
      </w:r>
      <w:r>
        <w:rPr>
          <w:rFonts w:ascii="仿宋_GB2312" w:eastAsia="仿宋_GB2312" w:cs="仿宋_GB2312"/>
          <w:b w:val="0"/>
          <w:color w:val="000000"/>
          <w:kern w:val="0"/>
        </w:rPr>
        <w:t>万元，占政府采购支出总额的</w:t>
      </w:r>
      <w:r>
        <w:rPr>
          <w:rFonts w:hint="eastAsia" w:ascii="仿宋_GB2312" w:eastAsia="仿宋_GB2312" w:cs="仿宋_GB2312"/>
          <w:b w:val="0"/>
          <w:color w:val="000000"/>
          <w:kern w:val="0"/>
        </w:rPr>
        <w:t>0%，</w:t>
      </w:r>
      <w:r>
        <w:rPr>
          <w:rFonts w:ascii="仿宋_GB2312" w:eastAsia="仿宋_GB2312" w:cs="仿宋_GB2312"/>
          <w:b w:val="0"/>
          <w:color w:val="000000"/>
          <w:kern w:val="0"/>
        </w:rPr>
        <w:t>其中授予小微企业合同金额</w:t>
      </w:r>
      <w:r>
        <w:rPr>
          <w:rFonts w:hint="eastAsia" w:ascii="仿宋_GB2312" w:eastAsia="仿宋_GB2312" w:cs="仿宋_GB2312"/>
          <w:b w:val="0"/>
          <w:color w:val="000000"/>
          <w:kern w:val="0"/>
        </w:rPr>
        <w:t>0</w:t>
      </w:r>
      <w:r>
        <w:rPr>
          <w:rFonts w:ascii="仿宋_GB2312" w:eastAsia="仿宋_GB2312" w:cs="仿宋_GB2312"/>
          <w:b w:val="0"/>
          <w:color w:val="000000"/>
          <w:kern w:val="0"/>
        </w:rPr>
        <w:t xml:space="preserve">万元，占政府采购支出总额的 </w:t>
      </w:r>
      <w:r>
        <w:rPr>
          <w:rFonts w:hint="eastAsia" w:ascii="仿宋_GB2312" w:eastAsia="仿宋_GB2312" w:cs="仿宋_GB2312"/>
          <w:b w:val="0"/>
          <w:color w:val="000000"/>
          <w:kern w:val="0"/>
        </w:rPr>
        <w:t>0</w:t>
      </w:r>
      <w:r>
        <w:rPr>
          <w:rFonts w:ascii="仿宋_GB2312" w:eastAsia="仿宋_GB2312" w:cs="仿宋_GB2312"/>
          <w:b w:val="0"/>
          <w:color w:val="000000"/>
          <w:kern w:val="0"/>
        </w:rPr>
        <w:t>%。</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（三）国有资产占用情况</w:t>
      </w:r>
    </w:p>
    <w:p>
      <w:pPr>
        <w:adjustRightInd w:val="0"/>
        <w:snapToGrid w:val="0"/>
        <w:spacing w:line="580" w:lineRule="exact"/>
        <w:ind w:firstLine="640" w:firstLineChars="200"/>
        <w:rPr>
          <w:rFonts w:hint="eastAsia" w:ascii="仿宋_GB2312" w:eastAsia="仿宋_GB2312" w:cs="DengXian-Regular"/>
          <w:sz w:val="32"/>
          <w:szCs w:val="32"/>
        </w:rPr>
      </w:pPr>
      <w:r>
        <w:rPr>
          <w:rFonts w:hint="eastAsia" w:ascii="仿宋_GB2312" w:eastAsia="仿宋_GB2312" w:cs="DengXian-Regular"/>
          <w:sz w:val="32"/>
          <w:szCs w:val="32"/>
        </w:rPr>
        <w:t>截至2019年12月31日，本部门共有车辆0辆，比上年</w:t>
      </w:r>
      <w:r>
        <w:rPr>
          <w:rFonts w:hint="eastAsia" w:ascii="仿宋_GB2312" w:eastAsia="仿宋_GB2312" w:cs="宋体"/>
          <w:sz w:val="32"/>
          <w:szCs w:val="32"/>
        </w:rPr>
        <w:t>持平</w:t>
      </w:r>
      <w:r>
        <w:rPr>
          <w:rFonts w:hint="eastAsia" w:ascii="仿宋_GB2312" w:eastAsia="仿宋_GB2312" w:cs="DengXian-Regular"/>
          <w:sz w:val="32"/>
          <w:szCs w:val="32"/>
        </w:rPr>
        <w:t>。其中，副部（省）级及以上领导用车0辆，主要领导干部用车0辆，机要通信用车0辆，应急保障用车0辆，执法执勤用车0辆，特种专业技术用车0辆，离退休干部用车0辆，其他用车0辆0；单位价值</w:t>
      </w:r>
      <w:r>
        <w:rPr>
          <w:rFonts w:hint="eastAsia" w:ascii="仿宋_GB2312" w:eastAsia="仿宋_GB2312" w:cs="TimesNewRomanPSMT"/>
          <w:sz w:val="32"/>
          <w:szCs w:val="32"/>
        </w:rPr>
        <w:t>50</w:t>
      </w:r>
      <w:r>
        <w:rPr>
          <w:rFonts w:hint="eastAsia" w:ascii="仿宋_GB2312" w:eastAsia="仿宋_GB2312" w:cs="DengXian-Regular"/>
          <w:sz w:val="32"/>
          <w:szCs w:val="32"/>
        </w:rPr>
        <w:t>万元以上通用设备0台，比上年</w:t>
      </w:r>
      <w:r>
        <w:rPr>
          <w:rFonts w:hint="eastAsia" w:ascii="仿宋_GB2312" w:eastAsia="仿宋_GB2312" w:cs="宋体"/>
          <w:sz w:val="32"/>
          <w:szCs w:val="32"/>
        </w:rPr>
        <w:t>持平</w:t>
      </w:r>
      <w:r>
        <w:rPr>
          <w:rFonts w:hint="eastAsia" w:ascii="仿宋_GB2312" w:eastAsia="仿宋_GB2312" w:cs="DengXian-Regular"/>
          <w:sz w:val="32"/>
          <w:szCs w:val="32"/>
        </w:rPr>
        <w:t>，单位价值</w:t>
      </w:r>
      <w:r>
        <w:rPr>
          <w:rFonts w:hint="eastAsia" w:ascii="仿宋_GB2312" w:eastAsia="仿宋_GB2312" w:cs="TimesNewRomanPSMT"/>
          <w:sz w:val="32"/>
          <w:szCs w:val="32"/>
        </w:rPr>
        <w:t>100</w:t>
      </w:r>
      <w:r>
        <w:rPr>
          <w:rFonts w:hint="eastAsia" w:ascii="仿宋_GB2312" w:eastAsia="仿宋_GB2312" w:cs="DengXian-Regular"/>
          <w:sz w:val="32"/>
          <w:szCs w:val="32"/>
        </w:rPr>
        <w:t>万元以上专用设备0台，比上年</w:t>
      </w:r>
      <w:r>
        <w:rPr>
          <w:rFonts w:hint="eastAsia" w:ascii="仿宋_GB2312" w:eastAsia="仿宋_GB2312" w:cs="宋体"/>
          <w:sz w:val="32"/>
          <w:szCs w:val="32"/>
        </w:rPr>
        <w:t>持平</w:t>
      </w:r>
      <w:r>
        <w:rPr>
          <w:rFonts w:hint="eastAsia" w:ascii="仿宋_GB2312" w:eastAsia="仿宋_GB2312" w:cs="DengXian-Regular"/>
          <w:sz w:val="32"/>
          <w:szCs w:val="32"/>
        </w:rPr>
        <w:t>。</w:t>
      </w:r>
    </w:p>
    <w:p>
      <w:pPr>
        <w:keepNext/>
        <w:keepLines/>
        <w:snapToGrid w:val="0"/>
        <w:spacing w:line="580" w:lineRule="exact"/>
        <w:ind w:firstLine="643" w:firstLineChars="200"/>
        <w:outlineLvl w:val="2"/>
        <w:rPr>
          <w:rFonts w:ascii="楷体_GB2312" w:eastAsia="楷体_GB2312" w:cs="DengXian-Bold"/>
          <w:b/>
          <w:bCs/>
          <w:sz w:val="32"/>
          <w:szCs w:val="32"/>
        </w:rPr>
      </w:pPr>
      <w:r>
        <w:rPr>
          <w:rFonts w:hint="eastAsia" w:ascii="楷体_GB2312" w:eastAsia="楷体_GB2312" w:cs="DengXian-Bold"/>
          <w:b/>
          <w:bCs/>
          <w:sz w:val="32"/>
          <w:szCs w:val="32"/>
        </w:rPr>
        <w:t>（四）其他需要说明的情况</w:t>
      </w:r>
    </w:p>
    <w:p>
      <w:pPr>
        <w:adjustRightInd w:val="0"/>
        <w:snapToGrid w:val="0"/>
        <w:spacing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1. 本部门2019年度结转结余资金5.09万元，结转资金为人员社会保障缴费支出结转。</w:t>
      </w:r>
    </w:p>
    <w:p>
      <w:pPr>
        <w:adjustRightInd w:val="0"/>
        <w:snapToGrid w:val="0"/>
        <w:spacing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2. 由于决算公开表格中金额数值应当保留两位小数，公开数据为四舍五入计算结果，个别数据合计项与分项之和存在小数点后差额，特此说明。</w:t>
      </w:r>
    </w:p>
    <w:p>
      <w:pPr>
        <w:widowControl/>
        <w:spacing w:line="580" w:lineRule="exact"/>
        <w:ind w:firstLine="883" w:firstLineChars="200"/>
        <w:jc w:val="left"/>
        <w:rPr>
          <w:rFonts w:ascii="宋体" w:eastAsia="宋体" w:cs="MS-UIGothic,Bold"/>
          <w:b/>
          <w:bCs/>
          <w:kern w:val="0"/>
          <w:sz w:val="44"/>
          <w:szCs w:val="44"/>
        </w:rPr>
        <w:sectPr>
          <w:type w:val="continuous"/>
          <w:pgSz w:w="11906" w:h="16838"/>
          <w:pgMar w:top="2098" w:right="1474" w:bottom="1984" w:left="1588" w:header="851" w:footer="992" w:gutter="0"/>
          <w:pgNumType w:fmt="numberInDash"/>
          <w:cols w:space="720" w:num="1"/>
          <w:docGrid w:type="lines" w:linePitch="312" w:charSpace="0"/>
        </w:sectPr>
      </w:pPr>
    </w:p>
    <w:p>
      <w:pPr>
        <w:jc w:val="center"/>
        <w:rPr>
          <w:rFonts w:ascii="黑体" w:eastAsia="黑体" w:cs="黑体"/>
          <w:sz w:val="56"/>
          <w:szCs w:val="72"/>
        </w:rPr>
      </w:pPr>
    </w:p>
    <w:p>
      <w:pPr>
        <w:jc w:val="center"/>
        <w:rPr>
          <w:rFonts w:ascii="黑体" w:eastAsia="黑体" w:cs="黑体"/>
          <w:sz w:val="56"/>
          <w:szCs w:val="72"/>
        </w:rPr>
        <w:sectPr>
          <w:type w:val="continuous"/>
          <w:pgSz w:w="11906" w:h="16838"/>
          <w:pgMar w:top="2041" w:right="1531" w:bottom="2041" w:left="1531" w:header="851" w:footer="992" w:gutter="0"/>
          <w:pgNumType w:fmt="numberInDash"/>
          <w:cols w:space="720" w:num="1"/>
          <w:titlePg/>
          <w:docGrid w:type="lines" w:linePitch="312" w:charSpace="0"/>
        </w:sectPr>
      </w:pPr>
    </w:p>
    <w:p>
      <w:pPr>
        <w:rPr>
          <w:rFonts w:ascii="黑体" w:eastAsia="黑体" w:cs="黑体"/>
          <w:sz w:val="56"/>
          <w:szCs w:val="72"/>
        </w:rPr>
        <w:sectPr>
          <w:headerReference r:id="rId21" w:type="first"/>
          <w:footerReference r:id="rId23" w:type="first"/>
          <w:headerReference r:id="rId20" w:type="default"/>
          <w:footerReference r:id="rId22" w:type="default"/>
          <w:type w:val="continuous"/>
          <w:pgSz w:w="11906" w:h="16838"/>
          <w:pgMar w:top="2041" w:right="1531" w:bottom="2041" w:left="1531" w:header="851" w:footer="992" w:gutter="0"/>
          <w:pgNumType w:fmt="numberInDash"/>
          <w:cols w:space="720" w:num="1"/>
          <w:titlePg/>
          <w:docGrid w:type="lines" w:linePitch="312" w:charSpace="0"/>
        </w:sectPr>
      </w:pPr>
      <w:r>
        <w:rPr>
          <w:rFonts w:ascii="黑体" w:eastAsia="黑体" w:cs="黑体"/>
          <w:sz w:val="56"/>
          <w:szCs w:val="72"/>
        </w:rPr>
        <w:br w:type="page"/>
      </w:r>
    </w:p>
    <w:p>
      <w:pPr>
        <w:rPr>
          <w:rFonts w:ascii="黑体" w:eastAsia="黑体" w:cs="黑体"/>
          <w:sz w:val="56"/>
          <w:szCs w:val="72"/>
        </w:rPr>
      </w:pPr>
    </w:p>
    <w:p>
      <w:pPr>
        <w:jc w:val="center"/>
        <w:rPr>
          <w:rFonts w:ascii="黑体" w:eastAsia="黑体" w:cs="黑体"/>
          <w:sz w:val="56"/>
          <w:szCs w:val="72"/>
        </w:rPr>
      </w:pPr>
    </w:p>
    <w:p>
      <w:pPr>
        <w:jc w:val="center"/>
        <w:rPr>
          <w:rFonts w:ascii="黑体" w:eastAsia="黑体" w:cs="黑体"/>
          <w:sz w:val="56"/>
          <w:szCs w:val="72"/>
        </w:rPr>
      </w:pPr>
    </w:p>
    <w:p>
      <w:pPr>
        <w:jc w:val="center"/>
        <w:rPr>
          <w:sz w:val="72"/>
        </w:rPr>
      </w:pPr>
      <w:r>
        <w:rPr>
          <w:sz w:val="72"/>
        </w:rPr>
        <w:pict>
          <v:shape id="文本框 146" o:spid="_x0000_s2052" o:spt="202" type="#_x0000_t202" style="position:absolute;left:0pt;margin-left:-80.45pt;margin-top:34.8pt;height:263.1pt;width:613.65pt;z-index:251668480;v-text-anchor:middle;mso-width-relative:page;mso-height-relative:page;" fillcolor="#FFD966" filled="t" stroked="t" coordsize="21600,21600">
            <v:path/>
            <v:fill type="pattern" on="t" o:title="5%" focussize="0,0" r:id="rId31"/>
            <v:stroke weight="0.5pt" color="#FFD966" joinstyle="miter"/>
            <v:imagedata o:title=""/>
            <o:lock v:ext="edit"/>
            <v:textbox>
              <w:txbxContent>
                <w:p>
                  <w:pPr>
                    <w:widowControl/>
                    <w:jc w:val="center"/>
                  </w:pPr>
                  <w:r>
                    <w:rPr>
                      <w:rFonts w:hint="eastAsia" w:ascii="黑体" w:eastAsia="黑体" w:cs="黑体"/>
                      <w:color w:val="000000"/>
                      <w:sz w:val="90"/>
                      <w:szCs w:val="90"/>
                    </w:rPr>
                    <w:t>第三部分 相关名词解释</w:t>
                  </w:r>
                </w:p>
              </w:txbxContent>
            </v:textbox>
          </v:shape>
        </w:pict>
      </w:r>
    </w:p>
    <w:p/>
    <w:p/>
    <w:p/>
    <w:p/>
    <w:p/>
    <w:p/>
    <w:p/>
    <w:p/>
    <w:p/>
    <w:p/>
    <w:p/>
    <w:p>
      <w:pPr>
        <w:tabs>
          <w:tab w:val="left" w:pos="886"/>
        </w:tabs>
        <w:jc w:val="left"/>
        <w:sectPr>
          <w:headerReference r:id="rId24" w:type="first"/>
          <w:pgSz w:w="11906" w:h="16838"/>
          <w:pgMar w:top="2041" w:right="1531" w:bottom="2041" w:left="1531" w:header="851" w:footer="992" w:gutter="0"/>
          <w:pgNumType w:fmt="numberInDash"/>
          <w:cols w:space="720" w:num="1"/>
          <w:titlePg/>
          <w:docGrid w:type="lines" w:linePitch="312" w:charSpace="0"/>
        </w:sectPr>
      </w:pP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（一）财政拨款收入：</w:t>
      </w:r>
      <w:r>
        <w:rPr>
          <w:rFonts w:hint="eastAsia" w:ascii="仿宋_GB2312" w:eastAsia="仿宋_GB2312" w:cs="Times New Roman"/>
          <w:color w:val="000000"/>
          <w:kern w:val="0"/>
          <w:sz w:val="32"/>
          <w:szCs w:val="32"/>
        </w:rPr>
        <w:t>本年度从本级财政部门取得的财政拨款，包括一般公共预算财政拨款和政府性基金预算财政拨款。</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（二）事业收入：</w:t>
      </w:r>
      <w:r>
        <w:rPr>
          <w:rFonts w:hint="eastAsia" w:ascii="仿宋_GB2312" w:eastAsia="仿宋_GB2312" w:cs="Times New Roman"/>
          <w:color w:val="000000"/>
          <w:kern w:val="0"/>
          <w:sz w:val="32"/>
          <w:szCs w:val="32"/>
        </w:rPr>
        <w:t>指事业单位开展专业业务活动及辅助活动所取得的收入。</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（三）其他收入：</w:t>
      </w:r>
      <w:r>
        <w:rPr>
          <w:rFonts w:hint="eastAsia" w:ascii="仿宋_GB2312" w:eastAsia="仿宋_GB2312" w:cs="Times New Roman"/>
          <w:color w:val="000000"/>
          <w:kern w:val="0"/>
          <w:sz w:val="32"/>
          <w:szCs w:val="32"/>
        </w:rPr>
        <w:t>指除上述“财政拨款收入”“事业收入”“经营收入”等以外的收入。</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（四）用事业基金弥补收支差额：</w:t>
      </w:r>
      <w:r>
        <w:rPr>
          <w:rFonts w:hint="eastAsia" w:ascii="仿宋_GB2312" w:eastAsia="仿宋_GB2312" w:cs="Times New Roman"/>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（五）年初结转和结余：</w:t>
      </w:r>
      <w:r>
        <w:rPr>
          <w:rFonts w:hint="eastAsia" w:ascii="仿宋_GB2312" w:eastAsia="仿宋_GB2312" w:cs="Times New Roman"/>
          <w:color w:val="000000"/>
          <w:kern w:val="0"/>
          <w:sz w:val="32"/>
          <w:szCs w:val="32"/>
        </w:rPr>
        <w:t>指以前年度尚未完成、结转到本年仍按原规定用途继续使用的资金，或项目已完成等产生的结余资金。</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（六）结余分配：</w:t>
      </w:r>
      <w:r>
        <w:rPr>
          <w:rFonts w:hint="eastAsia" w:ascii="仿宋_GB2312" w:eastAsia="仿宋_GB2312" w:cs="Times New Roman"/>
          <w:color w:val="000000"/>
          <w:kern w:val="0"/>
          <w:sz w:val="32"/>
          <w:szCs w:val="32"/>
        </w:rPr>
        <w:t>指事业单位按照事业单位会计制度的规定从非财政补助结余中分配的事业基金和职工福利基金等。</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（七）年末结转和结余：</w:t>
      </w:r>
      <w:r>
        <w:rPr>
          <w:rFonts w:hint="eastAsia" w:ascii="仿宋_GB2312" w:eastAsia="仿宋_GB2312" w:cs="Times New Roman"/>
          <w:color w:val="000000"/>
          <w:kern w:val="0"/>
          <w:sz w:val="32"/>
          <w:szCs w:val="32"/>
        </w:rPr>
        <w:t>指单位按有关规定结转到下年或以后年度继续使用的资金，或项目已完成等产生的结余资金。</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（八）基本支出：</w:t>
      </w:r>
      <w:r>
        <w:rPr>
          <w:rFonts w:hint="eastAsia" w:ascii="仿宋_GB2312" w:eastAsia="仿宋_GB2312" w:cs="Times New Roman"/>
          <w:color w:val="000000"/>
          <w:kern w:val="0"/>
          <w:sz w:val="32"/>
          <w:szCs w:val="32"/>
        </w:rPr>
        <w:t>填列单位为保障机构正常运转、完成日常工作任务而发生的各项支出。</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（九）项目支出：</w:t>
      </w:r>
      <w:r>
        <w:rPr>
          <w:rFonts w:hint="eastAsia" w:ascii="仿宋_GB2312" w:eastAsia="仿宋_GB2312" w:cs="Times New Roman"/>
          <w:color w:val="000000"/>
          <w:kern w:val="0"/>
          <w:sz w:val="32"/>
          <w:szCs w:val="32"/>
        </w:rPr>
        <w:t>填列单位为完成特定的行政工作任务或事业发展目标，在基本支出之外发生的各项支出</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（十）基本建设支出：</w:t>
      </w:r>
      <w:r>
        <w:rPr>
          <w:rFonts w:hint="eastAsia" w:ascii="仿宋_GB2312" w:eastAsia="仿宋_GB2312" w:cs="Times New Roman"/>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（十一）其他资本性支出：</w:t>
      </w:r>
      <w:r>
        <w:rPr>
          <w:rFonts w:hint="eastAsia" w:ascii="仿宋_GB2312" w:eastAsia="仿宋_GB2312" w:cs="Times New Roman"/>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snapToGrid w:val="0"/>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（十二）“三公”经费：</w:t>
      </w:r>
      <w:r>
        <w:rPr>
          <w:rFonts w:hint="eastAsia" w:ascii="仿宋_GB2312" w:eastAsia="仿宋_GB2312" w:cs="Times New Roman"/>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（十三）其他交通费用：</w:t>
      </w:r>
      <w:r>
        <w:rPr>
          <w:rFonts w:hint="eastAsia" w:ascii="仿宋_GB2312" w:eastAsia="仿宋_GB2312" w:cs="Times New Roman"/>
          <w:color w:val="000000"/>
          <w:kern w:val="0"/>
          <w:sz w:val="32"/>
          <w:szCs w:val="32"/>
        </w:rPr>
        <w:t>填列单位除公务用车运行维护费以外的其他交通费用。如公务交通补贴、租车费用、出租车费用，飞机、船舶等燃料费、维修费、保险费等。</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（十四）公务用车购置：</w:t>
      </w:r>
      <w:r>
        <w:rPr>
          <w:rFonts w:hint="eastAsia" w:ascii="仿宋_GB2312" w:eastAsia="仿宋_GB2312" w:cs="Times New Roman"/>
          <w:color w:val="000000"/>
          <w:kern w:val="0"/>
          <w:sz w:val="32"/>
          <w:szCs w:val="32"/>
        </w:rPr>
        <w:t>填列单位公务用车车辆购置支出（含车辆购置税、牌照费）。</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（十五）其他交通工具购置：</w:t>
      </w:r>
      <w:r>
        <w:rPr>
          <w:rFonts w:hint="eastAsia" w:ascii="仿宋_GB2312" w:eastAsia="仿宋_GB2312" w:cs="Times New Roman"/>
          <w:color w:val="000000"/>
          <w:kern w:val="0"/>
          <w:sz w:val="32"/>
          <w:szCs w:val="32"/>
        </w:rPr>
        <w:t>填列单位除公务用车外的其他各类交通工具（如船舶、飞机等）购置支出（含车辆购置税、牌照费）。</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（十六）机关运行经费：</w:t>
      </w:r>
      <w:r>
        <w:rPr>
          <w:rFonts w:hint="eastAsia" w:ascii="仿宋_GB2312" w:eastAsia="仿宋_GB2312" w:cs="Times New Roman"/>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widowControl/>
        <w:spacing w:line="560" w:lineRule="exact"/>
        <w:ind w:firstLine="643" w:firstLineChars="200"/>
        <w:rPr>
          <w:rFonts w:ascii="仿宋_GB2312" w:eastAsia="仿宋_GB2312" w:cs="ArialUnicodeMS"/>
          <w:kern w:val="0"/>
          <w:sz w:val="32"/>
          <w:szCs w:val="32"/>
        </w:rPr>
      </w:pPr>
      <w:r>
        <w:rPr>
          <w:rFonts w:hint="eastAsia" w:ascii="仿宋_GB2312" w:eastAsia="仿宋_GB2312" w:cs="Times New Roman"/>
          <w:b/>
          <w:bCs/>
          <w:color w:val="000000"/>
          <w:kern w:val="0"/>
          <w:sz w:val="32"/>
          <w:szCs w:val="32"/>
        </w:rPr>
        <w:t>（十七）经费形式:</w:t>
      </w:r>
      <w:r>
        <w:rPr>
          <w:rFonts w:hint="eastAsia" w:ascii="仿宋_GB2312" w:eastAsia="仿宋_GB2312" w:cs="Times New Roman"/>
          <w:color w:val="000000"/>
          <w:kern w:val="0"/>
          <w:sz w:val="32"/>
          <w:szCs w:val="32"/>
        </w:rPr>
        <w:t>按照经费来源，</w:t>
      </w:r>
      <w:r>
        <w:rPr>
          <w:rFonts w:hint="eastAsia" w:ascii="仿宋_GB2312" w:eastAsia="仿宋_GB2312" w:cs="ArialUnicodeMS"/>
          <w:kern w:val="0"/>
          <w:sz w:val="32"/>
          <w:szCs w:val="32"/>
        </w:rPr>
        <w:t>可分为财政拨款、财政性资金基本保证、财政性资金定额或定项补助、财政性资金零补助四类。</w:t>
      </w:r>
    </w:p>
    <w:p/>
    <w:p/>
    <w:p/>
    <w:p>
      <w:pPr>
        <w:tabs>
          <w:tab w:val="left" w:pos="235"/>
        </w:tabs>
        <w:jc w:val="left"/>
      </w:pPr>
    </w:p>
    <w:p>
      <w:pPr>
        <w:tabs>
          <w:tab w:val="left" w:pos="235"/>
        </w:tabs>
        <w:jc w:val="left"/>
      </w:pPr>
    </w:p>
    <w:p>
      <w:pPr>
        <w:tabs>
          <w:tab w:val="left" w:pos="235"/>
        </w:tabs>
        <w:jc w:val="left"/>
      </w:pPr>
    </w:p>
    <w:p>
      <w:pPr>
        <w:tabs>
          <w:tab w:val="left" w:pos="235"/>
        </w:tabs>
        <w:jc w:val="left"/>
      </w:pPr>
    </w:p>
    <w:p>
      <w:pPr>
        <w:tabs>
          <w:tab w:val="left" w:pos="235"/>
        </w:tabs>
        <w:jc w:val="left"/>
      </w:pPr>
    </w:p>
    <w:p>
      <w:pPr>
        <w:tabs>
          <w:tab w:val="left" w:pos="235"/>
        </w:tabs>
        <w:jc w:val="left"/>
        <w:sectPr>
          <w:headerReference r:id="rId25" w:type="default"/>
          <w:pgSz w:w="11906" w:h="16838"/>
          <w:pgMar w:top="2098" w:right="1474" w:bottom="1985" w:left="1588" w:header="851" w:footer="992" w:gutter="0"/>
          <w:pgNumType w:fmt="numberInDash"/>
          <w:cols w:space="720" w:num="1"/>
          <w:docGrid w:type="lines" w:linePitch="312" w:charSpace="0"/>
        </w:sectPr>
      </w:pPr>
    </w:p>
    <w:p>
      <w:pPr>
        <w:tabs>
          <w:tab w:val="left" w:pos="235"/>
        </w:tabs>
        <w:jc w:val="left"/>
        <w:sectPr>
          <w:headerReference r:id="rId26" w:type="default"/>
          <w:pgSz w:w="11906" w:h="16838"/>
          <w:pgMar w:top="2098" w:right="1474" w:bottom="1985" w:left="1588" w:header="851" w:footer="992" w:gutter="0"/>
          <w:pgNumType w:fmt="numberInDash"/>
          <w:cols w:space="720" w:num="1"/>
          <w:docGrid w:type="lines" w:linePitch="312" w:charSpace="0"/>
        </w:sectPr>
      </w:pPr>
      <w:r>
        <w:rPr>
          <w:sz w:val="72"/>
        </w:rPr>
        <w:pict>
          <v:shape id="文本框 165" o:spid="_x0000_s2051" o:spt="202" type="#_x0000_t202" style="position:absolute;left:0pt;margin-left:-82.05pt;margin-top:111.85pt;height:263.1pt;width:613.65pt;z-index:251669504;v-text-anchor:middle;mso-width-relative:page;mso-height-relative:page;" fillcolor="#FFD966" filled="t" stroked="t" coordsize="21600,21600">
            <v:path/>
            <v:fill type="pattern" on="t" o:title="5%" focussize="0,0" r:id="rId31"/>
            <v:stroke weight="0.5pt" color="#FFD966" joinstyle="miter"/>
            <v:imagedata o:title=""/>
            <o:lock v:ext="edit"/>
            <v:textbox>
              <w:txbxContent>
                <w:p>
                  <w:pPr>
                    <w:widowControl/>
                    <w:jc w:val="center"/>
                    <w:rPr>
                      <w:rFonts w:ascii="黑体" w:eastAsia="黑体" w:cs="黑体"/>
                      <w:color w:val="000000"/>
                      <w:sz w:val="90"/>
                      <w:szCs w:val="90"/>
                    </w:rPr>
                  </w:pPr>
                  <w:r>
                    <w:rPr>
                      <w:rFonts w:hint="eastAsia" w:ascii="黑体" w:eastAsia="黑体" w:cs="黑体"/>
                      <w:color w:val="000000"/>
                      <w:sz w:val="90"/>
                      <w:szCs w:val="90"/>
                    </w:rPr>
                    <w:t xml:space="preserve">第四部分 </w:t>
                  </w:r>
                </w:p>
                <w:p>
                  <w:pPr>
                    <w:widowControl/>
                    <w:jc w:val="center"/>
                    <w:rPr>
                      <w:rFonts w:ascii="黑体" w:eastAsia="黑体" w:cs="黑体"/>
                      <w:color w:val="000000"/>
                      <w:sz w:val="90"/>
                      <w:szCs w:val="90"/>
                    </w:rPr>
                  </w:pPr>
                  <w:r>
                    <w:rPr>
                      <w:rFonts w:hint="eastAsia" w:ascii="黑体" w:eastAsia="黑体" w:cs="黑体"/>
                      <w:color w:val="000000"/>
                      <w:sz w:val="90"/>
                      <w:szCs w:val="90"/>
                    </w:rPr>
                    <w:t>2019年度部门决算报表</w:t>
                  </w:r>
                </w:p>
                <w:p>
                  <w:pPr>
                    <w:widowControl/>
                    <w:jc w:val="center"/>
                  </w:pPr>
                  <w:r>
                    <w:rPr>
                      <w:rFonts w:hint="eastAsia" w:ascii="黑体" w:eastAsia="黑体" w:cs="黑体"/>
                      <w:color w:val="000000"/>
                      <w:sz w:val="90"/>
                      <w:szCs w:val="90"/>
                    </w:rPr>
                    <w:t>（见附表）</w:t>
                  </w:r>
                </w:p>
              </w:txbxContent>
            </v:textbox>
          </v:shape>
        </w:pict>
      </w:r>
    </w:p>
    <w:p/>
    <w:p>
      <w:r>
        <w:pict>
          <v:rect id="矩形 205" o:spid="_x0000_s2050" o:spt="1" style="position:absolute;left:0pt;margin-left:-70.5pt;margin-top:-85.25pt;height:841.15pt;width:595.1pt;z-index:251670528;mso-width-relative:page;mso-height-relative:page;" fillcolor="#FFC000" filled="t" stroked="f" coordsize="21600,21600">
            <v:path/>
            <v:fill on="t" focussize="0,0"/>
            <v:stroke on="f"/>
            <v:imagedata o:title=""/>
            <o:lock v:ext="edit"/>
          </v:rect>
        </w:pict>
      </w:r>
    </w:p>
    <w:sectPr>
      <w:headerReference r:id="rId28" w:type="first"/>
      <w:headerReference r:id="rId27" w:type="default"/>
      <w:footerReference r:id="rId29" w:type="default"/>
      <w:pgSz w:w="11906" w:h="16838"/>
      <w:pgMar w:top="1701" w:right="1417" w:bottom="1281" w:left="141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方正粗黑宋简体"/>
    <w:panose1 w:val="00000000000000000000"/>
    <w:charset w:val="86"/>
    <w:family w:val="auto"/>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Yu Gothic UI Semibold">
    <w:altName w:val="MS Gothic"/>
    <w:panose1 w:val="00000000000000000000"/>
    <w:charset w:val="80"/>
    <w:family w:val="swiss"/>
    <w:pitch w:val="default"/>
    <w:sig w:usb0="00000000" w:usb1="00000000" w:usb2="00000010" w:usb3="00000000" w:csb0="00020000" w:csb1="00000000"/>
  </w:font>
  <w:font w:name="思源黑体 HW Bold">
    <w:altName w:val="黑体"/>
    <w:panose1 w:val="00000000000000000000"/>
    <w:charset w:val="86"/>
    <w:family w:val="swiss"/>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ArialUnicodeMS">
    <w:altName w:val="Malgun Gothic"/>
    <w:panose1 w:val="00000000000000000000"/>
    <w:charset w:val="81"/>
    <w:family w:val="auto"/>
    <w:pitch w:val="default"/>
    <w:sig w:usb0="00000000" w:usb1="00000000" w:usb2="00000010" w:usb3="00000000" w:csb0="00080001" w:csb1="00000000"/>
  </w:font>
  <w:font w:name="方正书宋_GBK">
    <w:altName w:val="微软雅黑"/>
    <w:panose1 w:val="00000000000000000000"/>
    <w:charset w:val="86"/>
    <w:family w:val="script"/>
    <w:pitch w:val="default"/>
    <w:sig w:usb0="00000000" w:usb1="00000000" w:usb2="00000010" w:usb3="00000000" w:csb0="00040000" w:csb1="00000000"/>
  </w:font>
  <w:font w:name="DengXian-Regular">
    <w:altName w:val="宋体"/>
    <w:panose1 w:val="00000000000000000000"/>
    <w:charset w:val="86"/>
    <w:family w:val="auto"/>
    <w:pitch w:val="default"/>
    <w:sig w:usb0="00000000" w:usb1="00000000" w:usb2="00000010" w:usb3="00000000" w:csb0="00040001" w:csb1="00000000"/>
  </w:font>
  <w:font w:name="DengXian-Bold">
    <w:altName w:val="宋体"/>
    <w:panose1 w:val="00000000000000000000"/>
    <w:charset w:val="86"/>
    <w:family w:val="auto"/>
    <w:pitch w:val="default"/>
    <w:sig w:usb0="00000000" w:usb1="00000000" w:usb2="00000010" w:usb3="00000000" w:csb0="00040001" w:csb1="00000000"/>
  </w:font>
  <w:font w:name="??_GB2312">
    <w:altName w:val="Times New Roman"/>
    <w:panose1 w:val="00000000000000000000"/>
    <w:charset w:val="00"/>
    <w:family w:val="auto"/>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TimesNewRomanPSMT">
    <w:altName w:val="Arial"/>
    <w:panose1 w:val="00000000000000000000"/>
    <w:charset w:val="00"/>
    <w:family w:val="swiss"/>
    <w:pitch w:val="default"/>
    <w:sig w:usb0="00000000" w:usb1="00000000" w:usb2="00000000" w:usb3="00000000" w:csb0="00000001" w:csb1="00000000"/>
  </w:font>
  <w:font w:name="MS-UIGothic,Bold">
    <w:altName w:val="Malgun Gothic"/>
    <w:panose1 w:val="00000000000000000000"/>
    <w:charset w:val="81"/>
    <w:family w:val="auto"/>
    <w:pitch w:val="default"/>
    <w:sig w:usb0="00000000" w:usb1="00000000" w:usb2="00000010" w:usb3="00000000" w:csb0="00080000" w:csb1="00000000"/>
  </w:font>
  <w:font w:name="方正粗黑宋简体">
    <w:panose1 w:val="02000000000000000000"/>
    <w:charset w:val="86"/>
    <w:family w:val="auto"/>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 w:name="MS Gothic">
    <w:panose1 w:val="020B0609070205080204"/>
    <w:charset w:val="80"/>
    <w:family w:val="auto"/>
    <w:pitch w:val="default"/>
    <w:sig w:usb0="E00002FF" w:usb1="6AC7FDFB" w:usb2="00000012" w:usb3="00000000" w:csb0="4002009F" w:csb1="DFD70000"/>
  </w:font>
  <w:font w:name="Malgun Gothic">
    <w:panose1 w:val="020B0503020000020004"/>
    <w:charset w:val="81"/>
    <w:family w:val="auto"/>
    <w:pitch w:val="default"/>
    <w:sig w:usb0="900002AF" w:usb1="01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文本框 143" o:spid="_x0000_s1045" o:spt="202" type="#_x0000_t202" style="position:absolute;left:0pt;margin-left:205.45pt;margin-top:-18.75pt;height:31.45pt;width:30.15pt;mso-position-horizontal-relative:margin;z-index:251659264;mso-width-relative:page;mso-height-relative:page;" filled="f" stroked="f" coordsize="21600,21600">
          <v:path/>
          <v:fill on="f" focussize="0,0"/>
          <v:stroke on="f" joinstyle="miter"/>
          <v:imagedata o:title=""/>
          <o:lock v:ext="edit"/>
          <v:textbox inset="0mm,0mm,0mm,0mm">
            <w:txbxContent>
              <w:p>
                <w:pPr>
                  <w:pStyle w:val="7"/>
                  <w:rPr>
                    <w:rFonts w:ascii="Times New Roman" w:cs="Times New Roman"/>
                    <w:sz w:val="24"/>
                    <w:szCs w:val="24"/>
                  </w:rPr>
                </w:pPr>
                <w:r>
                  <w:rPr>
                    <w:rFonts w:ascii="Times New Roman" w:cs="Times New Roman"/>
                    <w:sz w:val="24"/>
                    <w:szCs w:val="24"/>
                  </w:rPr>
                  <w:fldChar w:fldCharType="begin"/>
                </w:r>
                <w:r>
                  <w:rPr>
                    <w:rFonts w:ascii="Times New Roman" w:cs="Times New Roman"/>
                    <w:sz w:val="24"/>
                    <w:szCs w:val="24"/>
                  </w:rPr>
                  <w:instrText xml:space="preserve"> PAGE  \* MERGEFORMAT </w:instrText>
                </w:r>
                <w:r>
                  <w:rPr>
                    <w:rFonts w:ascii="Times New Roman" w:cs="Times New Roman"/>
                    <w:sz w:val="24"/>
                    <w:szCs w:val="24"/>
                  </w:rPr>
                  <w:fldChar w:fldCharType="separate"/>
                </w:r>
                <w:r>
                  <w:rPr>
                    <w:rFonts w:ascii="Times New Roman" w:cs="Times New Roman"/>
                    <w:sz w:val="24"/>
                    <w:szCs w:val="24"/>
                  </w:rPr>
                  <w:t>- 16 -</w:t>
                </w:r>
                <w:r>
                  <w:rPr>
                    <w:rFonts w:ascii="Times New Roman" w:cs="Times New Roman"/>
                    <w:sz w:val="24"/>
                    <w:szCs w:val="24"/>
                  </w:rPr>
                  <w:fldChar w:fldCharType="end"/>
                </w:r>
              </w:p>
            </w:txbxContent>
          </v:textbox>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文本框 203" o:spid="_x0000_s1025" o:spt="202" type="#_x0000_t202" style="position:absolute;left:0pt;margin-left:209.15pt;margin-top:-6pt;height:18.7pt;width:26pt;mso-position-horizontal-relative:margin;mso-wrap-style:none;z-index:251659264;mso-width-relative:page;mso-height-relative:page;" filled="f" stroked="f" coordsize="21600,21600">
          <v:path/>
          <v:fill on="f" focussize="0,0"/>
          <v:stroke on="f" joinstyle="miter"/>
          <v:imagedata o:title=""/>
          <o:lock v:ext="edit"/>
          <v:textbox inset="0mm,0mm,0mm,0mm">
            <w:txbxContent>
              <w:p>
                <w:pPr>
                  <w:pStyle w:val="7"/>
                  <w:rPr>
                    <w:rFonts w:ascii="Times New Roman" w:cs="Times New Roman"/>
                    <w:sz w:val="24"/>
                    <w:szCs w:val="24"/>
                  </w:rPr>
                </w:pPr>
                <w:r>
                  <w:rPr>
                    <w:rFonts w:ascii="Times New Roman" w:cs="Times New Roman"/>
                    <w:sz w:val="24"/>
                    <w:szCs w:val="24"/>
                  </w:rPr>
                  <w:fldChar w:fldCharType="begin"/>
                </w:r>
                <w:r>
                  <w:rPr>
                    <w:rFonts w:ascii="Times New Roman" w:cs="Times New Roman"/>
                    <w:sz w:val="24"/>
                    <w:szCs w:val="24"/>
                  </w:rPr>
                  <w:instrText xml:space="preserve"> PAGE  \* MERGEFORMAT </w:instrText>
                </w:r>
                <w:r>
                  <w:rPr>
                    <w:rFonts w:ascii="Times New Roman" w:cs="Times New Roman"/>
                    <w:sz w:val="24"/>
                    <w:szCs w:val="24"/>
                  </w:rPr>
                  <w:fldChar w:fldCharType="separate"/>
                </w:r>
                <w:r>
                  <w:rPr>
                    <w:rFonts w:ascii="Times New Roman" w:cs="Times New Roman"/>
                    <w:sz w:val="24"/>
                    <w:szCs w:val="24"/>
                  </w:rPr>
                  <w:t>- 21 -</w:t>
                </w:r>
                <w:r>
                  <w:rPr>
                    <w:rFonts w:ascii="Times New Roman" w:cs="Times New Roman"/>
                    <w:sz w:val="24"/>
                    <w:szCs w:val="24"/>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文本框 67" o:spid="_x0000_s1069" o:spt="202" type="#_x0000_t202" style="position:absolute;left:0pt;margin-left:209.65pt;margin-top:-12.95pt;height:14.3pt;width:30.6pt;mso-position-horizontal-relative:margin;z-index:251659264;mso-width-relative:page;mso-height-relative:page;" filled="f" stroked="f" coordsize="21600,21600">
          <v:path/>
          <v:fill on="f" focussize="0,0"/>
          <v:stroke on="f" joinstyle="miter"/>
          <v:imagedata o:title=""/>
          <o:lock v:ext="edit"/>
          <v:textbox inset="0mm,0mm,0mm,0mm">
            <w:txbxContent>
              <w:p>
                <w:pPr>
                  <w:pStyle w:val="7"/>
                  <w:jc w:val="center"/>
                  <w:rPr>
                    <w:rFonts w:ascii="Times New Roman" w:cs="Times New Roman"/>
                    <w:sz w:val="24"/>
                    <w:szCs w:val="24"/>
                  </w:rPr>
                </w:pPr>
                <w:r>
                  <w:rPr>
                    <w:rFonts w:ascii="Times New Roman" w:cs="Times New Roman"/>
                    <w:sz w:val="24"/>
                    <w:szCs w:val="24"/>
                  </w:rPr>
                  <w:fldChar w:fldCharType="begin"/>
                </w:r>
                <w:r>
                  <w:rPr>
                    <w:rFonts w:ascii="Times New Roman" w:cs="Times New Roman"/>
                    <w:sz w:val="24"/>
                    <w:szCs w:val="24"/>
                  </w:rPr>
                  <w:instrText xml:space="preserve"> PAGE  \* MERGEFORMAT </w:instrText>
                </w:r>
                <w:r>
                  <w:rPr>
                    <w:rFonts w:ascii="Times New Roman" w:cs="Times New Roman"/>
                    <w:sz w:val="24"/>
                    <w:szCs w:val="24"/>
                  </w:rPr>
                  <w:fldChar w:fldCharType="separate"/>
                </w:r>
                <w:r>
                  <w:rPr>
                    <w:rFonts w:ascii="Times New Roman" w:cs="Times New Roman"/>
                    <w:sz w:val="24"/>
                    <w:szCs w:val="24"/>
                  </w:rPr>
                  <w:t>- 15 -</w:t>
                </w:r>
                <w:r>
                  <w:rPr>
                    <w:rFonts w:ascii="Times New Roman" w:cs="Times New Roman"/>
                    <w:sz w:val="24"/>
                    <w:szCs w:val="24"/>
                  </w:rP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文本框 70" o:spid="_x0000_s1068" o:spt="202" type="#_x0000_t202" style="position:absolute;left:0pt;margin-left:206.55pt;margin-top:-22.45pt;height:35.15pt;width:34pt;mso-position-horizontal-relative:margin;z-index:251659264;mso-width-relative:page;mso-height-relative:page;" filled="f" stroked="f" coordsize="21600,21600">
          <v:path/>
          <v:fill on="f" focussize="0,0"/>
          <v:stroke on="f" joinstyle="miter"/>
          <v:imagedata o:title=""/>
          <o:lock v:ext="edit"/>
          <v:textbox inset="0mm,0mm,0mm,0mm">
            <w:txbxContent>
              <w:p>
                <w:pPr>
                  <w:pStyle w:val="7"/>
                  <w:jc w:val="center"/>
                  <w:rPr>
                    <w:rFonts w:ascii="Times New Roman" w:cs="Times New Roman"/>
                    <w:sz w:val="24"/>
                    <w:szCs w:val="24"/>
                  </w:rPr>
                </w:pPr>
                <w:r>
                  <w:rPr>
                    <w:rFonts w:ascii="Times New Roman" w:cs="Times New Roman"/>
                    <w:sz w:val="24"/>
                    <w:szCs w:val="24"/>
                  </w:rPr>
                  <w:fldChar w:fldCharType="begin"/>
                </w:r>
                <w:r>
                  <w:rPr>
                    <w:rFonts w:ascii="Times New Roman" w:cs="Times New Roman"/>
                    <w:sz w:val="24"/>
                    <w:szCs w:val="24"/>
                  </w:rPr>
                  <w:instrText xml:space="preserve"> PAGE  \* MERGEFORMAT </w:instrText>
                </w:r>
                <w:r>
                  <w:rPr>
                    <w:rFonts w:ascii="Times New Roman" w:cs="Times New Roman"/>
                    <w:sz w:val="24"/>
                    <w:szCs w:val="24"/>
                  </w:rPr>
                  <w:fldChar w:fldCharType="separate"/>
                </w:r>
                <w:r>
                  <w:rPr>
                    <w:rFonts w:ascii="Times New Roman" w:cs="Times New Roman"/>
                    <w:sz w:val="24"/>
                    <w:szCs w:val="24"/>
                  </w:rPr>
                  <w:t>- 4 -</w:t>
                </w:r>
                <w:r>
                  <w:rPr>
                    <w:rFonts w:ascii="Times New Roman" w:cs="Times New Roman"/>
                    <w:sz w:val="24"/>
                    <w:szCs w:val="24"/>
                  </w:rPr>
                  <w:fldChar w:fldCharType="end"/>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文本框 140" o:spid="_x0000_s1046" o:spt="202" type="#_x0000_t202" style="position:absolute;left:0pt;margin-left:209.15pt;margin-top:-6pt;height:18.7pt;width:26pt;mso-position-horizontal-relative:margin;mso-wrap-style:none;z-index:251659264;mso-width-relative:page;mso-height-relative:page;" filled="f" stroked="f" coordsize="21600,21600">
          <v:path/>
          <v:fill on="f" focussize="0,0"/>
          <v:stroke on="f" joinstyle="miter"/>
          <v:imagedata o:title=""/>
          <o:lock v:ext="edit"/>
          <v:textbox inset="0mm,0mm,0mm,0mm">
            <w:txbxContent>
              <w:p>
                <w:pPr>
                  <w:pStyle w:val="7"/>
                  <w:rPr>
                    <w:rFonts w:ascii="Times New Roman" w:cs="Times New Roman"/>
                    <w:sz w:val="24"/>
                    <w:szCs w:val="24"/>
                  </w:rPr>
                </w:pPr>
                <w:r>
                  <w:rPr>
                    <w:rFonts w:ascii="Times New Roman" w:cs="Times New Roman"/>
                    <w:sz w:val="24"/>
                    <w:szCs w:val="24"/>
                  </w:rPr>
                  <w:fldChar w:fldCharType="begin"/>
                </w:r>
                <w:r>
                  <w:rPr>
                    <w:rFonts w:ascii="Times New Roman" w:cs="Times New Roman"/>
                    <w:sz w:val="24"/>
                    <w:szCs w:val="24"/>
                  </w:rPr>
                  <w:instrText xml:space="preserve"> PAGE  \* MERGEFORMAT </w:instrText>
                </w:r>
                <w:r>
                  <w:rPr>
                    <w:rFonts w:ascii="Times New Roman" w:cs="Times New Roman"/>
                    <w:sz w:val="24"/>
                    <w:szCs w:val="24"/>
                  </w:rPr>
                  <w:fldChar w:fldCharType="separate"/>
                </w:r>
                <w:r>
                  <w:rPr>
                    <w:rFonts w:ascii="Times New Roman" w:cs="Times New Roman"/>
                    <w:sz w:val="24"/>
                    <w:szCs w:val="24"/>
                  </w:rPr>
                  <w:t>- 17 -</w:t>
                </w:r>
                <w:r>
                  <w:rPr>
                    <w:rFonts w:ascii="Times New Roman" w:cs="Times New Roman"/>
                    <w:sz w:val="24"/>
                    <w:szCs w:val="24"/>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group id="组合 6" o:spid="_x0000_s1081" o:spt="203" style="position:absolute;left:0pt;margin-top:29.75pt;height:0pt;width:157.55pt;mso-position-horizontal:left;mso-position-horizontal-relative:page;mso-position-vertical-relative:page;z-index:251659264;mso-width-relative:page;mso-height-relative:page;" coordorigin="0,595" coordsize="3151,0">
          <o:lock v:ext="edit"/>
          <v:shape id="_s7" o:spid="_x0000_s1083" o:spt="202" type="#_x0000_t202" style="position:absolute;left:64;top:595;height:0;width:3087;" filled="f" stroked="f" coordsize="21600,21600">
            <v:path/>
            <v:fill on="f" focussize="0,0"/>
            <v:stroke on="f" joinstyle="miter"/>
            <v:imagedata o:title=""/>
            <o:lock v:ext="edit"/>
            <v:textbox>
              <w:txbxContent>
                <w:p>
                  <w:pPr>
                    <w:rPr>
                      <w:rFonts w:ascii="微软雅黑" w:eastAsia="微软雅黑" w:cs="微软雅黑"/>
                      <w:b/>
                      <w:bCs/>
                      <w:sz w:val="28"/>
                      <w:szCs w:val="36"/>
                    </w:rPr>
                  </w:pPr>
                  <w:r>
                    <w:rPr>
                      <w:rFonts w:hint="eastAsia" w:ascii="微软雅黑" w:eastAsia="微软雅黑" w:cs="微软雅黑"/>
                      <w:b/>
                      <w:bCs/>
                      <w:sz w:val="28"/>
                      <w:szCs w:val="36"/>
                    </w:rPr>
                    <w:t>20XX 企业业务制定</w:t>
                  </w:r>
                </w:p>
              </w:txbxContent>
            </v:textbox>
          </v:shape>
          <v:rect id="_s8" o:spid="_x0000_s1082" o:spt="1" style="position:absolute;left:0;top:595;height:0;width:119;" fillcolor="#000000" filled="t" stroked="f" coordsize="21600,21600">
            <v:path/>
            <v:fill on="t" focussize="0,0"/>
            <v:stroke on="f"/>
            <v:imagedata o:title=""/>
            <o:lock v:ext="edit"/>
          </v:rect>
        </v:group>
      </w:pict>
    </w:r>
    <w:r>
      <w:pict>
        <v:group id="组合 14" o:spid="_x0000_s1077" o:spt="203" style="position:absolute;left:0pt;margin-left:0pt;margin-top:0pt;height:0.1pt;width:596.5pt;mso-position-horizontal-relative:page;mso-position-vertical-relative:page;z-index:251659264;mso-width-relative:page;mso-height-relative:page;" coordsize="11930,1">
          <o:lock v:ext="edit"/>
          <v:rect id="_s15" o:spid="_x0000_s1080" o:spt="1" style="position:absolute;left:0;top:1;height:0;width:11925;" fillcolor="#FFD966" filled="t" stroked="f" coordsize="21600,21600">
            <v:path/>
            <v:fill on="t" focussize="0,0"/>
            <v:stroke on="f"/>
            <v:imagedata o:title=""/>
            <o:lock v:ext="edit"/>
          </v:rect>
          <v:shape id="_s16" o:spid="_x0000_s1079" o:spt="100" style="position:absolute;left:9295;top:0;height:0;width:2619;" fillcolor="#000000" filled="t" stroked="f" coordsize="21600,21600" adj=",," path="m10800,10800l@8,@8,@4,@6,10800,10800,10800,10800,@9,@7,@30,@31,@17,@18,@24,@25,@15,@16,@32,@33xe">
            <v:path textboxrect="3163,3163,18437,18437" o:connecttype="custom"/>
            <v:fill on="t" focussize="0,0"/>
            <v:stroke on="f" joinstyle="miter"/>
            <v:imagedata o:title=""/>
            <o:lock v:ext="edit"/>
          </v:shape>
          <v:shape id="_s17" o:spid="_x0000_s1078" o:spt="100" style="position:absolute;left:9586;top:0;height:1;width:2343;" fillcolor="#FFD966" filled="t" stroked="f" coordsize="21600,21600" adj=",," path="m10800,10800l@8,@8,@4,@6,10800,10800,10800,10800,@9,@7,@30,@31,@17,@18,@24,@25,@15,@16,@32,@33xe">
            <v:path textboxrect="3163,3163,18437,18437" o:connecttype="custom"/>
            <v:fill on="t" focussize="0,0"/>
            <v:stroke on="f" joinstyle="miter"/>
            <v:imagedata o:title=""/>
            <o:lock v:ext="edit"/>
          </v:shape>
        </v:group>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group id="组合 109" o:spid="_x0000_s1057" o:spt="203" style="position:absolute;left:0pt;margin-left:0pt;margin-top:0pt;height:0pt;width:594.85pt;mso-position-horizontal-relative:page;mso-position-vertical-relative:page;z-index:251659264;mso-width-relative:page;mso-height-relative:page;" coordsize="11896,0">
          <o:lock v:ext="edit"/>
          <v:rect id="_s110" o:spid="_x0000_s1060" o:spt="1" style="position:absolute;left:0;top:0;height:0;width:11891;" fillcolor="#FFD966" filled="t" stroked="f" coordsize="21600,21600">
            <v:path/>
            <v:fill on="t" focussize="0,0"/>
            <v:stroke on="f"/>
            <v:imagedata o:title=""/>
            <o:lock v:ext="edit"/>
          </v:rect>
          <v:shape id="_s111" o:spid="_x0000_s1059" o:spt="100" style="position:absolute;left:9269;top:0;height:0;width:2611;" fillcolor="#000000" filled="t" stroked="f" coordsize="21600,21600" adj=",," path="m10800,10800l@8,@8,@4,@6,10800,10800,10800,10800,@9,@7,@30,@31,@17,@18,@24,@25,@15,@16,@32,@33xe">
            <v:path textboxrect="3163,3163,18437,18437" o:connecttype="custom"/>
            <v:fill on="t" focussize="0,0"/>
            <v:stroke on="f" joinstyle="miter"/>
            <v:imagedata o:title=""/>
            <o:lock v:ext="edit"/>
          </v:shape>
          <v:shape id="_s112" o:spid="_x0000_s1058" o:spt="100" style="position:absolute;left:9558;top:0;height:0;width:2338;" fillcolor="#FFD966" filled="t" stroked="f" coordsize="21600,21600" adj=",," path="m10800,10800l@8,@8,@4,@6,10800,10800,10800,10800,@9,@7,@30,@31,@17,@18,@24,@25,@15,@16,@32,@33xe">
            <v:path textboxrect="3163,3163,18437,18437" o:connecttype="custom"/>
            <v:fill on="t" focussize="0,0"/>
            <v:stroke on="f" joinstyle="miter"/>
            <v:imagedata o:title=""/>
            <o:lock v:ext="edit"/>
          </v:shape>
        </v:group>
      </w:pict>
    </w:r>
    <w:r>
      <w:pict>
        <v:group id="组合 118" o:spid="_x0000_s1054" o:spt="203" style="position:absolute;left:0pt;margin-left:-2.15pt;margin-top:47.15pt;height:0pt;width:235.65pt;mso-position-horizontal-relative:page;mso-position-vertical-relative:page;z-index:251659264;mso-width-relative:page;mso-height-relative:page;" coordorigin="-42,943" coordsize="4713,0">
          <o:lock v:ext="edit"/>
          <v:shape id="_s119" o:spid="_x0000_s1056" o:spt="202" type="#_x0000_t202" style="position:absolute;left:51;top:943;height:0;width:4619;" filled="f" stroked="f" coordsize="21600,21600">
            <v:path/>
            <v:fill on="f" focussize="0,0"/>
            <v:stroke on="f" joinstyle="miter"/>
            <v:imagedata o:title=""/>
            <o:lock v:ext="edit"/>
            <v:textbox>
              <w:txbxContent>
                <w:p>
                  <w:pPr>
                    <w:rPr>
                      <w:rFonts w:ascii="微软雅黑" w:eastAsia="微软雅黑" w:cs="微软雅黑"/>
                      <w:b/>
                      <w:bCs/>
                      <w:sz w:val="32"/>
                      <w:szCs w:val="40"/>
                    </w:rPr>
                  </w:pPr>
                  <w:r>
                    <w:rPr>
                      <w:rFonts w:hint="eastAsia" w:ascii="微软雅黑" w:eastAsia="微软雅黑" w:cs="微软雅黑"/>
                      <w:b/>
                      <w:bCs/>
                      <w:sz w:val="32"/>
                      <w:szCs w:val="40"/>
                    </w:rPr>
                    <w:t>第三部分  名词解释</w:t>
                  </w:r>
                </w:p>
              </w:txbxContent>
            </v:textbox>
          </v:shape>
          <v:rect id="_s120" o:spid="_x0000_s1055" o:spt="1" style="position:absolute;left:-42;top:943;height:0;width:178;" fillcolor="#000000" filled="t" stroked="f" coordsize="21600,21600">
            <v:path/>
            <v:fill on="t" focussize="0,0"/>
            <v:stroke on="f"/>
            <v:imagedata o:title=""/>
            <o:lock v:ext="edit"/>
          </v:rect>
        </v:group>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group id="组合 126" o:spid="_x0000_s1051" o:spt="203" style="position:absolute;left:0pt;margin-top:29.75pt;height:0pt;width:157.55pt;mso-position-horizontal:left;mso-position-horizontal-relative:page;mso-position-vertical-relative:page;z-index:251659264;mso-width-relative:page;mso-height-relative:page;" coordorigin="0,595" coordsize="3151,0">
          <o:lock v:ext="edit"/>
          <v:shape id="_s127" o:spid="_x0000_s1053" o:spt="202" type="#_x0000_t202" style="position:absolute;left:64;top:595;height:0;width:3087;" filled="f" stroked="f" coordsize="21600,21600">
            <v:path/>
            <v:fill on="f" focussize="0,0"/>
            <v:stroke on="f" joinstyle="miter"/>
            <v:imagedata o:title=""/>
            <o:lock v:ext="edit"/>
            <v:textbox>
              <w:txbxContent>
                <w:p>
                  <w:pPr>
                    <w:rPr>
                      <w:rFonts w:ascii="微软雅黑" w:eastAsia="微软雅黑" w:cs="微软雅黑"/>
                      <w:b/>
                      <w:bCs/>
                      <w:sz w:val="28"/>
                      <w:szCs w:val="36"/>
                    </w:rPr>
                  </w:pPr>
                  <w:r>
                    <w:rPr>
                      <w:rFonts w:hint="eastAsia" w:ascii="微软雅黑" w:eastAsia="微软雅黑" w:cs="微软雅黑"/>
                      <w:b/>
                      <w:bCs/>
                      <w:sz w:val="28"/>
                      <w:szCs w:val="36"/>
                    </w:rPr>
                    <w:t>20XX 企业业务制定</w:t>
                  </w:r>
                </w:p>
              </w:txbxContent>
            </v:textbox>
          </v:shape>
          <v:rect id="_s128" o:spid="_x0000_s1052" o:spt="1" style="position:absolute;left:0;top:595;height:0;width:119;" fillcolor="#000000" filled="t" stroked="f" coordsize="21600,21600">
            <v:path/>
            <v:fill on="t" focussize="0,0"/>
            <v:stroke on="f"/>
            <v:imagedata o:title=""/>
            <o:lock v:ext="edit"/>
          </v:rect>
        </v:group>
      </w:pict>
    </w:r>
    <w:r>
      <w:pict>
        <v:group id="组合 134" o:spid="_x0000_s1047" o:spt="203" style="position:absolute;left:0pt;margin-left:0pt;margin-top:0pt;height:0.1pt;width:596.5pt;mso-position-horizontal-relative:page;mso-position-vertical-relative:page;z-index:251659264;mso-width-relative:page;mso-height-relative:page;" coordsize="11930,1">
          <o:lock v:ext="edit"/>
          <v:rect id="_s135" o:spid="_x0000_s1050" o:spt="1" style="position:absolute;left:0;top:1;height:0;width:11925;" fillcolor="#FFD966" filled="t" stroked="f" coordsize="21600,21600">
            <v:path/>
            <v:fill on="t" focussize="0,0"/>
            <v:stroke on="f"/>
            <v:imagedata o:title=""/>
            <o:lock v:ext="edit"/>
          </v:rect>
          <v:shape id="_s136" o:spid="_x0000_s1049" o:spt="100" style="position:absolute;left:9295;top:0;height:0;width:2619;" fillcolor="#000000" filled="t" stroked="f" coordsize="21600,21600" adj=",," path="m10800,10800l@8,@8,@4,@6,10800,10800,10800,10800,@9,@7,@30,@31,@17,@18,@24,@25,@15,@16,@32,@33xe">
            <v:path textboxrect="3163,3163,18437,18437" o:connecttype="custom"/>
            <v:fill on="t" focussize="0,0"/>
            <v:stroke on="f" joinstyle="miter"/>
            <v:imagedata o:title=""/>
            <o:lock v:ext="edit"/>
          </v:shape>
          <v:shape id="_s137" o:spid="_x0000_s1048" o:spt="100" style="position:absolute;left:9586;top:0;height:1;width:2343;" fillcolor="#FFD966" filled="t" stroked="f" coordsize="21600,21600" adj=",," path="m10800,10800l@8,@8,@4,@6,10800,10800,10800,10800,@9,@7,@30,@31,@17,@18,@24,@25,@15,@16,@32,@33xe">
            <v:path textboxrect="3163,3163,18437,18437" o:connecttype="custom"/>
            <v:fill on="t" focussize="0,0"/>
            <v:stroke on="f" joinstyle="miter"/>
            <v:imagedata o:title=""/>
            <o:lock v:ext="edit"/>
          </v:shape>
        </v:group>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group id="组合 153" o:spid="_x0000_s1041" o:spt="203" style="position:absolute;left:0pt;margin-left:-2.15pt;margin-top:59pt;height:0pt;width:596.8pt;mso-position-horizontal-relative:page;mso-position-vertical-relative:page;z-index:251659264;mso-width-relative:page;mso-height-relative:page;" coordorigin="-43,1179" coordsize="11936,0">
          <o:lock v:ext="edit"/>
          <v:rect id="_s154" o:spid="_x0000_s1044" o:spt="1" style="position:absolute;left:-43;top:1180;height:0;width:11890;" fillcolor="#FFD966" filled="t" stroked="f" coordsize="21600,21600">
            <v:path/>
            <v:fill on="t" focussize="0,0"/>
            <v:stroke on="f"/>
            <v:imagedata o:title=""/>
            <o:lock v:ext="edit"/>
          </v:rect>
          <v:shape id="_s155" o:spid="_x0000_s1043" o:spt="100" style="position:absolute;left:9225;top:1180;height:0;width:2611;" fillcolor="#000000" filled="t" stroked="f" coordsize="21600,21600" adj=",," path="m10800,10800l@8,@8,@4,@6,10800,10800,10800,10800,@9,@7,@30,@31,@17,@18,@24,@25,@15,@16,@32,@33xe">
            <v:path textboxrect="3163,3163,18437,18437" o:connecttype="custom"/>
            <v:fill on="t" focussize="0,0"/>
            <v:stroke on="f" joinstyle="miter"/>
            <v:imagedata o:title=""/>
            <o:lock v:ext="edit"/>
          </v:shape>
          <v:shape id="_s156" o:spid="_x0000_s1042" o:spt="100" style="position:absolute;left:9514;top:1179;height:0;width:2378;" fillcolor="#FFD966" filled="t" stroked="f" coordsize="21600,21600" adj=",," path="m10800,10800l@8,@8,@4,@6,10800,10800,10800,10800,@9,@7,@30,@31,@17,@18,@24,@25,@15,@16,@32,@33xe">
            <v:path textboxrect="3163,3163,18437,18437" o:connecttype="custom"/>
            <v:fill on="t" focussize="0,0"/>
            <v:stroke on="f" joinstyle="miter"/>
            <v:imagedata o:title=""/>
            <o:lock v:ext="edit"/>
          </v:shape>
        </v:group>
      </w:pict>
    </w:r>
    <w:r>
      <w:pict>
        <v:shape id="文本框 162" o:spid="_x0000_s1040" o:spt="202" type="#_x0000_t202" style="position:absolute;left:0pt;margin-left:-84.1pt;margin-top:17.55pt;height:32.05pt;width:231pt;z-index:251659264;mso-width-relative:page;mso-height-relative:page;" filled="f" stroked="f" coordsize="21600,21600">
          <v:path/>
          <v:fill on="f" focussize="0,0"/>
          <v:stroke on="f" joinstyle="miter"/>
          <v:imagedata o:title=""/>
          <o:lock v:ext="edit"/>
          <v:textbox>
            <w:txbxContent>
              <w:p>
                <w:pPr>
                  <w:rPr>
                    <w:rFonts w:ascii="微软雅黑" w:eastAsia="微软雅黑" w:cs="微软雅黑"/>
                    <w:b/>
                    <w:bCs/>
                    <w:sz w:val="32"/>
                    <w:szCs w:val="40"/>
                  </w:rPr>
                </w:pPr>
                <w:r>
                  <w:drawing>
                    <wp:inline distT="0" distB="0" distL="114300" distR="114300">
                      <wp:extent cx="104775" cy="209550"/>
                      <wp:effectExtent l="0" t="0" r="2" b="4"/>
                      <wp:docPr id="15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 name="图片 2"/>
                              <pic:cNvPicPr>
                                <a:picLocks noChangeAspect="1"/>
                              </pic:cNvPicPr>
                            </pic:nvPicPr>
                            <pic:blipFill>
                              <a:blip r:embed="rId1"/>
                              <a:stretch>
                                <a:fillRect/>
                              </a:stretch>
                            </pic:blipFill>
                            <pic:spPr>
                              <a:xfrm>
                                <a:off x="0" y="0"/>
                                <a:ext cx="104775" cy="209550"/>
                              </a:xfrm>
                              <a:prstGeom prst="rect">
                                <a:avLst/>
                              </a:prstGeom>
                              <a:noFill/>
                              <a:ln w="9525" cap="flat" cmpd="sng">
                                <a:noFill/>
                                <a:prstDash val="solid"/>
                                <a:round/>
                              </a:ln>
                            </pic:spPr>
                          </pic:pic>
                        </a:graphicData>
                      </a:graphic>
                    </wp:inline>
                  </w:drawing>
                </w:r>
                <w:r>
                  <w:rPr>
                    <w:rFonts w:hint="eastAsia" w:ascii="微软雅黑" w:eastAsia="微软雅黑" w:cs="微软雅黑"/>
                    <w:b/>
                    <w:bCs/>
                    <w:sz w:val="32"/>
                    <w:szCs w:val="40"/>
                  </w:rPr>
                  <w:t>第三部分 相关名词解释</w:t>
                </w:r>
              </w:p>
              <w:p>
                <w:pPr>
                  <w:rPr>
                    <w:rFonts w:ascii="微软雅黑" w:eastAsia="微软雅黑" w:cs="微软雅黑"/>
                    <w:b/>
                    <w:bCs/>
                    <w:sz w:val="32"/>
                    <w:szCs w:val="40"/>
                  </w:rPr>
                </w:pPr>
              </w:p>
            </w:txbxContent>
          </v:textbox>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group id="组合 172" o:spid="_x0000_s1036" o:spt="203" style="position:absolute;left:0pt;margin-left:2.5pt;margin-top:28.75pt;height:0pt;width:594.85pt;mso-position-horizontal-relative:page;mso-position-vertical-relative:page;z-index:251659264;mso-width-relative:page;mso-height-relative:page;" coordorigin="50,574" coordsize="11896,0">
          <o:lock v:ext="edit"/>
          <v:rect id="_s173" o:spid="_x0000_s1039" o:spt="1" style="position:absolute;left:50;top:575;height:0;width:11891;" fillcolor="#FFD966" filled="t" stroked="f" coordsize="21600,21600">
            <v:path/>
            <v:fill on="t" focussize="0,0"/>
            <v:stroke on="f"/>
            <v:imagedata o:title=""/>
            <o:lock v:ext="edit"/>
          </v:rect>
          <v:shape id="_s174" o:spid="_x0000_s1038" o:spt="100" style="position:absolute;left:9319;top:575;height:0;width:2611;" fillcolor="#000000" filled="t" stroked="f" coordsize="21600,21600" adj=",," path="m10800,10800l@8,@8,@4,@6,10800,10800,10800,10800,@9,@7,@30,@31,@17,@18,@24,@25,@15,@16,@32,@33xe">
            <v:path textboxrect="3163,3163,18437,18437" o:connecttype="custom"/>
            <v:fill on="t" focussize="0,0"/>
            <v:stroke on="f" joinstyle="miter"/>
            <v:imagedata o:title=""/>
            <o:lock v:ext="edit"/>
          </v:shape>
          <v:shape id="_s175" o:spid="_x0000_s1037" o:spt="100" style="position:absolute;left:9608;top:574;height:0;width:2338;" fillcolor="#FFD966" filled="t" stroked="f" coordsize="21600,21600" adj=",," path="m10800,10800l@8,@8,@4,@6,10800,10800,10800,10800,@9,@7,@30,@31,@17,@18,@24,@25,@15,@16,@32,@33xe">
            <v:path textboxrect="3163,3163,18437,18437" o:connecttype="custom"/>
            <v:fill on="t" focussize="0,0"/>
            <v:stroke on="f" joinstyle="miter"/>
            <v:imagedata o:title=""/>
            <o:lock v:ext="edit"/>
          </v:shape>
        </v:group>
      </w:pict>
    </w:r>
    <w:r>
      <w:pict>
        <v:group id="组合 181" o:spid="_x0000_s1033" o:spt="203" style="position:absolute;left:0pt;margin-left:0pt;margin-top:29.75pt;height:0pt;width:280.1pt;mso-position-horizontal-relative:page;mso-position-vertical-relative:page;z-index:251659264;mso-width-relative:page;mso-height-relative:page;" coordorigin="0,595" coordsize="5601,0">
          <o:lock v:ext="edit"/>
          <v:shape id="_s182" o:spid="_x0000_s1035" o:spt="202" type="#_x0000_t202" style="position:absolute;left:113;top:595;height:0;width:5488;" filled="f" stroked="f" coordsize="21600,21600">
            <v:path/>
            <v:fill on="f" focussize="0,0"/>
            <v:stroke on="f" joinstyle="miter"/>
            <v:imagedata o:title=""/>
            <o:lock v:ext="edit"/>
            <v:textbox>
              <w:txbxContent>
                <w:p>
                  <w:pPr>
                    <w:rPr>
                      <w:rFonts w:ascii="微软雅黑" w:eastAsia="微软雅黑" w:cs="微软雅黑"/>
                      <w:b/>
                      <w:bCs/>
                      <w:sz w:val="32"/>
                      <w:szCs w:val="40"/>
                    </w:rPr>
                  </w:pPr>
                  <w:r>
                    <w:rPr>
                      <w:rFonts w:hint="eastAsia" w:ascii="微软雅黑" w:eastAsia="微软雅黑" w:cs="微软雅黑"/>
                      <w:b/>
                      <w:bCs/>
                      <w:sz w:val="32"/>
                      <w:szCs w:val="40"/>
                    </w:rPr>
                    <w:t>第四部分 2019年度部门决算报表</w:t>
                  </w:r>
                </w:p>
                <w:p/>
              </w:txbxContent>
            </v:textbox>
          </v:shape>
          <v:rect id="_s183" o:spid="_x0000_s1034" o:spt="1" style="position:absolute;left:0;top:595;height:0;width:211;" fillcolor="#000000" filled="t" stroked="f" coordsize="21600,21600">
            <v:path/>
            <v:fill on="t" focussize="0,0"/>
            <v:stroke on="f"/>
            <v:imagedata o:title=""/>
            <o:lock v:ext="edit"/>
          </v:rect>
        </v:group>
      </w:pic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group id="组合 189" o:spid="_x0000_s1029" o:spt="203" style="position:absolute;left:0pt;margin-left:0pt;margin-top:0pt;height:0pt;width:596.5pt;mso-position-horizontal-relative:page;mso-position-vertical-relative:page;z-index:251659264;mso-width-relative:page;mso-height-relative:page;" coordsize="11930,0">
          <o:lock v:ext="edit"/>
          <v:rect id="_s190" o:spid="_x0000_s1032" o:spt="1" style="position:absolute;left:0;top:0;height:0;width:11925;" fillcolor="#FFD966" filled="t" stroked="f" coordsize="21600,21600">
            <v:path/>
            <v:fill on="t" focussize="0,0"/>
            <v:stroke on="f"/>
            <v:imagedata o:title=""/>
            <o:lock v:ext="edit"/>
          </v:rect>
          <v:shape id="_s191" o:spid="_x0000_s1031" o:spt="100" style="position:absolute;left:9295;top:0;height:0;width:2619;" fillcolor="#000000" filled="t" stroked="f" coordsize="21600,21600" adj=",," path="m10800,10800l@8,@8,@4,@6,10800,10800,10800,10800,@9,@7,@30,@31,@17,@18,@24,@25,@15,@16,@32,@33xe">
            <v:path textboxrect="3163,3163,18437,18437" o:connecttype="custom"/>
            <v:fill on="t" focussize="0,0"/>
            <v:stroke on="f" joinstyle="miter"/>
            <v:imagedata o:title=""/>
            <o:lock v:ext="edit"/>
          </v:shape>
          <v:shape id="_s192" o:spid="_x0000_s1030" o:spt="100" style="position:absolute;left:9586;top:0;height:0;width:2343;" fillcolor="#FFD966" filled="t" stroked="f" coordsize="21600,21600" adj=",," path="m10800,10800l@8,@8,@4,@6,10800,10800,10800,10800,@9,@7,@30,@31,@17,@18,@24,@25,@15,@16,@32,@33xe">
            <v:path textboxrect="3163,3163,18437,18437" o:connecttype="custom"/>
            <v:fill on="t" focussize="0,0"/>
            <v:stroke on="f" joinstyle="miter"/>
            <v:imagedata o:title=""/>
            <o:lock v:ext="edit"/>
          </v:shape>
        </v:group>
      </w:pict>
    </w:r>
    <w:r>
      <w:pict>
        <v:group id="组合 198" o:spid="_x0000_s1026" o:spt="203" style="position:absolute;left:0pt;margin-top:29.75pt;height:0pt;width:254.35pt;mso-position-horizontal:left;mso-position-horizontal-relative:page;mso-position-vertical-relative:page;z-index:251659264;mso-width-relative:page;mso-height-relative:page;" coordorigin="0,595" coordsize="5086,0">
          <o:lock v:ext="edit"/>
          <v:shape id="_s199" o:spid="_x0000_s1028" o:spt="202" type="#_x0000_t202" style="position:absolute;left:103;top:595;height:0;width:4983;" filled="f" stroked="f" coordsize="21600,21600">
            <v:path/>
            <v:fill on="f" focussize="0,0"/>
            <v:stroke on="f" joinstyle="miter"/>
            <v:imagedata o:title=""/>
            <o:lock v:ext="edit"/>
            <v:textbox>
              <w:txbxContent>
                <w:p>
                  <w:pPr>
                    <w:rPr>
                      <w:rFonts w:ascii="微软雅黑" w:eastAsia="微软雅黑" w:cs="微软雅黑"/>
                      <w:b/>
                      <w:bCs/>
                      <w:sz w:val="28"/>
                      <w:szCs w:val="36"/>
                    </w:rPr>
                  </w:pPr>
                  <w:r>
                    <w:rPr>
                      <w:rFonts w:hint="eastAsia" w:ascii="微软雅黑" w:eastAsia="微软雅黑" w:cs="微软雅黑"/>
                      <w:b/>
                      <w:bCs/>
                      <w:sz w:val="28"/>
                      <w:szCs w:val="36"/>
                    </w:rPr>
                    <w:t>第四部分  2019年度部门决算报表</w:t>
                  </w:r>
                </w:p>
              </w:txbxContent>
            </v:textbox>
          </v:shape>
          <v:rect id="_s200" o:spid="_x0000_s1027" o:spt="1" style="position:absolute;left:0;top:595;height:0;width:192;" fillcolor="#000000" filled="t" stroked="f" coordsize="21600,21600">
            <v:path/>
            <v:fill on="t" focussize="0,0"/>
            <v:stroke on="f"/>
            <v:imagedata o:title=""/>
            <o:lock v:ext="edit"/>
          </v:rect>
        </v:group>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group id="组合 53" o:spid="_x0000_s1073" o:spt="203" style="position:absolute;left:0pt;margin-left:0pt;margin-top:53.75pt;height:0pt;width:594.85pt;mso-position-horizontal-relative:page;mso-position-vertical-relative:page;z-index:251659264;mso-width-relative:page;mso-height-relative:page;" coordorigin="0,1074" coordsize="11896,0">
          <o:lock v:ext="edit"/>
          <v:rect id="_s54" o:spid="_x0000_s1076" o:spt="1" style="position:absolute;left:0;top:1075;height:0;width:11891;" fillcolor="#FFD966" filled="t" stroked="f" coordsize="21600,21600">
            <v:path/>
            <v:fill on="t" focussize="0,0"/>
            <v:stroke on="f"/>
            <v:imagedata o:title=""/>
            <o:lock v:ext="edit"/>
          </v:rect>
          <v:shape id="_s55" o:spid="_x0000_s1075" o:spt="100" style="position:absolute;left:9269;top:1075;height:0;width:2611;" fillcolor="#000000" filled="t" stroked="f" coordsize="21600,21600" adj=",," path="m10800,10800l@8,@8,@4,@6,10800,10800,10800,10800,@9,@7,@30,@31,@17,@18,@24,@25,@15,@16,@32,@33xe">
            <v:path textboxrect="3163,3163,18437,18437" o:connecttype="custom"/>
            <v:fill on="t" focussize="0,0"/>
            <v:stroke on="f" joinstyle="miter"/>
            <v:imagedata o:title=""/>
            <o:lock v:ext="edit"/>
          </v:shape>
          <v:shape id="_s56" o:spid="_x0000_s1074" o:spt="100" style="position:absolute;left:9558;top:1074;height:0;width:2338;" fillcolor="#FFD966" filled="t" stroked="f" coordsize="21600,21600" adj=",," path="m10800,10800l@8,@8,@4,@6,10800,10800,10800,10800,@9,@7,@30,@31,@17,@18,@24,@25,@15,@16,@32,@33xe">
            <v:path textboxrect="3163,3163,18437,18437" o:connecttype="custom"/>
            <v:fill on="t" focussize="0,0"/>
            <v:stroke on="f" joinstyle="miter"/>
            <v:imagedata o:title=""/>
            <o:lock v:ext="edit"/>
          </v:shape>
        </v:group>
      </w:pict>
    </w:r>
    <w:r>
      <w:pict>
        <v:group id="组合 62" o:spid="_x0000_s1070" o:spt="203" style="position:absolute;left:0pt;margin-left:-2.15pt;margin-top:47.15pt;height:0pt;width:235.65pt;mso-position-horizontal-relative:page;mso-position-vertical-relative:page;z-index:251659264;mso-width-relative:page;mso-height-relative:page;" coordorigin="-42,943" coordsize="4713,0">
          <o:lock v:ext="edit"/>
          <v:shape id="_s63" o:spid="_x0000_s1072" o:spt="202" type="#_x0000_t202" style="position:absolute;left:51;top:943;height:0;width:4619;" filled="f" stroked="f" coordsize="21600,21600">
            <v:path/>
            <v:fill on="f" focussize="0,0"/>
            <v:stroke on="f" joinstyle="miter"/>
            <v:imagedata o:title=""/>
            <o:lock v:ext="edit"/>
            <v:textbox>
              <w:txbxContent>
                <w:p>
                  <w:pPr>
                    <w:rPr>
                      <w:rFonts w:ascii="微软雅黑" w:eastAsia="微软雅黑" w:cs="微软雅黑"/>
                      <w:b/>
                      <w:bCs/>
                      <w:sz w:val="32"/>
                      <w:szCs w:val="40"/>
                    </w:rPr>
                  </w:pPr>
                  <w:r>
                    <w:rPr>
                      <w:rFonts w:hint="eastAsia" w:ascii="微软雅黑" w:eastAsia="微软雅黑" w:cs="微软雅黑"/>
                      <w:b/>
                      <w:bCs/>
                      <w:sz w:val="32"/>
                      <w:szCs w:val="40"/>
                    </w:rPr>
                    <w:t>第一部分  部门概况</w:t>
                  </w:r>
                </w:p>
              </w:txbxContent>
            </v:textbox>
          </v:shape>
          <v:rect id="_s64" o:spid="_x0000_s1071" o:spt="1" style="position:absolute;left:-42;top:943;height:0;width:178;" fillcolor="#000000" filled="t" stroked="f" coordsize="21600,21600">
            <v:path/>
            <v:fill on="t" focussize="0,0"/>
            <v:stroke on="f"/>
            <v:imagedata o:title=""/>
            <o:lock v:ext="edit"/>
          </v:rect>
        </v:group>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group id="组合 80" o:spid="_x0000_s1065" o:spt="203" style="position:absolute;left:0pt;margin-left:2.25pt;margin-top:45.75pt;height:0pt;width:239.8pt;mso-position-horizontal-relative:page;mso-position-vertical-relative:page;z-index:251659264;mso-width-relative:page;mso-height-relative:page;" coordorigin="45,915" coordsize="4796,0">
          <o:lock v:ext="edit"/>
          <v:shape id="_s81" o:spid="_x0000_s1067" o:spt="202" type="#_x0000_t202" style="position:absolute;left:223;top:915;height:0;width:4618;" filled="f" stroked="f" coordsize="21600,21600">
            <v:path/>
            <v:fill on="f" focussize="0,0"/>
            <v:stroke on="f" joinstyle="miter"/>
            <v:imagedata o:title=""/>
            <o:lock v:ext="edit"/>
            <v:textbox>
              <w:txbxContent>
                <w:p>
                  <w:pPr>
                    <w:rPr>
                      <w:rFonts w:ascii="微软雅黑" w:eastAsia="微软雅黑" w:cs="微软雅黑"/>
                      <w:b/>
                      <w:bCs/>
                      <w:sz w:val="32"/>
                      <w:szCs w:val="40"/>
                    </w:rPr>
                  </w:pPr>
                  <w:r>
                    <w:rPr>
                      <w:rFonts w:hint="eastAsia" w:ascii="微软雅黑" w:eastAsia="微软雅黑" w:cs="微软雅黑"/>
                      <w:b/>
                      <w:bCs/>
                      <w:sz w:val="32"/>
                      <w:szCs w:val="40"/>
                    </w:rPr>
                    <w:t>第二部分  部门决算情况说明</w:t>
                  </w:r>
                </w:p>
              </w:txbxContent>
            </v:textbox>
          </v:shape>
          <v:rect id="_s82" o:spid="_x0000_s1066" o:spt="1" style="position:absolute;left:45;top:915;height:0;width:178;" fillcolor="#000000" filled="t" stroked="f" coordsize="21600,21600">
            <v:path/>
            <v:fill on="t" focussize="0,0"/>
            <v:stroke on="f"/>
            <v:imagedata o:title=""/>
            <o:lock v:ext="edit"/>
          </v:rect>
        </v:group>
      </w:pict>
    </w:r>
    <w:r>
      <w:pict>
        <v:group id="组合 88" o:spid="_x0000_s1061" o:spt="203" style="position:absolute;left:0pt;margin-left:2.75pt;margin-top:46.95pt;height:0pt;width:596.85pt;mso-position-horizontal-relative:page;mso-position-vertical-relative:page;z-index:251659264;mso-width-relative:page;mso-height-relative:page;" coordorigin="54,939" coordsize="11937,0">
          <o:lock v:ext="edit"/>
          <v:rect id="_s89" o:spid="_x0000_s1064" o:spt="1" style="position:absolute;left:54;top:939;height:0;width:11890;" fillcolor="#FFD966" filled="t" stroked="f" coordsize="21600,21600">
            <v:path/>
            <v:fill on="t" focussize="0,0"/>
            <v:stroke on="f"/>
            <v:imagedata o:title=""/>
            <o:lock v:ext="edit"/>
          </v:rect>
          <v:shape id="_s90" o:spid="_x0000_s1063" o:spt="100" style="position:absolute;left:9325;top:939;height:0;width:2611;" fillcolor="#000000" filled="t" stroked="f" coordsize="21600,21600" adj=",," path="m10800,10800l@8,@8,@4,@6,10800,10800,10800,10800,@9,@7,@30,@31,@17,@18,@24,@25,@15,@16,@32,@33xe">
            <v:path textboxrect="3163,3163,18437,18437" o:connecttype="custom"/>
            <v:fill on="t" focussize="0,0"/>
            <v:stroke on="f" joinstyle="miter"/>
            <v:imagedata o:title=""/>
            <o:lock v:ext="edit"/>
          </v:shape>
          <v:shape id="_s91" o:spid="_x0000_s1062" o:spt="100" style="position:absolute;left:9614;top:939;height:0;width:2378;" fillcolor="#FFD966" filled="t" stroked="f" coordsize="21600,21600" adj=",," path="m10800,10800l@8,@8,@4,@6,10800,10800,10800,10800,@9,@7,@30,@31,@17,@18,@24,@25,@15,@16,@32,@33xe">
            <v:path textboxrect="3163,3163,18437,18437" o:connecttype="custom"/>
            <v:fill on="t" focussize="0,0"/>
            <v:stroke on="f" joinstyle="miter"/>
            <v:imagedata o:title=""/>
            <o:lock v:ext="edit"/>
          </v:shape>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5DB9A87"/>
    <w:multiLevelType w:val="singleLevel"/>
    <w:tmpl w:val="45DB9A87"/>
    <w:lvl w:ilvl="0" w:tentative="0">
      <w:start w:val="3"/>
      <w:numFmt w:val="chineseCounting"/>
      <w:suff w:val="nothing"/>
      <w:lvlText w:val="（%1）"/>
      <w:lvlJc w:val="left"/>
      <w:pPr>
        <w:tabs>
          <w:tab w:val="left" w:pos="0"/>
        </w:tabs>
        <w:ind w:left="0" w:firstLine="0"/>
      </w:pPr>
      <w:rPr>
        <w:rFonts w:hint="eastAsia"/>
      </w:rPr>
    </w:lvl>
  </w:abstractNum>
  <w:abstractNum w:abstractNumId="1">
    <w:nsid w:val="50607286"/>
    <w:multiLevelType w:val="singleLevel"/>
    <w:tmpl w:val="50607286"/>
    <w:lvl w:ilvl="0" w:tentative="0">
      <w:start w:val="2"/>
      <w:numFmt w:val="chineseCounting"/>
      <w:suff w:val="nothing"/>
      <w:lvlText w:val="（%1）"/>
      <w:lvlJc w:val="left"/>
      <w:pPr>
        <w:tabs>
          <w:tab w:val="left" w:pos="0"/>
        </w:tabs>
        <w:ind w:left="0" w:firstLine="0"/>
      </w:pPr>
      <w:rPr>
        <w:rFonts w:hint="eastAsia"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noPunctuationKerning w:val="1"/>
  <w:characterSpacingControl w:val="compressPunctuation"/>
  <w:hdrShapeDefaults>
    <o:shapelayout v:ext="edit">
      <o:idmap v:ext="edit" data="1"/>
    </o:shapelayout>
  </w:hdrShapeDefaults>
  <w:compat>
    <w:spaceForUL/>
    <w:balanceSingleByteDoubleByteWidth/>
    <w:doNotExpandShiftReturn/>
    <w:adjustLineHeightInTable/>
    <w:useFELayout/>
    <w:doNotUseIndentAsNumberingTabStop/>
    <w:useAltKinsokuLineBreakRules/>
    <w:compatSetting w:name="compatibilityMode" w:uri="http://schemas.microsoft.com/office/word" w:val="12"/>
  </w:compat>
  <w:docVars>
    <w:docVar w:name="commondata" w:val="eyJoZGlkIjoiYWE5NDMwNmExMzhmNWIwYmQ1Y2ZkN2QyYTBlODFkZmMifQ=="/>
  </w:docVars>
  <w:rsids>
    <w:rsidRoot w:val="007313FC"/>
    <w:rsid w:val="007313FC"/>
    <w:rsid w:val="00740460"/>
    <w:rsid w:val="00863CC3"/>
    <w:rsid w:val="7ABF6D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等线" w:hAnsi="Times New Roman" w:eastAsia="等线" w:cs="Arial"/>
      <w:kern w:val="2"/>
      <w:sz w:val="21"/>
      <w:szCs w:val="22"/>
      <w:lang w:val="en-US" w:eastAsia="zh-CN" w:bidi="ar-SA"/>
    </w:rPr>
  </w:style>
  <w:style w:type="paragraph" w:styleId="2">
    <w:name w:val="heading 1"/>
    <w:basedOn w:val="1"/>
    <w:next w:val="1"/>
    <w:uiPriority w:val="0"/>
    <w:pPr>
      <w:keepNext/>
      <w:keepLines/>
      <w:spacing w:before="340" w:after="330" w:line="578" w:lineRule="auto"/>
      <w:outlineLvl w:val="0"/>
    </w:pPr>
    <w:rPr>
      <w:b/>
      <w:bCs/>
      <w:kern w:val="44"/>
      <w:sz w:val="44"/>
      <w:szCs w:val="44"/>
    </w:rPr>
  </w:style>
  <w:style w:type="paragraph" w:styleId="3">
    <w:name w:val="heading 2"/>
    <w:basedOn w:val="1"/>
    <w:next w:val="1"/>
    <w:uiPriority w:val="0"/>
    <w:pPr>
      <w:keepNext/>
      <w:keepLines/>
      <w:spacing w:before="260" w:after="260" w:line="415" w:lineRule="auto"/>
      <w:outlineLvl w:val="1"/>
    </w:pPr>
    <w:rPr>
      <w:rFonts w:ascii="Arial" w:hAnsi="Arial" w:eastAsia="黑体"/>
      <w:b/>
      <w:sz w:val="32"/>
    </w:rPr>
  </w:style>
  <w:style w:type="paragraph" w:styleId="4">
    <w:name w:val="heading 3"/>
    <w:basedOn w:val="1"/>
    <w:next w:val="1"/>
    <w:uiPriority w:val="0"/>
    <w:pPr>
      <w:keepNext/>
      <w:keepLines/>
      <w:spacing w:before="260" w:after="260" w:line="415" w:lineRule="auto"/>
      <w:outlineLvl w:val="2"/>
    </w:pPr>
    <w:rPr>
      <w:b/>
      <w:bCs/>
      <w:sz w:val="32"/>
      <w:szCs w:val="32"/>
    </w:rPr>
  </w:style>
  <w:style w:type="character" w:default="1" w:styleId="10">
    <w:name w:val="Default Paragraph Font"/>
    <w:autoRedefine/>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5">
    <w:name w:val="Body Text"/>
    <w:basedOn w:val="1"/>
    <w:autoRedefine/>
    <w:qFormat/>
    <w:uiPriority w:val="0"/>
    <w:rPr>
      <w:rFonts w:ascii="仿宋_GB2312" w:eastAsia="仿宋_GB2312" w:cs="仿宋_GB2312"/>
      <w:sz w:val="32"/>
      <w:szCs w:val="32"/>
      <w:lang w:val="zh-CN" w:bidi="zh-CN"/>
    </w:rPr>
  </w:style>
  <w:style w:type="paragraph" w:styleId="6">
    <w:name w:val="Balloon Text"/>
    <w:basedOn w:val="1"/>
    <w:autoRedefine/>
    <w:qFormat/>
    <w:uiPriority w:val="0"/>
    <w:rPr>
      <w:sz w:val="18"/>
      <w:szCs w:val="18"/>
    </w:rPr>
  </w:style>
  <w:style w:type="paragraph" w:styleId="7">
    <w:name w:val="footer"/>
    <w:basedOn w:val="1"/>
    <w:autoRedefine/>
    <w:qFormat/>
    <w:uiPriority w:val="0"/>
    <w:pPr>
      <w:tabs>
        <w:tab w:val="center" w:pos="4153"/>
        <w:tab w:val="right" w:pos="8306"/>
      </w:tabs>
      <w:snapToGrid w:val="0"/>
      <w:jc w:val="left"/>
    </w:pPr>
    <w:rPr>
      <w:sz w:val="18"/>
      <w:szCs w:val="18"/>
    </w:rPr>
  </w:style>
  <w:style w:type="paragraph" w:styleId="8">
    <w:name w:val="header"/>
    <w:basedOn w:val="1"/>
    <w:autoRedefine/>
    <w:qFormat/>
    <w:uiPriority w:val="0"/>
    <w:pPr>
      <w:tabs>
        <w:tab w:val="center" w:pos="4153"/>
        <w:tab w:val="right" w:pos="8306"/>
      </w:tabs>
      <w:snapToGrid w:val="0"/>
      <w:jc w:val="center"/>
    </w:pPr>
    <w:rPr>
      <w:sz w:val="18"/>
      <w:szCs w:val="18"/>
    </w:rPr>
  </w:style>
  <w:style w:type="paragraph" w:customStyle="1" w:styleId="11">
    <w:name w:val="列出段落1"/>
    <w:basedOn w:val="1"/>
    <w:autoRedefine/>
    <w:qFormat/>
    <w:uiPriority w:val="0"/>
    <w:pPr>
      <w:spacing w:before="2"/>
      <w:ind w:left="119" w:right="434" w:firstLine="643"/>
    </w:pPr>
    <w:rPr>
      <w:rFonts w:ascii="仿宋_GB2312" w:eastAsia="仿宋_GB2312" w:cs="仿宋_GB2312"/>
      <w:lang w:val="zh-CN" w:bidi="zh-CN"/>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9" Type="http://schemas.openxmlformats.org/officeDocument/2006/relationships/fontTable" Target="fontTable.xml"/><Relationship Id="rId38" Type="http://schemas.openxmlformats.org/officeDocument/2006/relationships/numbering" Target="numbering.xml"/><Relationship Id="rId37" Type="http://schemas.openxmlformats.org/officeDocument/2006/relationships/customXml" Target="../customXml/item1.xml"/><Relationship Id="rId36" Type="http://schemas.openxmlformats.org/officeDocument/2006/relationships/chart" Target="charts/chart5.xml"/><Relationship Id="rId35" Type="http://schemas.openxmlformats.org/officeDocument/2006/relationships/chart" Target="charts/chart4.xml"/><Relationship Id="rId34" Type="http://schemas.openxmlformats.org/officeDocument/2006/relationships/chart" Target="charts/chart3.xml"/><Relationship Id="rId33" Type="http://schemas.openxmlformats.org/officeDocument/2006/relationships/chart" Target="charts/chart2.xml"/><Relationship Id="rId32" Type="http://schemas.openxmlformats.org/officeDocument/2006/relationships/chart" Target="charts/chart1.xml"/><Relationship Id="rId31" Type="http://schemas.openxmlformats.org/officeDocument/2006/relationships/image" Target="media/image2.GIF"/><Relationship Id="rId30" Type="http://schemas.openxmlformats.org/officeDocument/2006/relationships/theme" Target="theme/theme1.xml"/><Relationship Id="rId3" Type="http://schemas.openxmlformats.org/officeDocument/2006/relationships/header" Target="header1.xml"/><Relationship Id="rId29" Type="http://schemas.openxmlformats.org/officeDocument/2006/relationships/footer" Target="footer11.xml"/><Relationship Id="rId28" Type="http://schemas.openxmlformats.org/officeDocument/2006/relationships/header" Target="header16.xml"/><Relationship Id="rId27" Type="http://schemas.openxmlformats.org/officeDocument/2006/relationships/header" Target="header15.xml"/><Relationship Id="rId26" Type="http://schemas.openxmlformats.org/officeDocument/2006/relationships/header" Target="header14.xml"/><Relationship Id="rId25" Type="http://schemas.openxmlformats.org/officeDocument/2006/relationships/header" Target="header13.xml"/><Relationship Id="rId24" Type="http://schemas.openxmlformats.org/officeDocument/2006/relationships/header" Target="header12.xml"/><Relationship Id="rId23" Type="http://schemas.openxmlformats.org/officeDocument/2006/relationships/footer" Target="footer10.xml"/><Relationship Id="rId22" Type="http://schemas.openxmlformats.org/officeDocument/2006/relationships/footer" Target="footer9.xml"/><Relationship Id="rId21" Type="http://schemas.openxmlformats.org/officeDocument/2006/relationships/header" Target="header11.xml"/><Relationship Id="rId20" Type="http://schemas.openxmlformats.org/officeDocument/2006/relationships/header" Target="header10.xml"/><Relationship Id="rId2" Type="http://schemas.openxmlformats.org/officeDocument/2006/relationships/settings" Target="settings.xml"/><Relationship Id="rId19" Type="http://schemas.openxmlformats.org/officeDocument/2006/relationships/header" Target="header9.xml"/><Relationship Id="rId18" Type="http://schemas.openxmlformats.org/officeDocument/2006/relationships/footer" Target="footer8.xml"/><Relationship Id="rId17" Type="http://schemas.openxmlformats.org/officeDocument/2006/relationships/footer" Target="footer7.xml"/><Relationship Id="rId16" Type="http://schemas.openxmlformats.org/officeDocument/2006/relationships/header" Target="header8.xml"/><Relationship Id="rId15" Type="http://schemas.openxmlformats.org/officeDocument/2006/relationships/footer" Target="footer6.xml"/><Relationship Id="rId14" Type="http://schemas.openxmlformats.org/officeDocument/2006/relationships/footer" Target="footer5.xml"/><Relationship Id="rId13" Type="http://schemas.openxmlformats.org/officeDocument/2006/relationships/header" Target="header7.xml"/><Relationship Id="rId12" Type="http://schemas.openxmlformats.org/officeDocument/2006/relationships/header" Target="header6.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_rels/header13.xml.rels><?xml version="1.0" encoding="UTF-8" standalone="yes"?>
<Relationships xmlns="http://schemas.openxmlformats.org/package/2006/relationships"><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销售额</c:v>
                </c:pt>
              </c:strCache>
            </c:strRef>
          </c:tx>
          <c:spPr>
            <a:ln>
              <a:noFill/>
            </a:ln>
          </c:spPr>
          <c:explosion val="0"/>
          <c:dPt>
            <c:idx val="0"/>
            <c:bubble3D val="0"/>
            <c:spPr>
              <a:solidFill>
                <a:srgbClr val="4472C4"/>
              </a:solidFill>
              <a:ln>
                <a:noFill/>
              </a:ln>
            </c:spPr>
          </c:dPt>
          <c:dLbls>
            <c:numFmt formatCode="0%" sourceLinked="0"/>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rgbClr val="000000"/>
                    </a:solidFill>
                    <a:latin typeface="Times New Roman" panose="02020603050405020304"/>
                    <a:ea typeface="宋体" panose="02010600030101010101" charset="-122"/>
                    <a:cs typeface="Arial" panose="020B0604020202020204" pitchFamily="2"/>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'Sheet1'!$A$2</c:f>
              <c:strCache>
                <c:ptCount val="1"/>
                <c:pt idx="0">
                  <c:v>财政拨款收入</c:v>
                </c:pt>
              </c:strCache>
            </c:strRef>
          </c:cat>
          <c:val>
            <c:numRef>
              <c:f>Sheet1!$B$2</c:f>
              <c:numCache>
                <c:formatCode>0%</c:formatCode>
                <c:ptCount val="1"/>
                <c:pt idx="0">
                  <c:v>1</c:v>
                </c:pt>
              </c:numCache>
            </c:numRef>
          </c:val>
        </c:ser>
        <c:dLbls>
          <c:showLegendKey val="0"/>
          <c:showVal val="1"/>
          <c:showCatName val="0"/>
          <c:showSerName val="0"/>
          <c:showPercent val="0"/>
          <c:showBubbleSize val="0"/>
          <c:showLeaderLines val="1"/>
        </c:dLbls>
        <c:firstSliceAng val="0"/>
      </c:pieChart>
      <c:spPr>
        <a:noFill/>
      </c:spPr>
    </c:plotArea>
    <c:legend>
      <c:legendPos val="r"/>
      <c:layout/>
      <c:overlay val="0"/>
      <c:spPr>
        <a:noFill/>
        <a:ln>
          <a:noFill/>
        </a:ln>
      </c:spPr>
      <c:txPr>
        <a:bodyPr rot="0" spcFirstLastPara="0" vertOverflow="ellipsis" vert="horz" wrap="square" anchor="ctr" anchorCtr="1"/>
        <a:lstStyle/>
        <a:p>
          <a:pPr>
            <a:defRPr lang="zh-CN" sz="1000" b="0" i="0" u="none" strike="noStrike" kern="1200" baseline="0">
              <a:solidFill>
                <a:srgbClr val="000000"/>
              </a:solidFill>
              <a:latin typeface="Times New Roman" panose="02020603050405020304"/>
              <a:ea typeface="宋体" panose="02010600030101010101" charset="-122"/>
              <a:cs typeface="Arial" panose="020B0604020202020204" pitchFamily="2"/>
            </a:defRPr>
          </a:pPr>
        </a:p>
      </c:txPr>
    </c:legend>
    <c:plotVisOnly val="1"/>
    <c:dispBlanksAs val="zero"/>
    <c:showDLblsOverMax val="0"/>
  </c:chart>
  <c:txPr>
    <a:bodyPr/>
    <a:lstStyle/>
    <a:p>
      <a:pPr>
        <a:defRPr lang="zh-CN" sz="1000" b="0" i="0" u="none" strike="noStrike" baseline="0">
          <a:solidFill>
            <a:srgbClr val="000000"/>
          </a:solidFill>
          <a:latin typeface="Times New Roman" panose="02020603050405020304"/>
          <a:ea typeface="宋体" panose="02010600030101010101" charset="-122"/>
          <a:cs typeface="Arial" panose="020B0604020202020204" pitchFamily="2"/>
        </a:defRPr>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rgbClr val="000000"/>
                </a:solidFill>
                <a:latin typeface="Times New Roman" panose="02020603050405020304"/>
                <a:ea typeface="宋体" panose="02010600030101010101" charset="-122"/>
                <a:cs typeface="Arial" panose="020B0604020202020204" pitchFamily="2"/>
              </a:defRPr>
            </a:pPr>
            <a:r>
              <a:rPr lang="zh-CN"/>
              <a:t>本年支出分类</a:t>
            </a:r>
            <a:endParaRPr lang="zh-CN"/>
          </a:p>
        </c:rich>
      </c:tx>
      <c:layout/>
      <c:overlay val="0"/>
      <c:spPr>
        <a:ln>
          <a:noFill/>
        </a:ln>
      </c:spPr>
    </c:title>
    <c:autoTitleDeleted val="0"/>
    <c:plotArea>
      <c:layout/>
      <c:pieChart>
        <c:varyColors val="1"/>
        <c:ser>
          <c:idx val="0"/>
          <c:order val="0"/>
          <c:tx>
            <c:strRef>
              <c:f>'Sheet1 (2)'!$B$1</c:f>
              <c:strCache>
                <c:ptCount val="1"/>
                <c:pt idx="0">
                  <c:v>本年支出分类</c:v>
                </c:pt>
              </c:strCache>
            </c:strRef>
          </c:tx>
          <c:spPr>
            <a:ln>
              <a:noFill/>
            </a:ln>
          </c:spPr>
          <c:explosion val="0"/>
          <c:dPt>
            <c:idx val="0"/>
            <c:bubble3D val="0"/>
            <c:spPr>
              <a:solidFill>
                <a:srgbClr val="4472C4"/>
              </a:solidFill>
              <a:ln>
                <a:noFill/>
              </a:ln>
            </c:spPr>
          </c:dPt>
          <c:dPt>
            <c:idx val="1"/>
            <c:bubble3D val="0"/>
            <c:spPr>
              <a:solidFill>
                <a:srgbClr val="ED7D31"/>
              </a:solidFill>
              <a:ln>
                <a:noFill/>
              </a:ln>
            </c:spPr>
          </c:dPt>
          <c:dLbls>
            <c:numFmt formatCode="0.00%" sourceLinked="0"/>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rgbClr val="000000"/>
                    </a:solidFill>
                    <a:latin typeface="Times New Roman" panose="02020603050405020304"/>
                    <a:ea typeface="宋体" panose="02010600030101010101" charset="-122"/>
                    <a:cs typeface="Arial" panose="020B0604020202020204" pitchFamily="2"/>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'Sheet1 (2)'!$A$2:$A$3</c:f>
              <c:strCache>
                <c:ptCount val="2"/>
                <c:pt idx="0">
                  <c:v>基本支出</c:v>
                </c:pt>
                <c:pt idx="1">
                  <c:v>项目支出</c:v>
                </c:pt>
              </c:strCache>
            </c:strRef>
          </c:cat>
          <c:val>
            <c:numRef>
              <c:f>'Sheet1 (2)'!$B$2:$B$3</c:f>
              <c:numCache>
                <c:formatCode>0.00%</c:formatCode>
                <c:ptCount val="2"/>
                <c:pt idx="0">
                  <c:v>0.747</c:v>
                </c:pt>
                <c:pt idx="1">
                  <c:v>0.253</c:v>
                </c:pt>
              </c:numCache>
            </c:numRef>
          </c:val>
        </c:ser>
        <c:dLbls>
          <c:showLegendKey val="0"/>
          <c:showVal val="1"/>
          <c:showCatName val="0"/>
          <c:showSerName val="0"/>
          <c:showPercent val="0"/>
          <c:showBubbleSize val="0"/>
          <c:showLeaderLines val="1"/>
        </c:dLbls>
        <c:firstSliceAng val="0"/>
      </c:pieChart>
      <c:spPr>
        <a:noFill/>
      </c:spPr>
    </c:plotArea>
    <c:legend>
      <c:legendPos val="r"/>
      <c:layout/>
      <c:overlay val="0"/>
      <c:spPr>
        <a:noFill/>
        <a:ln>
          <a:noFill/>
        </a:ln>
      </c:spPr>
      <c:txPr>
        <a:bodyPr rot="0" spcFirstLastPara="0" vertOverflow="ellipsis" vert="horz" wrap="square" anchor="ctr" anchorCtr="1"/>
        <a:lstStyle/>
        <a:p>
          <a:pPr>
            <a:defRPr lang="zh-CN" sz="1000" b="0" i="0" u="none" strike="noStrike" kern="1200" baseline="0">
              <a:solidFill>
                <a:srgbClr val="000000"/>
              </a:solidFill>
              <a:latin typeface="Times New Roman" panose="02020603050405020304"/>
              <a:ea typeface="宋体" panose="02010600030101010101" charset="-122"/>
              <a:cs typeface="Arial" panose="020B0604020202020204" pitchFamily="2"/>
            </a:defRPr>
          </a:pPr>
        </a:p>
      </c:txPr>
    </c:legend>
    <c:plotVisOnly val="1"/>
    <c:dispBlanksAs val="zero"/>
    <c:showDLblsOverMax val="0"/>
  </c:chart>
  <c:txPr>
    <a:bodyPr/>
    <a:lstStyle/>
    <a:p>
      <a:pPr>
        <a:defRPr lang="zh-CN" sz="1000" b="0" i="0" u="none" strike="noStrike" baseline="0">
          <a:solidFill>
            <a:srgbClr val="000000"/>
          </a:solidFill>
          <a:latin typeface="Times New Roman" panose="02020603050405020304"/>
          <a:ea typeface="宋体" panose="02010600030101010101" charset="-122"/>
          <a:cs typeface="Arial" panose="020B0604020202020204" pitchFamily="2"/>
        </a:defRPr>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 (3)'!$B$1</c:f>
              <c:strCache>
                <c:ptCount val="1"/>
                <c:pt idx="0">
                  <c:v>系列 1</c:v>
                </c:pt>
              </c:strCache>
            </c:strRef>
          </c:tx>
          <c:spPr>
            <a:solidFill>
              <a:srgbClr val="4472C4"/>
            </a:solidFill>
            <a:ln>
              <a:noFill/>
            </a:ln>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rgbClr val="000000"/>
                    </a:solidFill>
                    <a:latin typeface="Times New Roman" panose="02020603050405020304"/>
                    <a:ea typeface="宋体" panose="02010600030101010101" charset="-122"/>
                    <a:cs typeface="Arial" panose="020B0604020202020204" pitchFamily="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 (3)'!$A$2:$A$5</c:f>
              <c:strCache>
                <c:ptCount val="4"/>
                <c:pt idx="0">
                  <c:v>2019年决算收入</c:v>
                </c:pt>
                <c:pt idx="1">
                  <c:v>2018年决算收入</c:v>
                </c:pt>
                <c:pt idx="2">
                  <c:v>2019年决算支出</c:v>
                </c:pt>
                <c:pt idx="3">
                  <c:v>2018年决算支出</c:v>
                </c:pt>
              </c:strCache>
            </c:strRef>
          </c:cat>
          <c:val>
            <c:numRef>
              <c:f>'Sheet1 (3)'!$B$2:$B$5</c:f>
              <c:numCache>
                <c:formatCode>General</c:formatCode>
                <c:ptCount val="4"/>
                <c:pt idx="0">
                  <c:v>57.63</c:v>
                </c:pt>
                <c:pt idx="1">
                  <c:v>54.27</c:v>
                </c:pt>
                <c:pt idx="2">
                  <c:v>58.53</c:v>
                </c:pt>
                <c:pt idx="3">
                  <c:v>52.63</c:v>
                </c:pt>
              </c:numCache>
            </c:numRef>
          </c:val>
        </c:ser>
        <c:dLbls>
          <c:showLegendKey val="0"/>
          <c:showVal val="1"/>
          <c:showCatName val="0"/>
          <c:showSerName val="0"/>
          <c:showPercent val="0"/>
          <c:showBubbleSize val="0"/>
        </c:dLbls>
        <c:gapWidth val="150"/>
        <c:axId val="73696000"/>
        <c:axId val="73697536"/>
      </c:barChart>
      <c:catAx>
        <c:axId val="73696000"/>
        <c:scaling>
          <c:orientation val="minMax"/>
        </c:scaling>
        <c:delete val="0"/>
        <c:axPos val="b"/>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rgbClr val="000000"/>
                </a:solidFill>
                <a:latin typeface="Times New Roman" panose="02020603050405020304"/>
                <a:ea typeface="宋体" panose="02010600030101010101" charset="-122"/>
                <a:cs typeface="Arial" panose="020B0604020202020204" pitchFamily="2"/>
              </a:defRPr>
            </a:pPr>
          </a:p>
        </c:txPr>
        <c:crossAx val="73697536"/>
        <c:crosses val="autoZero"/>
        <c:auto val="1"/>
        <c:lblAlgn val="ctr"/>
        <c:lblOffset val="100"/>
        <c:noMultiLvlLbl val="0"/>
      </c:catAx>
      <c:valAx>
        <c:axId val="73697536"/>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rgbClr val="000000"/>
                </a:solidFill>
                <a:latin typeface="Times New Roman" panose="02020603050405020304"/>
                <a:ea typeface="宋体" panose="02010600030101010101" charset="-122"/>
                <a:cs typeface="Arial" panose="020B0604020202020204" pitchFamily="2"/>
              </a:defRPr>
            </a:pPr>
          </a:p>
        </c:txPr>
        <c:crossAx val="73696000"/>
        <c:crossesAt val="1"/>
        <c:crossBetween val="between"/>
      </c:valAx>
      <c:spPr>
        <a:solidFill>
          <a:srgbClr val="FFFFFF"/>
        </a:solidFill>
      </c:spPr>
    </c:plotArea>
    <c:plotVisOnly val="1"/>
    <c:dispBlanksAs val="gap"/>
    <c:showDLblsOverMax val="0"/>
  </c:chart>
  <c:txPr>
    <a:bodyPr/>
    <a:lstStyle/>
    <a:p>
      <a:pPr>
        <a:defRPr lang="zh-CN" sz="1000" b="0" i="0" u="none" strike="noStrike" baseline="0">
          <a:solidFill>
            <a:srgbClr val="000000"/>
          </a:solidFill>
          <a:latin typeface="Times New Roman" panose="02020603050405020304"/>
          <a:ea typeface="宋体" panose="02010600030101010101" charset="-122"/>
          <a:cs typeface="Arial" panose="020B0604020202020204" pitchFamily="2"/>
        </a:defRPr>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200" b="1" i="0" u="none" strike="noStrike" kern="1200" baseline="0">
                <a:solidFill>
                  <a:srgbClr val="000000"/>
                </a:solidFill>
                <a:latin typeface="Times New Roman" panose="02020603050405020304"/>
                <a:ea typeface="宋体" panose="02010600030101010101" charset="-122"/>
                <a:cs typeface="Arial" panose="020B0604020202020204" pitchFamily="2"/>
              </a:defRPr>
            </a:pPr>
            <a:r>
              <a:rPr lang="zh-CN"/>
              <a:t>（万元）</a:t>
            </a:r>
            <a:endParaRPr lang="zh-CN"/>
          </a:p>
        </c:rich>
      </c:tx>
      <c:layout/>
      <c:overlay val="0"/>
      <c:spPr>
        <a:ln>
          <a:noFill/>
        </a:ln>
      </c:spPr>
    </c:title>
    <c:autoTitleDeleted val="0"/>
    <c:plotArea>
      <c:layout/>
      <c:barChart>
        <c:barDir val="col"/>
        <c:grouping val="clustered"/>
        <c:varyColors val="0"/>
        <c:ser>
          <c:idx val="0"/>
          <c:order val="0"/>
          <c:tx>
            <c:strRef>
              <c:f>'Sheet1 (4)'!$B$1</c:f>
              <c:strCache>
                <c:ptCount val="1"/>
                <c:pt idx="0">
                  <c:v>系列 1</c:v>
                </c:pt>
              </c:strCache>
            </c:strRef>
          </c:tx>
          <c:spPr>
            <a:solidFill>
              <a:srgbClr val="4472C4"/>
            </a:solidFill>
            <a:ln>
              <a:noFill/>
            </a:ln>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rgbClr val="000000"/>
                    </a:solidFill>
                    <a:latin typeface="Times New Roman" panose="02020603050405020304"/>
                    <a:ea typeface="宋体" panose="02010600030101010101" charset="-122"/>
                    <a:cs typeface="Arial" panose="020B0604020202020204" pitchFamily="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 (4)'!$A$2:$A$5</c:f>
              <c:strCache>
                <c:ptCount val="4"/>
                <c:pt idx="0">
                  <c:v>2019年预算收入</c:v>
                </c:pt>
                <c:pt idx="1">
                  <c:v>2019年决算收入</c:v>
                </c:pt>
                <c:pt idx="2">
                  <c:v>2019年预算支出</c:v>
                </c:pt>
                <c:pt idx="3">
                  <c:v>2019年决算支出</c:v>
                </c:pt>
              </c:strCache>
            </c:strRef>
          </c:cat>
          <c:val>
            <c:numRef>
              <c:f>'Sheet1 (4)'!$B$2:$B$5</c:f>
              <c:numCache>
                <c:formatCode>General</c:formatCode>
                <c:ptCount val="4"/>
                <c:pt idx="0">
                  <c:v>50.43</c:v>
                </c:pt>
                <c:pt idx="1">
                  <c:v>57.63</c:v>
                </c:pt>
                <c:pt idx="2">
                  <c:v>50.43</c:v>
                </c:pt>
                <c:pt idx="3">
                  <c:v>58.53</c:v>
                </c:pt>
              </c:numCache>
            </c:numRef>
          </c:val>
        </c:ser>
        <c:dLbls>
          <c:showLegendKey val="0"/>
          <c:showVal val="1"/>
          <c:showCatName val="0"/>
          <c:showSerName val="0"/>
          <c:showPercent val="0"/>
          <c:showBubbleSize val="0"/>
        </c:dLbls>
        <c:gapWidth val="150"/>
        <c:axId val="74528256"/>
        <c:axId val="74529792"/>
      </c:barChart>
      <c:catAx>
        <c:axId val="74528256"/>
        <c:scaling>
          <c:orientation val="minMax"/>
        </c:scaling>
        <c:delete val="0"/>
        <c:axPos val="b"/>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rgbClr val="000000"/>
                </a:solidFill>
                <a:latin typeface="Times New Roman" panose="02020603050405020304"/>
                <a:ea typeface="宋体" panose="02010600030101010101" charset="-122"/>
                <a:cs typeface="Arial" panose="020B0604020202020204" pitchFamily="2"/>
              </a:defRPr>
            </a:pPr>
          </a:p>
        </c:txPr>
        <c:crossAx val="74529792"/>
        <c:crosses val="autoZero"/>
        <c:auto val="1"/>
        <c:lblAlgn val="ctr"/>
        <c:lblOffset val="100"/>
        <c:noMultiLvlLbl val="0"/>
      </c:catAx>
      <c:valAx>
        <c:axId val="74529792"/>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rgbClr val="000000"/>
                </a:solidFill>
                <a:latin typeface="Times New Roman" panose="02020603050405020304"/>
                <a:ea typeface="宋体" panose="02010600030101010101" charset="-122"/>
                <a:cs typeface="Arial" panose="020B0604020202020204" pitchFamily="2"/>
              </a:defRPr>
            </a:pPr>
          </a:p>
        </c:txPr>
        <c:crossAx val="74528256"/>
        <c:crossesAt val="1"/>
        <c:crossBetween val="between"/>
      </c:valAx>
      <c:spPr>
        <a:solidFill>
          <a:srgbClr val="FFFFFF"/>
        </a:solidFill>
      </c:spPr>
    </c:plotArea>
    <c:plotVisOnly val="1"/>
    <c:dispBlanksAs val="gap"/>
    <c:showDLblsOverMax val="0"/>
  </c:chart>
  <c:txPr>
    <a:bodyPr/>
    <a:lstStyle/>
    <a:p>
      <a:pPr>
        <a:defRPr lang="zh-CN" sz="1000" b="0" i="0" u="none" strike="noStrike" baseline="0">
          <a:solidFill>
            <a:srgbClr val="000000"/>
          </a:solidFill>
          <a:latin typeface="Times New Roman" panose="02020603050405020304"/>
          <a:ea typeface="宋体" panose="02010600030101010101" charset="-122"/>
          <a:cs typeface="Arial" panose="020B0604020202020204" pitchFamily="2"/>
        </a:defRPr>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 (5)'!$B$1</c:f>
              <c:strCache>
                <c:ptCount val="1"/>
                <c:pt idx="0">
                  <c:v>列1</c:v>
                </c:pt>
              </c:strCache>
            </c:strRef>
          </c:tx>
          <c:spPr>
            <a:ln>
              <a:noFill/>
            </a:ln>
          </c:spPr>
          <c:explosion val="0"/>
          <c:dPt>
            <c:idx val="0"/>
            <c:bubble3D val="0"/>
            <c:spPr>
              <a:solidFill>
                <a:srgbClr val="4472C4"/>
              </a:solidFill>
              <a:ln>
                <a:noFill/>
              </a:ln>
            </c:spPr>
          </c:dPt>
          <c:dPt>
            <c:idx val="1"/>
            <c:bubble3D val="0"/>
            <c:spPr>
              <a:solidFill>
                <a:srgbClr val="ED7D31"/>
              </a:solidFill>
              <a:ln>
                <a:noFill/>
              </a:ln>
            </c:spPr>
          </c:dPt>
          <c:dPt>
            <c:idx val="2"/>
            <c:bubble3D val="0"/>
            <c:spPr>
              <a:solidFill>
                <a:srgbClr val="A5A5A5"/>
              </a:solidFill>
              <a:ln>
                <a:noFill/>
              </a:ln>
            </c:spPr>
          </c:dPt>
          <c:dPt>
            <c:idx val="3"/>
            <c:bubble3D val="0"/>
            <c:spPr>
              <a:solidFill>
                <a:srgbClr val="FFC000"/>
              </a:solidFill>
              <a:ln>
                <a:noFill/>
              </a:ln>
            </c:spPr>
          </c:dPt>
          <c:dPt>
            <c:idx val="4"/>
            <c:bubble3D val="0"/>
            <c:spPr>
              <a:solidFill>
                <a:srgbClr val="5B9BD5"/>
              </a:solidFill>
              <a:ln>
                <a:noFill/>
              </a:ln>
            </c:spPr>
          </c:dPt>
          <c:dLbls>
            <c:numFmt formatCode="0.00%" sourceLinked="0"/>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rgbClr val="000000"/>
                    </a:solidFill>
                    <a:latin typeface="Times New Roman" panose="02020603050405020304"/>
                    <a:ea typeface="宋体" panose="02010600030101010101" charset="-122"/>
                    <a:cs typeface="Arial" panose="020B0604020202020204" pitchFamily="2"/>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'Sheet1 (5)'!$A$2:$A$6</c:f>
              <c:strCache>
                <c:ptCount val="5"/>
                <c:pt idx="0">
                  <c:v>一般公共服务（类）支出</c:v>
                </c:pt>
                <c:pt idx="1">
                  <c:v>社会保障和就业（类）支出</c:v>
                </c:pt>
                <c:pt idx="2">
                  <c:v>卫生健康支出</c:v>
                </c:pt>
                <c:pt idx="3">
                  <c:v>住房保障（类）支出</c:v>
                </c:pt>
                <c:pt idx="4">
                  <c:v>灾害防治和应急管理支出</c:v>
                </c:pt>
              </c:strCache>
            </c:strRef>
          </c:cat>
          <c:val>
            <c:numRef>
              <c:f>'Sheet1 (5)'!$B$2:$B$6</c:f>
              <c:numCache>
                <c:formatCode>0.00%</c:formatCode>
                <c:ptCount val="5"/>
                <c:pt idx="0">
                  <c:v>0.8548</c:v>
                </c:pt>
                <c:pt idx="1">
                  <c:v>0.0852</c:v>
                </c:pt>
                <c:pt idx="2">
                  <c:v>0.0395</c:v>
                </c:pt>
                <c:pt idx="3">
                  <c:v>0.0032</c:v>
                </c:pt>
                <c:pt idx="4">
                  <c:v>0.0171</c:v>
                </c:pt>
              </c:numCache>
            </c:numRef>
          </c:val>
        </c:ser>
        <c:dLbls>
          <c:showLegendKey val="0"/>
          <c:showVal val="1"/>
          <c:showCatName val="0"/>
          <c:showSerName val="0"/>
          <c:showPercent val="0"/>
          <c:showBubbleSize val="0"/>
          <c:showLeaderLines val="1"/>
        </c:dLbls>
        <c:firstSliceAng val="0"/>
      </c:pieChart>
      <c:spPr>
        <a:noFill/>
      </c:spPr>
    </c:plotArea>
    <c:legend>
      <c:legendPos val="r"/>
      <c:layout/>
      <c:overlay val="0"/>
      <c:spPr>
        <a:noFill/>
        <a:ln>
          <a:noFill/>
        </a:ln>
      </c:spPr>
      <c:txPr>
        <a:bodyPr rot="0" spcFirstLastPara="0" vertOverflow="ellipsis" vert="horz" wrap="square" anchor="ctr" anchorCtr="1"/>
        <a:lstStyle/>
        <a:p>
          <a:pPr>
            <a:defRPr lang="zh-CN" sz="1000" b="0" i="0" u="none" strike="noStrike" kern="1200" baseline="0">
              <a:solidFill>
                <a:srgbClr val="000000"/>
              </a:solidFill>
              <a:latin typeface="Times New Roman" panose="02020603050405020304"/>
              <a:ea typeface="宋体" panose="02010600030101010101" charset="-122"/>
              <a:cs typeface="Arial" panose="020B0604020202020204" pitchFamily="2"/>
            </a:defRPr>
          </a:pPr>
        </a:p>
      </c:txPr>
    </c:legend>
    <c:plotVisOnly val="1"/>
    <c:dispBlanksAs val="zero"/>
    <c:showDLblsOverMax val="0"/>
  </c:chart>
  <c:txPr>
    <a:bodyPr/>
    <a:lstStyle/>
    <a:p>
      <a:pPr>
        <a:defRPr lang="zh-CN" sz="1000" b="0" i="0" u="none" strike="noStrike" baseline="0">
          <a:solidFill>
            <a:srgbClr val="000000"/>
          </a:solidFill>
          <a:latin typeface="Times New Roman" panose="02020603050405020304"/>
          <a:ea typeface="宋体" panose="02010600030101010101" charset="-122"/>
          <a:cs typeface="Arial" panose="020B0604020202020204" pitchFamily="2"/>
        </a:defRPr>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83"/>
    <customShpInfo spid="_x0000_s1082"/>
    <customShpInfo spid="_x0000_s1081"/>
    <customShpInfo spid="_x0000_s1080"/>
    <customShpInfo spid="_x0000_s1079"/>
    <customShpInfo spid="_x0000_s1078"/>
    <customShpInfo spid="_x0000_s1077"/>
    <customShpInfo spid="_x0000_s1076"/>
    <customShpInfo spid="_x0000_s1075"/>
    <customShpInfo spid="_x0000_s1074"/>
    <customShpInfo spid="_x0000_s1073"/>
    <customShpInfo spid="_x0000_s1072"/>
    <customShpInfo spid="_x0000_s1071"/>
    <customShpInfo spid="_x0000_s1070"/>
    <customShpInfo spid="_x0000_s1069"/>
    <customShpInfo spid="_x0000_s1068"/>
    <customShpInfo spid="_x0000_s1067"/>
    <customShpInfo spid="_x0000_s1066"/>
    <customShpInfo spid="_x0000_s1065"/>
    <customShpInfo spid="_x0000_s1064"/>
    <customShpInfo spid="_x0000_s1063"/>
    <customShpInfo spid="_x0000_s1062"/>
    <customShpInfo spid="_x0000_s1061"/>
    <customShpInfo spid="_x0000_s1060"/>
    <customShpInfo spid="_x0000_s1059"/>
    <customShpInfo spid="_x0000_s1058"/>
    <customShpInfo spid="_x0000_s1057"/>
    <customShpInfo spid="_x0000_s1056"/>
    <customShpInfo spid="_x0000_s1055"/>
    <customShpInfo spid="_x0000_s1054"/>
    <customShpInfo spid="_x0000_s1053"/>
    <customShpInfo spid="_x0000_s1052"/>
    <customShpInfo spid="_x0000_s1051"/>
    <customShpInfo spid="_x0000_s1050"/>
    <customShpInfo spid="_x0000_s1049"/>
    <customShpInfo spid="_x0000_s1048"/>
    <customShpInfo spid="_x0000_s1047"/>
    <customShpInfo spid="_x0000_s1046"/>
    <customShpInfo spid="_x0000_s1045"/>
    <customShpInfo spid="_x0000_s1044"/>
    <customShpInfo spid="_x0000_s1043"/>
    <customShpInfo spid="_x0000_s1042"/>
    <customShpInfo spid="_x0000_s1041"/>
    <customShpInfo spid="_x0000_s1040"/>
    <customShpInfo spid="_x0000_s1039"/>
    <customShpInfo spid="_x0000_s1038"/>
    <customShpInfo spid="_x0000_s1037"/>
    <customShpInfo spid="_x0000_s1036"/>
    <customShpInfo spid="_x0000_s1035"/>
    <customShpInfo spid="_x0000_s1034"/>
    <customShpInfo spid="_x0000_s1033"/>
    <customShpInfo spid="_x0000_s1032"/>
    <customShpInfo spid="_x0000_s1031"/>
    <customShpInfo spid="_x0000_s1030"/>
    <customShpInfo spid="_x0000_s1029"/>
    <customShpInfo spid="_x0000_s1028"/>
    <customShpInfo spid="_x0000_s1027"/>
    <customShpInfo spid="_x0000_s1026"/>
    <customShpInfo spid="_x0000_s1025"/>
    <customShpInfo spid="_x0000_s2066"/>
    <customShpInfo spid="_x0000_s2065"/>
    <customShpInfo spid="_x0000_s2064"/>
    <customShpInfo spid="_x0000_s2063"/>
    <customShpInfo spid="_x0000_s2062"/>
    <customShpInfo spid="_x0000_s2061"/>
    <customShpInfo spid="_x0000_s2060"/>
    <customShpInfo spid="_x0000_s2059"/>
    <customShpInfo spid="_x0000_s2058"/>
    <customShpInfo spid="_x0000_s2057"/>
    <customShpInfo spid="_x0000_s2056"/>
    <customShpInfo spid="_x0000_s2055"/>
    <customShpInfo spid="_x0000_s2054"/>
    <customShpInfo spid="_x0000_s2053"/>
    <customShpInfo spid="_x0000_s2052"/>
    <customShpInfo spid="_x0000_s2051"/>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25</Pages>
  <Words>1113</Words>
  <Characters>6345</Characters>
  <Lines>52</Lines>
  <Paragraphs>14</Paragraphs>
  <TotalTime>17</TotalTime>
  <ScaleCrop>false</ScaleCrop>
  <LinksUpToDate>false</LinksUpToDate>
  <CharactersWithSpaces>7444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2021-05-31T07:48:00Z</dcterms:created>
  <dc:creator>王明新TIAD</dc:creator>
  <cp:lastModifiedBy>二柔</cp:lastModifiedBy>
  <cp:lastPrinted>2020-07-30T02:37:00Z</cp:lastPrinted>
  <dcterms:modified xsi:type="dcterms:W3CDTF">2024-01-18T02:38:59Z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F8D70505AF2045D8A2D4AC1DDEAAAEB4_12</vt:lpwstr>
  </property>
</Properties>
</file>