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cs="宋体"/>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ind w:firstLine="2871" w:firstLineChars="650"/>
        <w:rPr>
          <w:rFonts w:ascii="楷体" w:eastAsia="楷体"/>
          <w:b/>
          <w:bCs/>
          <w:sz w:val="44"/>
          <w:szCs w:val="44"/>
        </w:rPr>
        <w:sectPr>
          <w:pgSz w:w="11906" w:h="16838"/>
          <w:pgMar w:top="2098" w:right="1474" w:bottom="1985" w:left="1588" w:header="851" w:footer="992" w:gutter="0"/>
          <w:cols w:space="425" w:num="1"/>
          <w:docGrid w:type="lines" w:linePitch="312" w:charSpace="0"/>
        </w:sectPr>
      </w:pPr>
      <w:r>
        <w:rPr>
          <w:rFonts w:hint="eastAsia" w:cs="宋体"/>
          <w:b/>
          <w:bCs/>
          <w:sz w:val="44"/>
          <w:szCs w:val="44"/>
        </w:rPr>
        <w:t>廊坊市大城县气象局</w:t>
      </w:r>
    </w:p>
    <w:p>
      <w:pPr>
        <w:spacing w:beforeLines="200" w:after="0" w:line="1000" w:lineRule="exact"/>
        <w:jc w:val="center"/>
        <w:rPr>
          <w:rFonts w:ascii="黑体" w:eastAsia="黑体"/>
          <w:sz w:val="48"/>
          <w:szCs w:val="48"/>
        </w:rPr>
      </w:pPr>
      <w:r>
        <w:rPr>
          <w:rFonts w:hint="eastAsia" w:ascii="黑体" w:eastAsia="黑体" w:cs="黑体"/>
          <w:sz w:val="48"/>
          <w:szCs w:val="48"/>
        </w:rPr>
        <w:t>目</w:t>
      </w:r>
      <w:r>
        <w:rPr>
          <w:rFonts w:ascii="黑体" w:eastAsia="黑体" w:cs="黑体"/>
          <w:sz w:val="48"/>
          <w:szCs w:val="48"/>
        </w:rPr>
        <w:t xml:space="preserve">    </w:t>
      </w:r>
      <w:r>
        <w:rPr>
          <w:rFonts w:hint="eastAsia" w:ascii="黑体" w:eastAsia="黑体" w:cs="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Times New Roman"/>
          <w:sz w:val="24"/>
          <w:szCs w:val="24"/>
        </w:rPr>
      </w:pPr>
      <w:r>
        <w:rPr>
          <w:rFonts w:hint="eastAsia" w:eastAsia="黑体" w:cs="黑体"/>
          <w:sz w:val="32"/>
          <w:szCs w:val="32"/>
        </w:rPr>
        <w:t>第一部分</w:t>
      </w:r>
      <w:r>
        <w:rPr>
          <w:rFonts w:eastAsia="黑体"/>
          <w:sz w:val="32"/>
          <w:szCs w:val="32"/>
        </w:rPr>
        <w:t xml:space="preserve">  </w:t>
      </w:r>
      <w:r>
        <w:rPr>
          <w:rFonts w:hint="eastAsia" w:eastAsia="黑体" w:cs="黑体"/>
          <w:sz w:val="32"/>
          <w:szCs w:val="32"/>
        </w:rPr>
        <w:t>大城县气象局部门概况</w:t>
      </w:r>
    </w:p>
    <w:p>
      <w:pPr>
        <w:widowControl/>
        <w:spacing w:line="580" w:lineRule="exact"/>
        <w:ind w:firstLine="1273" w:firstLineChars="398"/>
        <w:rPr>
          <w:rFonts w:eastAsia="Times New Roman"/>
          <w:sz w:val="32"/>
          <w:szCs w:val="32"/>
        </w:rPr>
      </w:pPr>
      <w:r>
        <w:rPr>
          <w:rFonts w:hint="eastAsia" w:ascii="宋体" w:hAnsi="宋体" w:cs="宋体"/>
          <w:sz w:val="32"/>
          <w:szCs w:val="32"/>
        </w:rPr>
        <w:t>一、部门职责</w:t>
      </w:r>
    </w:p>
    <w:p>
      <w:pPr>
        <w:widowControl/>
        <w:spacing w:line="580" w:lineRule="exact"/>
        <w:ind w:firstLine="1273" w:firstLineChars="398"/>
        <w:rPr>
          <w:rFonts w:eastAsia="Times New Roman"/>
          <w:sz w:val="32"/>
          <w:szCs w:val="32"/>
        </w:rPr>
      </w:pPr>
      <w:r>
        <w:rPr>
          <w:rFonts w:hint="eastAsia" w:ascii="宋体" w:hAnsi="宋体" w:cs="宋体"/>
          <w:sz w:val="32"/>
          <w:szCs w:val="32"/>
        </w:rPr>
        <w:t>二、机构设置</w:t>
      </w:r>
    </w:p>
    <w:p>
      <w:pPr>
        <w:widowControl/>
        <w:spacing w:line="580" w:lineRule="exact"/>
        <w:ind w:firstLine="640" w:firstLineChars="200"/>
        <w:rPr>
          <w:rFonts w:eastAsia="Times New Roman"/>
          <w:sz w:val="20"/>
          <w:szCs w:val="20"/>
        </w:rPr>
      </w:pPr>
      <w:r>
        <w:rPr>
          <w:rFonts w:hint="eastAsia" w:eastAsia="黑体" w:cs="黑体"/>
          <w:sz w:val="32"/>
          <w:szCs w:val="32"/>
        </w:rPr>
        <w:t>第二部分</w:t>
      </w:r>
      <w:r>
        <w:rPr>
          <w:rFonts w:eastAsia="黑体"/>
          <w:sz w:val="32"/>
          <w:szCs w:val="32"/>
        </w:rPr>
        <w:t xml:space="preserve">  </w:t>
      </w:r>
      <w:r>
        <w:rPr>
          <w:rFonts w:hint="eastAsia" w:eastAsia="黑体" w:cs="黑体"/>
          <w:sz w:val="32"/>
          <w:szCs w:val="32"/>
        </w:rPr>
        <w:t>大城县气象局部门</w:t>
      </w:r>
      <w:r>
        <w:rPr>
          <w:rFonts w:eastAsia="黑体"/>
          <w:sz w:val="32"/>
          <w:szCs w:val="32"/>
        </w:rPr>
        <w:t>2018</w:t>
      </w:r>
      <w:r>
        <w:rPr>
          <w:rFonts w:hint="eastAsia" w:eastAsia="黑体" w:cs="黑体"/>
          <w:sz w:val="32"/>
          <w:szCs w:val="32"/>
        </w:rPr>
        <w:t>年度部门决算报表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一、收入支出决算总表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二、收入决算表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三、支出决算表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四、财政拨款收入支出决算总表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五、一般公共预算财政拨款支出决算表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六、一般公共预算财政拨款基本支出决算表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七、一般公共预算财政拨款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八、政府性基金预算财政拨款收入支出决算表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九、国有资本经营预算财政拨款支出决算表</w:t>
      </w:r>
    </w:p>
    <w:p>
      <w:pPr>
        <w:widowControl/>
        <w:spacing w:line="580" w:lineRule="exact"/>
        <w:ind w:left="640" w:firstLine="640" w:firstLineChars="200"/>
        <w:rPr>
          <w:sz w:val="32"/>
          <w:szCs w:val="32"/>
        </w:rPr>
      </w:pPr>
      <w:r>
        <w:rPr>
          <w:rFonts w:hint="eastAsia" w:ascii="宋体" w:hAnsi="宋体" w:cs="宋体"/>
          <w:sz w:val="32"/>
          <w:szCs w:val="32"/>
        </w:rPr>
        <w:t>十、政府采购情况表</w:t>
      </w:r>
    </w:p>
    <w:p>
      <w:pPr>
        <w:widowControl/>
        <w:spacing w:line="580" w:lineRule="exact"/>
        <w:ind w:firstLine="640" w:firstLineChars="200"/>
        <w:rPr>
          <w:rFonts w:eastAsia="黑体"/>
          <w:sz w:val="32"/>
          <w:szCs w:val="32"/>
        </w:rPr>
      </w:pPr>
      <w:r>
        <w:rPr>
          <w:rFonts w:hint="eastAsia" w:eastAsia="黑体" w:cs="黑体"/>
          <w:sz w:val="32"/>
          <w:szCs w:val="32"/>
        </w:rPr>
        <w:t>第三部分</w:t>
      </w:r>
      <w:r>
        <w:rPr>
          <w:rFonts w:eastAsia="黑体"/>
          <w:sz w:val="32"/>
          <w:szCs w:val="32"/>
        </w:rPr>
        <w:t xml:space="preserve">  </w:t>
      </w:r>
      <w:r>
        <w:rPr>
          <w:rFonts w:hint="eastAsia" w:eastAsia="黑体" w:cs="黑体"/>
          <w:sz w:val="32"/>
          <w:szCs w:val="32"/>
        </w:rPr>
        <w:t>大城县气象局部门</w:t>
      </w:r>
      <w:r>
        <w:rPr>
          <w:rFonts w:eastAsia="黑体"/>
          <w:sz w:val="32"/>
          <w:szCs w:val="32"/>
        </w:rPr>
        <w:t>2018</w:t>
      </w:r>
      <w:r>
        <w:rPr>
          <w:rFonts w:hint="eastAsia" w:eastAsia="黑体" w:cs="黑体"/>
          <w:sz w:val="32"/>
          <w:szCs w:val="32"/>
        </w:rPr>
        <w:t>年部门决算情况说明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一、收入支出决算总体情况说明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二、收入决算情况说明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三、支出决算情况说明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四、财政拨款收入支出决算情况说明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五、一般公共预算财政拨款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六、预算绩效情况说明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七、其他重要事项的说明</w:t>
      </w:r>
    </w:p>
    <w:p>
      <w:pPr>
        <w:widowControl/>
        <w:spacing w:line="580" w:lineRule="exact"/>
        <w:ind w:firstLine="640" w:firstLineChars="200"/>
        <w:rPr>
          <w:rFonts w:eastAsia="黑体"/>
          <w:sz w:val="32"/>
          <w:szCs w:val="32"/>
        </w:rPr>
      </w:pPr>
      <w:r>
        <w:rPr>
          <w:rFonts w:hint="eastAsia" w:eastAsia="黑体" w:cs="黑体"/>
          <w:sz w:val="32"/>
          <w:szCs w:val="32"/>
        </w:rPr>
        <w:t>第四部分</w:t>
      </w:r>
      <w:r>
        <w:rPr>
          <w:rFonts w:eastAsia="黑体"/>
          <w:sz w:val="32"/>
          <w:szCs w:val="32"/>
        </w:rPr>
        <w:t xml:space="preserve">  </w:t>
      </w:r>
      <w:r>
        <w:rPr>
          <w:rFonts w:hint="eastAsia" w:eastAsia="黑体" w:cs="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s="黑体"/>
          <w:color w:val="000000"/>
          <w:sz w:val="96"/>
          <w:szCs w:val="96"/>
        </w:rPr>
        <w:t>第一部分</w:t>
      </w:r>
      <w:r>
        <w:rPr>
          <w:rFonts w:ascii="黑体" w:hAnsi="宋体" w:eastAsia="黑体" w:cs="黑体"/>
          <w:color w:val="000000"/>
          <w:sz w:val="96"/>
          <w:szCs w:val="96"/>
        </w:rPr>
        <w:t xml:space="preserve">  </w:t>
      </w:r>
      <w:r>
        <w:rPr>
          <w:rFonts w:hint="eastAsia" w:ascii="黑体" w:hAnsi="宋体" w:eastAsia="黑体" w:cs="黑体"/>
          <w:color w:val="000000"/>
          <w:sz w:val="96"/>
          <w:szCs w:val="96"/>
        </w:rPr>
        <w:t>部门概况</w:t>
      </w:r>
    </w:p>
    <w:p/>
    <w:p/>
    <w:p/>
    <w:p/>
    <w:p/>
    <w:p/>
    <w:p/>
    <w:p>
      <w:pPr>
        <w:pStyle w:val="2"/>
        <w:spacing w:before="0" w:after="0" w:line="600" w:lineRule="exact"/>
        <w:ind w:firstLine="640" w:firstLineChars="200"/>
        <w:jc w:val="left"/>
        <w:rPr>
          <w:rFonts w:ascii="黑体" w:hAnsi="Cambria" w:eastAsia="黑体"/>
          <w:b w:val="0"/>
          <w:bCs w:val="0"/>
          <w:kern w:val="0"/>
          <w:sz w:val="32"/>
          <w:szCs w:val="32"/>
        </w:rPr>
      </w:pPr>
      <w:r>
        <w:rPr>
          <w:rFonts w:hint="eastAsia" w:ascii="黑体" w:hAnsi="Cambria" w:eastAsia="黑体" w:cs="黑体"/>
          <w:b w:val="0"/>
          <w:bCs w:val="0"/>
          <w:kern w:val="0"/>
          <w:sz w:val="32"/>
          <w:szCs w:val="32"/>
        </w:rPr>
        <w:t>一、部门职责</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城县气象系统各级管理机构实行上级气象主管机构与本级人民政府双重领导，以上级气象主管机构领导为主的管理体制。在上级气象主管机构和本级人民政府的领导下，根据授权承担本行政区域内气象工作的政府行政管理职能，依法履行气象主管机构的各项职责，主要职责是：</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1.负责本行政区域内气象事业发展规划的制定及气象工作的组织实施；对本行政区域内的气象活动进行指导、监督和行业管理。</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管理本行政区域内气象灾害防御工作；组织拟订和实施本行政区域的气象灾害防御规划；管理本行政区域人工影响天气工作，指导和组织人工影响天气作业；指导城乡气象工作，组织推进农村气象灾害防御体系和农业气象服务体系建设，组织指导乡镇（街道）气象工作站和气象协理员、信息员队伍建设。</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管理本行政区域内雷电灾害防御工作，会同有关部门指导对可能遭受袭击的建筑物、构筑物和其它设施安装的雷电灾害防护装置的检测工作；负责本行政区域内雷电灾害防护装置的设计审核和竣工验收；负责管理本行政区域内的施放气球活动。</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4.组织本行政区域内气候资源的综合调查、区划，指导气候资源的开发利用和保护，组织并审查重点建设工程、重大区域经济开发项目和城乡建设规划的气候可行性论证和气象灾害风险评估。</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本行政区域内的气象监测、预报、预警、公共服务管理工作；组织管理本行政区域内气象信息的发布和传播；组织重大活动、突发公共事件气象保障工作；承担重大突发公共事件预警信息发布系统建设及运行维护。</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7.组织开展气象法制宣传教育，负责监督有关气象法律法规的实施，对违反《中华人民共和国气象法》等法律法规有关规定的行为依法进行处罚，承担有关行政诉讼；组织宣传、普及气象科学知识。</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8.管理本级气象部门内部的计划财务、人事劳动、队伍建设、教育培训和业务建设；负责气象部门双重计划财务体制的落实工作；负责党的建设、精神文明和气象文化建设。</w:t>
      </w:r>
    </w:p>
    <w:p>
      <w:pPr>
        <w:pStyle w:val="2"/>
        <w:spacing w:before="0" w:after="0" w:line="600" w:lineRule="exact"/>
        <w:jc w:val="left"/>
        <w:rPr>
          <w:rFonts w:ascii="??_GB2312" w:eastAsia="Times New Roman"/>
          <w:b w:val="0"/>
          <w:bCs w:val="0"/>
          <w:kern w:val="2"/>
          <w:sz w:val="32"/>
          <w:szCs w:val="32"/>
        </w:rPr>
      </w:pPr>
      <w:r>
        <w:rPr>
          <w:rFonts w:hint="eastAsia" w:ascii="仿宋_GB2312" w:hAnsi="仿宋_GB2312" w:eastAsia="仿宋_GB2312" w:cs="仿宋_GB2312"/>
          <w:b w:val="0"/>
          <w:bCs w:val="0"/>
          <w:kern w:val="2"/>
          <w:sz w:val="32"/>
          <w:szCs w:val="32"/>
        </w:rPr>
        <w:t>9.承担上级气象主管机构和本级人民政府交办的其他事项。</w:t>
      </w:r>
    </w:p>
    <w:p>
      <w:pPr>
        <w:pStyle w:val="2"/>
        <w:spacing w:before="0" w:after="0" w:line="600" w:lineRule="exact"/>
        <w:jc w:val="left"/>
        <w:rPr>
          <w:rFonts w:ascii="黑体" w:hAnsi="Cambria" w:eastAsia="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从决算编报单位构成看，纳入2018年度本部门决算汇编范围</w:t>
      </w:r>
    </w:p>
    <w:p>
      <w:pPr>
        <w:spacing w:after="0"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独立核算单位（以下简称“单位”）共1个，具体情况如下：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_GB2312" w:hAnsi="Cambria" w:eastAsia="Times New Roman"/>
                <w:b/>
                <w:bCs/>
                <w:kern w:val="0"/>
                <w:sz w:val="28"/>
                <w:szCs w:val="28"/>
              </w:rPr>
            </w:pPr>
            <w:r>
              <w:rPr>
                <w:rFonts w:ascii="??_GB2312" w:hAnsi="Cambria" w:eastAsia="Times New Roman"/>
                <w:b/>
                <w:bCs/>
                <w:kern w:val="0"/>
                <w:sz w:val="28"/>
                <w:szCs w:val="28"/>
              </w:rPr>
              <w:t>序号</w:t>
            </w:r>
          </w:p>
        </w:tc>
        <w:tc>
          <w:tcPr>
            <w:tcW w:w="3485" w:type="dxa"/>
            <w:vAlign w:val="center"/>
          </w:tcPr>
          <w:p>
            <w:pPr>
              <w:spacing w:after="0" w:line="560" w:lineRule="exact"/>
              <w:jc w:val="center"/>
              <w:rPr>
                <w:rFonts w:ascii="??_GB2312" w:hAnsi="Cambria" w:eastAsia="Times New Roman"/>
                <w:b/>
                <w:bCs/>
                <w:kern w:val="0"/>
                <w:sz w:val="28"/>
                <w:szCs w:val="28"/>
              </w:rPr>
            </w:pPr>
            <w:r>
              <w:rPr>
                <w:rFonts w:ascii="??_GB2312" w:hAnsi="Cambria" w:eastAsia="Times New Roman"/>
                <w:b/>
                <w:bCs/>
                <w:kern w:val="0"/>
                <w:sz w:val="28"/>
                <w:szCs w:val="28"/>
              </w:rPr>
              <w:t>单位名称</w:t>
            </w:r>
          </w:p>
        </w:tc>
        <w:tc>
          <w:tcPr>
            <w:tcW w:w="2445" w:type="dxa"/>
            <w:vAlign w:val="center"/>
          </w:tcPr>
          <w:p>
            <w:pPr>
              <w:spacing w:after="0" w:line="560" w:lineRule="exact"/>
              <w:jc w:val="center"/>
              <w:rPr>
                <w:rFonts w:ascii="??_GB2312" w:hAnsi="Cambria" w:eastAsia="Times New Roman"/>
                <w:b/>
                <w:bCs/>
                <w:kern w:val="0"/>
                <w:sz w:val="28"/>
                <w:szCs w:val="28"/>
              </w:rPr>
            </w:pPr>
            <w:r>
              <w:rPr>
                <w:rFonts w:ascii="??_GB2312" w:hAnsi="Cambria" w:eastAsia="Times New Roman"/>
                <w:b/>
                <w:bCs/>
                <w:kern w:val="0"/>
                <w:sz w:val="28"/>
                <w:szCs w:val="28"/>
              </w:rPr>
              <w:t>单位基本性质</w:t>
            </w:r>
          </w:p>
        </w:tc>
        <w:tc>
          <w:tcPr>
            <w:tcW w:w="2665" w:type="dxa"/>
            <w:vAlign w:val="center"/>
          </w:tcPr>
          <w:p>
            <w:pPr>
              <w:spacing w:after="0" w:line="560" w:lineRule="exact"/>
              <w:jc w:val="center"/>
              <w:rPr>
                <w:rFonts w:ascii="??_GB2312" w:hAnsi="Cambria" w:eastAsia="Times New Roman"/>
                <w:b/>
                <w:bCs/>
                <w:kern w:val="0"/>
                <w:sz w:val="28"/>
                <w:szCs w:val="28"/>
              </w:rPr>
            </w:pPr>
            <w:r>
              <w:rPr>
                <w:rFonts w:ascii="??_GB2312" w:hAnsi="Cambria" w:eastAsia="Times New Roman"/>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_GB2312" w:hAnsi="Cambria" w:eastAsia="Times New Roman" w:cs="??_GB2312"/>
                <w:kern w:val="0"/>
                <w:sz w:val="28"/>
                <w:szCs w:val="28"/>
              </w:rPr>
            </w:pPr>
            <w:r>
              <w:rPr>
                <w:rFonts w:ascii="??_GB2312" w:hAnsi="Cambria" w:eastAsia="Times New Roman" w:cs="??_GB2312"/>
                <w:kern w:val="0"/>
                <w:sz w:val="28"/>
                <w:szCs w:val="28"/>
              </w:rPr>
              <w:t>1</w:t>
            </w:r>
          </w:p>
        </w:tc>
        <w:tc>
          <w:tcPr>
            <w:tcW w:w="3485" w:type="dxa"/>
          </w:tcPr>
          <w:p>
            <w:pPr>
              <w:spacing w:after="0" w:line="560" w:lineRule="exact"/>
              <w:rPr>
                <w:rFonts w:ascii="??_GB2312" w:hAnsi="Cambria" w:eastAsia="Times New Roman" w:cs="??_GB2312"/>
                <w:kern w:val="0"/>
                <w:sz w:val="28"/>
                <w:szCs w:val="28"/>
              </w:rPr>
            </w:pPr>
            <w:r>
              <w:rPr>
                <w:rFonts w:ascii="??_GB2312" w:hAnsi="Cambria" w:eastAsia="Times New Roman"/>
                <w:kern w:val="0"/>
                <w:sz w:val="28"/>
                <w:szCs w:val="28"/>
              </w:rPr>
              <w:t>大城县气象局</w:t>
            </w:r>
            <w:r>
              <w:rPr>
                <w:rFonts w:ascii="??_GB2312" w:hAnsi="Cambria" w:eastAsia="Times New Roman" w:cs="??_GB2312"/>
                <w:kern w:val="0"/>
                <w:sz w:val="28"/>
                <w:szCs w:val="28"/>
              </w:rPr>
              <w:t>(</w:t>
            </w:r>
            <w:r>
              <w:rPr>
                <w:rFonts w:ascii="??_GB2312" w:hAnsi="Cambria" w:eastAsia="Times New Roman"/>
                <w:kern w:val="0"/>
                <w:sz w:val="28"/>
                <w:szCs w:val="28"/>
              </w:rPr>
              <w:t>本级</w:t>
            </w:r>
            <w:r>
              <w:rPr>
                <w:rFonts w:ascii="??_GB2312" w:hAnsi="Cambria" w:eastAsia="Times New Roman" w:cs="??_GB2312"/>
                <w:kern w:val="0"/>
                <w:sz w:val="28"/>
                <w:szCs w:val="28"/>
              </w:rPr>
              <w:t>)</w:t>
            </w:r>
          </w:p>
        </w:tc>
        <w:tc>
          <w:tcPr>
            <w:tcW w:w="2445" w:type="dxa"/>
          </w:tcPr>
          <w:p>
            <w:pPr>
              <w:spacing w:after="0" w:line="560" w:lineRule="exact"/>
              <w:jc w:val="center"/>
              <w:rPr>
                <w:rFonts w:ascii="??_GB2312" w:hAnsi="Cambria" w:eastAsia="Times New Roman"/>
                <w:kern w:val="0"/>
                <w:sz w:val="28"/>
                <w:szCs w:val="28"/>
              </w:rPr>
            </w:pPr>
            <w:r>
              <w:rPr>
                <w:rFonts w:ascii="??_GB2312" w:hAnsi="Cambria" w:eastAsia="Times New Roman"/>
                <w:kern w:val="0"/>
                <w:sz w:val="28"/>
                <w:szCs w:val="28"/>
              </w:rPr>
              <w:t>参公事业单位</w:t>
            </w:r>
          </w:p>
        </w:tc>
        <w:tc>
          <w:tcPr>
            <w:tcW w:w="2665" w:type="dxa"/>
          </w:tcPr>
          <w:p>
            <w:pPr>
              <w:spacing w:after="0" w:line="560" w:lineRule="exact"/>
              <w:jc w:val="center"/>
              <w:rPr>
                <w:rFonts w:ascii="??_GB2312" w:hAnsi="Cambria"/>
                <w:kern w:val="0"/>
                <w:sz w:val="28"/>
                <w:szCs w:val="28"/>
              </w:rPr>
            </w:pPr>
            <w:r>
              <w:rPr>
                <w:rFonts w:ascii="??_GB2312" w:hAnsi="Cambria" w:eastAsia="Times New Roman"/>
                <w:kern w:val="0"/>
                <w:sz w:val="28"/>
                <w:szCs w:val="28"/>
              </w:rPr>
              <w:t>财政</w:t>
            </w:r>
            <w:r>
              <w:rPr>
                <w:rFonts w:hint="eastAsia" w:ascii="??_GB2312" w:hAnsi="Cambria" w:cs="宋体"/>
                <w:kern w:val="0"/>
                <w:sz w:val="28"/>
                <w:szCs w:val="28"/>
              </w:rPr>
              <w:t>性资金定额或定向补助</w:t>
            </w:r>
          </w:p>
        </w:tc>
      </w:tr>
    </w:tbl>
    <w:p>
      <w:pPr>
        <w:widowControl/>
        <w:spacing w:line="560" w:lineRule="exact"/>
        <w:jc w:val="center"/>
        <w:rPr>
          <w:rFonts w:ascii="黑体" w:hAnsi="Cambria" w:eastAsia="黑体"/>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r>
        <w:rPr>
          <w:rFonts w:hint="eastAsia" w:ascii="黑体" w:hAnsi="宋体" w:eastAsia="黑体" w:cs="黑体"/>
          <w:color w:val="000000"/>
          <w:sz w:val="72"/>
          <w:szCs w:val="72"/>
        </w:rPr>
        <w:t>第二部分</w:t>
      </w:r>
    </w:p>
    <w:p>
      <w:pPr>
        <w:widowControl/>
        <w:spacing w:line="1200" w:lineRule="exact"/>
        <w:jc w:val="center"/>
        <w:rPr>
          <w:rFonts w:hint="eastAsia" w:ascii="黑体" w:hAnsi="宋体" w:eastAsia="黑体" w:cs="黑体"/>
          <w:color w:val="000000"/>
          <w:sz w:val="72"/>
          <w:szCs w:val="72"/>
        </w:rPr>
      </w:pPr>
      <w:r>
        <w:rPr>
          <w:rFonts w:ascii="黑体" w:hAnsi="宋体" w:eastAsia="黑体" w:cs="黑体"/>
          <w:color w:val="000000"/>
          <w:sz w:val="72"/>
          <w:szCs w:val="72"/>
        </w:rPr>
        <w:t>2018</w:t>
      </w:r>
      <w:r>
        <w:rPr>
          <w:rFonts w:hint="eastAsia" w:ascii="黑体" w:hAnsi="宋体" w:eastAsia="黑体" w:cs="黑体"/>
          <w:color w:val="000000"/>
          <w:sz w:val="72"/>
          <w:szCs w:val="72"/>
        </w:rPr>
        <w:t>年度部门决算报表</w:t>
      </w:r>
    </w:p>
    <w:p>
      <w:pPr>
        <w:widowControl/>
        <w:spacing w:line="560" w:lineRule="exact"/>
        <w:jc w:val="center"/>
        <w:rPr>
          <w:rFonts w:cs="MS-UIGothic,Bold" w:asciiTheme="majorEastAsia" w:hAnsiTheme="majorEastAsia" w:eastAsiaTheme="majorEastAsia"/>
          <w:bCs/>
          <w:kern w:val="0"/>
          <w:sz w:val="52"/>
          <w:szCs w:val="52"/>
        </w:rPr>
      </w:pPr>
      <w:r>
        <w:rPr>
          <w:rFonts w:hint="eastAsia" w:ascii="黑体" w:hAnsi="黑体" w:eastAsia="黑体" w:cs="黑体"/>
          <w:bCs/>
          <w:kern w:val="0"/>
          <w:sz w:val="52"/>
          <w:szCs w:val="52"/>
          <w:lang w:eastAsia="zh-CN"/>
        </w:rPr>
        <w:t>（</w:t>
      </w:r>
      <w:r>
        <w:rPr>
          <w:rFonts w:hint="eastAsia" w:ascii="黑体" w:hAnsi="黑体" w:eastAsia="黑体" w:cs="黑体"/>
          <w:bCs/>
          <w:kern w:val="0"/>
          <w:sz w:val="52"/>
          <w:szCs w:val="52"/>
        </w:rPr>
        <w:t>见附表</w:t>
      </w:r>
      <w:r>
        <w:rPr>
          <w:rFonts w:hint="eastAsia" w:ascii="黑体" w:hAnsi="黑体" w:eastAsia="黑体" w:cs="黑体"/>
          <w:bCs/>
          <w:kern w:val="0"/>
          <w:sz w:val="52"/>
          <w:szCs w:val="52"/>
          <w:lang w:eastAsia="zh-CN"/>
        </w:rPr>
        <w:t>）</w:t>
      </w:r>
    </w:p>
    <w:p>
      <w:pPr>
        <w:widowControl/>
        <w:spacing w:after="0" w:line="560" w:lineRule="exact"/>
        <w:jc w:val="left"/>
        <w:rPr>
          <w:rFonts w:ascii="??_GB2312" w:hAnsi="宋体"/>
          <w:b/>
          <w:bCs/>
          <w:sz w:val="28"/>
          <w:szCs w:val="28"/>
          <w:highlight w:val="yellow"/>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s="黑体"/>
          <w:color w:val="000000"/>
          <w:sz w:val="96"/>
          <w:szCs w:val="96"/>
        </w:rPr>
        <w:t>第三部分</w:t>
      </w:r>
    </w:p>
    <w:p>
      <w:pPr>
        <w:widowControl/>
        <w:spacing w:line="1200" w:lineRule="exact"/>
        <w:jc w:val="center"/>
        <w:rPr>
          <w:color w:val="000000"/>
          <w:sz w:val="96"/>
          <w:szCs w:val="96"/>
        </w:rPr>
      </w:pPr>
      <w:r>
        <w:rPr>
          <w:rFonts w:hint="eastAsia" w:ascii="黑体" w:hAnsi="宋体" w:eastAsia="黑体" w:cs="黑体"/>
          <w:color w:val="000000"/>
          <w:sz w:val="96"/>
          <w:szCs w:val="96"/>
        </w:rPr>
        <w:t>部门决算情况说明</w:t>
      </w:r>
    </w:p>
    <w:p>
      <w:pPr>
        <w:rPr>
          <w:rFonts w:ascii="宋体"/>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一、收入</w:t>
      </w:r>
      <w:r>
        <w:rPr>
          <w:rFonts w:hint="eastAsia" w:ascii="黑体" w:hAnsi="Cambria" w:eastAsia="黑体" w:cs="黑体"/>
          <w:b w:val="0"/>
          <w:bCs w:val="0"/>
          <w:kern w:val="0"/>
        </w:rPr>
        <w:t>支出</w:t>
      </w:r>
      <w:r>
        <w:rPr>
          <w:rFonts w:hint="eastAsia" w:ascii="黑体" w:eastAsia="黑体" w:cs="黑体"/>
          <w:b w:val="0"/>
          <w:bCs w:val="0"/>
        </w:rPr>
        <w:t>决算总体情况说明</w:t>
      </w:r>
    </w:p>
    <w:p>
      <w:pPr>
        <w:adjustRightInd w:val="0"/>
        <w:snapToGrid w:val="0"/>
        <w:spacing w:after="0" w:line="580" w:lineRule="exact"/>
        <w:ind w:firstLine="640" w:firstLineChars="200"/>
        <w:rPr>
          <w:rFonts w:ascii="??_GB2312"/>
          <w:sz w:val="32"/>
          <w:szCs w:val="32"/>
        </w:rPr>
      </w:pPr>
      <w:r>
        <w:rPr>
          <w:rFonts w:hint="eastAsia" w:ascii="仿宋_GB2312" w:hAnsi="仿宋_GB2312" w:eastAsia="仿宋_GB2312" w:cs="仿宋_GB2312"/>
          <w:sz w:val="32"/>
          <w:szCs w:val="32"/>
        </w:rPr>
        <w:t>本部门2018年度年初结转和结余0万元，本年收入58.15万元，本年支出57.25万元，年末结转和结余0.90万元。与2017年度决算相比，本年收入减少11.03万元，下降15.94%，主要是项目维持经费减少。本年支出减少11.93万元，下降17.24%，主要是项目支出减少。</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二、收入决算情况说明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本部门2018年度本年收入合计58.15万元，其中：财政拨款收入58.15万元，占100%；事业收入0万元，占0%；经营收入0万元，占0%；其他收入0万元，占0%。如图所示：</w:t>
      </w: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420" w:firstLineChars="200"/>
        <w:rPr>
          <w:rFonts w:ascii="??_GB2312" w:eastAsia="Times New Roman"/>
          <w:sz w:val="32"/>
          <w:szCs w:val="32"/>
        </w:rPr>
      </w:pPr>
      <w:r>
        <w:pict>
          <v:shape id="_x0000_s1029" o:spid="_x0000_s1029" o:spt="75" type="#_x0000_t75" style="position:absolute;left:0pt;margin-left:43.3pt;margin-top:11.9pt;height:198.5pt;width:330pt;z-index:251661312;mso-width-relative:page;mso-height-relative:page;" filled="f" o:preferrelative="t" stroked="f" coordsize="21600,21600">
            <v:path/>
            <v:fill on="f" focussize="0,0"/>
            <v:stroke on="f"/>
            <v:imagedata r:id="rId6" o:title=""/>
            <o:lock v:ext="edit" aspectratio="t"/>
          </v:shape>
        </w:pict>
      </w: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黑体" w:eastAsia="黑体" w:cs="黑体"/>
          <w:b w:val="0"/>
          <w:bCs w:val="0"/>
        </w:rPr>
      </w:pPr>
      <w:r>
        <w:rPr>
          <w:rFonts w:hint="eastAsia" w:ascii="宋体" w:hAnsi="宋体" w:cs="宋体"/>
          <w:sz w:val="32"/>
          <w:szCs w:val="32"/>
        </w:rPr>
        <w:t>图</w:t>
      </w:r>
      <w:r>
        <w:rPr>
          <w:sz w:val="32"/>
          <w:szCs w:val="32"/>
        </w:rPr>
        <w:t>1</w:t>
      </w:r>
      <w:r>
        <w:rPr>
          <w:rFonts w:hint="eastAsia" w:ascii="宋体" w:hAnsi="宋体" w:cs="宋体"/>
          <w:sz w:val="32"/>
          <w:szCs w:val="32"/>
        </w:rPr>
        <w:t>：</w:t>
      </w:r>
      <w:r>
        <w:rPr>
          <w:rFonts w:hint="eastAsia" w:ascii="宋体" w:hAnsi="宋体" w:cs="宋体"/>
          <w:sz w:val="32"/>
          <w:szCs w:val="32"/>
          <w:lang w:val="en-US" w:eastAsia="zh-CN"/>
        </w:rPr>
        <w:t>收入</w:t>
      </w:r>
      <w:r>
        <w:rPr>
          <w:rFonts w:hint="eastAsia" w:ascii="宋体" w:hAnsi="宋体" w:cs="宋体"/>
          <w:sz w:val="32"/>
          <w:szCs w:val="32"/>
        </w:rPr>
        <w:t>决算结构饼状</w:t>
      </w:r>
      <w:r>
        <w:rPr>
          <w:rFonts w:hint="eastAsia" w:ascii="宋体" w:hAnsi="宋体" w:cs="宋体"/>
          <w:sz w:val="32"/>
          <w:szCs w:val="32"/>
          <w:lang w:val="en-US" w:eastAsia="zh-CN"/>
        </w:rPr>
        <w:t>图</w:t>
      </w:r>
    </w:p>
    <w:p>
      <w:pPr>
        <w:pStyle w:val="3"/>
        <w:spacing w:before="0" w:after="0" w:line="580" w:lineRule="exact"/>
        <w:ind w:firstLine="640" w:firstLineChars="200"/>
        <w:rPr>
          <w:rFonts w:hint="eastAsia" w:ascii="黑体" w:eastAsia="黑体" w:cs="黑体"/>
          <w:b w:val="0"/>
          <w:bCs w:val="0"/>
        </w:rPr>
      </w:pPr>
      <w:r>
        <w:rPr>
          <w:rFonts w:hint="eastAsia" w:ascii="黑体" w:eastAsia="黑体" w:cs="黑体"/>
          <w:b w:val="0"/>
          <w:bCs w:val="0"/>
        </w:rPr>
        <w:t>三、支出决算情况说明</w:t>
      </w:r>
    </w:p>
    <w:p>
      <w:pPr>
        <w:adjustRightInd w:val="0"/>
        <w:snapToGrid w:val="0"/>
        <w:spacing w:after="0" w:line="580" w:lineRule="exact"/>
        <w:ind w:firstLine="640" w:firstLineChars="200"/>
        <w:rPr>
          <w:rFonts w:ascii="??_GB2312" w:eastAsia="Times New Roman"/>
          <w:sz w:val="32"/>
          <w:szCs w:val="32"/>
        </w:rPr>
      </w:pPr>
      <w:r>
        <w:rPr>
          <w:rFonts w:hint="eastAsia" w:ascii="仿宋_GB2312" w:hAnsi="仿宋_GB2312" w:eastAsia="仿宋_GB2312" w:cs="仿宋_GB2312"/>
          <w:sz w:val="32"/>
          <w:szCs w:val="32"/>
        </w:rPr>
        <w:t>本部门2018年度本年支出合计57.25万元，其中：基本支出26.79万元，占46.79%；项目支出30.46万元，占53.21%；经营支出0万元，占0%。如图所示：</w:t>
      </w:r>
    </w:p>
    <w:p>
      <w:pPr>
        <w:adjustRightInd w:val="0"/>
        <w:snapToGrid w:val="0"/>
        <w:spacing w:after="0" w:line="580" w:lineRule="exact"/>
        <w:jc w:val="center"/>
        <w:rPr>
          <w:rFonts w:hint="eastAsia" w:ascii="宋体" w:hAnsi="宋体" w:cs="宋体"/>
          <w:sz w:val="32"/>
          <w:szCs w:val="32"/>
        </w:rPr>
      </w:pPr>
      <w:r>
        <w:pict>
          <v:shape id="_x0000_s1026" o:spid="_x0000_s1026" o:spt="75" type="#_x0000_t75" style="position:absolute;left:0pt;margin-left:52.35pt;margin-top:14.95pt;height:163.8pt;width:309.75pt;z-index:251659264;mso-width-relative:page;mso-height-relative:page;" filled="f" o:preferrelative="t" stroked="f" coordsize="21600,21600">
            <v:path/>
            <v:fill on="f" focussize="0,0"/>
            <v:stroke on="f" joinstyle="miter"/>
            <v:imagedata r:id="rId7" o:title=""/>
            <o:lock v:ext="edit" aspectratio="t"/>
          </v:shape>
        </w:pict>
      </w: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both"/>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r>
        <w:rPr>
          <w:rFonts w:hint="eastAsia" w:ascii="宋体" w:hAnsi="宋体" w:cs="宋体"/>
          <w:sz w:val="32"/>
          <w:szCs w:val="32"/>
        </w:rPr>
        <w:t>图</w:t>
      </w:r>
      <w:r>
        <w:rPr>
          <w:rFonts w:hint="eastAsia"/>
          <w:sz w:val="32"/>
          <w:szCs w:val="32"/>
          <w:lang w:val="en-US" w:eastAsia="zh-CN"/>
        </w:rPr>
        <w:t>2</w:t>
      </w:r>
      <w:r>
        <w:rPr>
          <w:rFonts w:hint="eastAsia" w:ascii="宋体" w:hAnsi="宋体" w:cs="宋体"/>
          <w:sz w:val="32"/>
          <w:szCs w:val="32"/>
        </w:rPr>
        <w:t>：支出决算结构饼状图</w:t>
      </w:r>
    </w:p>
    <w:p>
      <w:pPr>
        <w:adjustRightInd w:val="0"/>
        <w:snapToGrid w:val="0"/>
        <w:spacing w:after="0" w:line="580" w:lineRule="exact"/>
        <w:jc w:val="center"/>
        <w:rPr>
          <w:rFonts w:hint="eastAsia" w:ascii="宋体" w:hAnsi="宋体" w:cs="宋体"/>
          <w:sz w:val="32"/>
          <w:szCs w:val="32"/>
        </w:rPr>
      </w:pPr>
    </w:p>
    <w:p>
      <w:pPr>
        <w:pStyle w:val="3"/>
        <w:spacing w:before="0" w:after="0" w:line="580" w:lineRule="exact"/>
        <w:ind w:firstLine="960" w:firstLineChars="300"/>
        <w:rPr>
          <w:rFonts w:ascii="黑体" w:eastAsia="黑体" w:cs="Times New Roman"/>
          <w:b w:val="0"/>
          <w:bCs w:val="0"/>
        </w:rPr>
      </w:pPr>
      <w:r>
        <w:rPr>
          <w:rFonts w:hint="eastAsia" w:ascii="黑体" w:eastAsia="黑体" w:cs="黑体"/>
          <w:b w:val="0"/>
          <w:bCs w:val="0"/>
        </w:rPr>
        <w:t>四、</w:t>
      </w:r>
      <w:r>
        <w:rPr>
          <w:rFonts w:hint="eastAsia" w:ascii="黑体" w:hAnsi="Cambria" w:eastAsia="黑体" w:cs="黑体"/>
          <w:b w:val="0"/>
          <w:bCs w:val="0"/>
          <w:kern w:val="0"/>
        </w:rPr>
        <w:t>财政</w:t>
      </w:r>
      <w:r>
        <w:rPr>
          <w:rFonts w:hint="eastAsia" w:ascii="黑体" w:eastAsia="黑体" w:cs="黑体"/>
          <w:b w:val="0"/>
          <w:bCs w:val="0"/>
        </w:rPr>
        <w:t>拨款收入支出决算情况说明</w:t>
      </w:r>
    </w:p>
    <w:p>
      <w:pPr>
        <w:spacing w:after="0" w:line="58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（一）财政拨款收支与</w:t>
      </w:r>
      <w:r>
        <w:rPr>
          <w:rFonts w:ascii="楷体_GB2312" w:eastAsia="楷体_GB2312" w:cs="楷体_GB2312"/>
          <w:b/>
          <w:bCs/>
          <w:sz w:val="32"/>
          <w:szCs w:val="32"/>
        </w:rPr>
        <w:t>2017</w:t>
      </w:r>
      <w:r>
        <w:rPr>
          <w:rFonts w:hint="eastAsia" w:ascii="楷体_GB2312" w:eastAsia="楷体_GB2312" w:cs="楷体_GB2312"/>
          <w:b/>
          <w:bCs/>
          <w:sz w:val="32"/>
          <w:szCs w:val="32"/>
        </w:rPr>
        <w:t>年度决算对比情况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形成的财政拨款收支均为一般公共预算财政拨款，其中一般公共预算财政拨款本年收入58.15万元,比2017年度减少11.03万元，降低15.94%，主要是项目维持经费减少；本年支出57.25万元，减少11.93万元，降低17.24%，主要是项目支出减少。如图所示：</w:t>
      </w:r>
    </w:p>
    <w:p>
      <w:pPr>
        <w:adjustRightInd w:val="0"/>
        <w:snapToGrid w:val="0"/>
        <w:spacing w:after="0" w:line="580" w:lineRule="exact"/>
        <w:ind w:firstLine="420" w:firstLineChars="200"/>
        <w:rPr>
          <w:rFonts w:ascii="??_GB2312"/>
          <w:sz w:val="32"/>
          <w:szCs w:val="32"/>
        </w:rPr>
      </w:pPr>
      <w:r>
        <w:pict>
          <v:shape id="_x0000_s1027" o:spid="_x0000_s1027" o:spt="75" type="#_x0000_t75" style="position:absolute;left:0pt;margin-left:45.9pt;margin-top:2.25pt;height:159.3pt;width:339.85pt;z-index:251660288;mso-width-relative:page;mso-height-relative:page;" filled="f" o:preferrelative="t" stroked="f" coordsize="21600,21600">
            <v:path/>
            <v:fill on="f" focussize="0,0"/>
            <v:stroke on="f"/>
            <v:imagedata r:id="rId8" o:title=""/>
            <o:lock v:ext="edit" aspectratio="t"/>
          </v:shape>
        </w:pict>
      </w:r>
    </w:p>
    <w:p>
      <w:pPr>
        <w:adjustRightInd w:val="0"/>
        <w:snapToGrid w:val="0"/>
        <w:spacing w:after="0" w:line="580" w:lineRule="exact"/>
        <w:jc w:val="both"/>
        <w:rPr>
          <w:rFonts w:hint="eastAsia" w:ascii="宋体" w:hAnsi="宋体" w:cs="宋体"/>
          <w:sz w:val="32"/>
          <w:szCs w:val="32"/>
        </w:rPr>
      </w:pPr>
    </w:p>
    <w:p>
      <w:pPr>
        <w:adjustRightInd w:val="0"/>
        <w:snapToGrid w:val="0"/>
        <w:spacing w:after="0" w:line="580" w:lineRule="exact"/>
        <w:ind w:firstLine="1920" w:firstLineChars="600"/>
        <w:jc w:val="both"/>
        <w:rPr>
          <w:rFonts w:ascii="宋体"/>
          <w:sz w:val="32"/>
          <w:szCs w:val="32"/>
        </w:rPr>
      </w:pPr>
      <w:r>
        <w:rPr>
          <w:rFonts w:hint="eastAsia" w:ascii="宋体" w:hAnsi="宋体" w:cs="宋体"/>
          <w:sz w:val="32"/>
          <w:szCs w:val="32"/>
        </w:rPr>
        <w:t>图</w:t>
      </w:r>
      <w:r>
        <w:rPr>
          <w:rFonts w:hint="eastAsia"/>
          <w:sz w:val="32"/>
          <w:szCs w:val="32"/>
          <w:lang w:val="en-US" w:eastAsia="zh-CN"/>
        </w:rPr>
        <w:t>3</w:t>
      </w:r>
      <w:r>
        <w:rPr>
          <w:rFonts w:hint="eastAsia" w:ascii="宋体" w:hAnsi="宋体" w:cs="宋体"/>
          <w:sz w:val="32"/>
          <w:szCs w:val="32"/>
        </w:rPr>
        <w:t>：财政拨款收支情况</w:t>
      </w:r>
    </w:p>
    <w:p>
      <w:pPr>
        <w:spacing w:after="0" w:line="580" w:lineRule="exact"/>
        <w:ind w:firstLine="643" w:firstLineChars="200"/>
        <w:rPr>
          <w:rFonts w:ascii="??_GB2312" w:eastAsia="Times New Roman"/>
          <w:b/>
          <w:bCs/>
          <w:sz w:val="32"/>
          <w:szCs w:val="32"/>
        </w:rPr>
      </w:pPr>
      <w:r>
        <w:rPr>
          <w:rFonts w:hint="eastAsia" w:ascii="楷体_GB2312" w:eastAsia="楷体_GB2312" w:cs="楷体_GB2312"/>
          <w:b/>
          <w:bCs/>
          <w:sz w:val="32"/>
          <w:szCs w:val="32"/>
        </w:rPr>
        <w:t>（二）财政拨款收支与年初预算数对比情况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w:t>
      </w:r>
      <w:r>
        <w:rPr>
          <w:rFonts w:hint="eastAsia" w:ascii="仿宋_GB2312" w:hAnsi="仿宋_GB2312" w:eastAsia="仿宋_GB2312" w:cs="仿宋_GB2312"/>
          <w:sz w:val="32"/>
          <w:szCs w:val="32"/>
          <w:lang w:eastAsia="zh-CN"/>
        </w:rPr>
        <w:t>一般公共预算财政拨款本年收入</w:t>
      </w:r>
      <w:r>
        <w:rPr>
          <w:rFonts w:hint="eastAsia" w:ascii="仿宋_GB2312" w:hAnsi="仿宋_GB2312" w:eastAsia="仿宋_GB2312" w:cs="仿宋_GB2312"/>
          <w:sz w:val="32"/>
          <w:szCs w:val="32"/>
        </w:rPr>
        <w:t>58.15万元，完成年初预算的100%,比年初预算无增减变化。</w:t>
      </w:r>
      <w:r>
        <w:rPr>
          <w:rFonts w:hint="eastAsia" w:ascii="仿宋_GB2312" w:hAnsi="仿宋_GB2312" w:eastAsia="仿宋_GB2312" w:cs="仿宋_GB2312"/>
          <w:sz w:val="32"/>
          <w:szCs w:val="32"/>
          <w:lang w:eastAsia="zh-CN"/>
        </w:rPr>
        <w:t>本年支出</w:t>
      </w:r>
      <w:r>
        <w:rPr>
          <w:rFonts w:hint="eastAsia" w:ascii="仿宋_GB2312" w:hAnsi="仿宋_GB2312" w:eastAsia="仿宋_GB2312" w:cs="仿宋_GB2312"/>
          <w:sz w:val="32"/>
          <w:szCs w:val="32"/>
          <w:lang w:val="en-US" w:eastAsia="zh-CN"/>
        </w:rPr>
        <w:t>57.25万元，完成年初预算的98.45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比年初预算减少</w:t>
      </w:r>
      <w:r>
        <w:rPr>
          <w:rFonts w:hint="eastAsia" w:ascii="仿宋_GB2312" w:hAnsi="仿宋_GB2312" w:eastAsia="仿宋_GB2312" w:cs="仿宋_GB2312"/>
          <w:sz w:val="32"/>
          <w:szCs w:val="32"/>
          <w:lang w:val="en-US" w:eastAsia="zh-CN"/>
        </w:rPr>
        <w:t>0.90万元，</w:t>
      </w:r>
      <w:r>
        <w:rPr>
          <w:rFonts w:hint="eastAsia" w:ascii="仿宋_GB2312" w:hAnsi="仿宋_GB2312" w:eastAsia="仿宋_GB2312" w:cs="仿宋_GB2312"/>
          <w:sz w:val="32"/>
          <w:szCs w:val="32"/>
          <w:lang w:eastAsia="zh-CN"/>
        </w:rPr>
        <w:t>决算数小于预算数主要是厉行节约，减少公用支出</w:t>
      </w:r>
      <w:r>
        <w:rPr>
          <w:rFonts w:hint="eastAsia" w:ascii="仿宋_GB2312" w:hAnsi="仿宋_GB2312" w:eastAsia="仿宋_GB2312" w:cs="仿宋_GB2312"/>
          <w:sz w:val="32"/>
          <w:szCs w:val="32"/>
        </w:rPr>
        <w:t>。</w:t>
      </w: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420" w:firstLineChars="200"/>
        <w:rPr>
          <w:rFonts w:hint="eastAsia" w:ascii="仿宋_GB2312" w:hAnsi="仿宋_GB2312" w:eastAsia="仿宋_GB2312" w:cs="仿宋_GB2312"/>
          <w:sz w:val="32"/>
          <w:szCs w:val="32"/>
        </w:rPr>
      </w:pPr>
      <w:r>
        <w:pict>
          <v:shape id="图表 1" o:spid="_x0000_s1030" o:spt="75" type="#_x0000_t75" style="position:absolute;left:0pt;margin-left:43.5pt;margin-top:7.2pt;height:217.5pt;width:361.5pt;z-index:251662336;mso-width-relative:page;mso-height-relative:page;" filled="f" o:preferrelative="t" stroked="f" coordsize="21600,21600" o:gfxdata="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">
            <v:path/>
            <v:fill on="f" focussize="0,0"/>
            <v:stroke on="f"/>
            <v:imagedata r:id="rId9" o:title=""/>
            <o:lock v:ext="edit" aspectratio="f"/>
          </v:shape>
        </w:pict>
      </w: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lang w:val="en-US" w:eastAsia="zh-CN"/>
        </w:rPr>
        <w:t>4：财政拨款收支预决算对比情况</w:t>
      </w:r>
    </w:p>
    <w:p>
      <w:pPr>
        <w:adjustRightInd w:val="0"/>
        <w:snapToGrid w:val="0"/>
        <w:spacing w:after="0" w:line="580" w:lineRule="exact"/>
        <w:ind w:firstLine="640" w:firstLineChars="200"/>
        <w:jc w:val="center"/>
        <w:rPr>
          <w:rFonts w:hint="eastAsia" w:ascii="仿宋_GB2312" w:hAnsi="仿宋_GB2312" w:eastAsia="仿宋_GB2312" w:cs="仿宋_GB2312"/>
          <w:sz w:val="32"/>
          <w:szCs w:val="32"/>
          <w:lang w:val="en-US" w:eastAsia="zh-CN"/>
        </w:rPr>
      </w:pPr>
    </w:p>
    <w:p>
      <w:pPr>
        <w:numPr>
          <w:ilvl w:val="0"/>
          <w:numId w:val="1"/>
        </w:numPr>
        <w:adjustRightInd w:val="0"/>
        <w:snapToGrid w:val="0"/>
        <w:spacing w:after="0" w:line="580" w:lineRule="exact"/>
        <w:ind w:left="420" w:leftChars="200"/>
        <w:rPr>
          <w:rFonts w:ascii="楷体_GB2312" w:eastAsia="楷体_GB2312"/>
          <w:b/>
          <w:bCs/>
          <w:sz w:val="32"/>
          <w:szCs w:val="32"/>
        </w:rPr>
      </w:pPr>
      <w:r>
        <w:rPr>
          <w:rFonts w:hint="eastAsia" w:ascii="楷体_GB2312" w:eastAsia="楷体_GB2312" w:cs="楷体_GB2312"/>
          <w:b/>
          <w:bCs/>
          <w:sz w:val="32"/>
          <w:szCs w:val="32"/>
        </w:rPr>
        <w:t>财政拨款支出决算结构情况。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2018年度财政拨款支出57.25万元，主要用于以下方面：医疗卫生与计划生育支出2.08万元，占3.63%；资源勘探信息等支出1.00万元，占1.75%；国土海洋气象等支出54.17万元，占94.62%。</w:t>
      </w:r>
    </w:p>
    <w:p>
      <w:pPr>
        <w:adjustRightInd w:val="0"/>
        <w:snapToGrid w:val="0"/>
        <w:spacing w:after="0" w:line="580" w:lineRule="exact"/>
        <w:jc w:val="center"/>
        <w:rPr>
          <w:rFonts w:hint="eastAsia" w:ascii="宋体" w:hAnsi="宋体" w:cs="宋体"/>
          <w:sz w:val="32"/>
          <w:szCs w:val="32"/>
        </w:rPr>
      </w:pPr>
      <w:r>
        <w:pict>
          <v:shape id="_x0000_s1028" o:spid="_x0000_s1028" o:spt="75" type="#_x0000_t75" style="position:absolute;left:0pt;margin-left:29.7pt;margin-top:8.35pt;height:223.8pt;width:390.85pt;z-index:251660288;mso-width-relative:page;mso-height-relative:page;" filled="f" o:preferrelative="t" stroked="f" coordsize="21600,21600">
            <v:path/>
            <v:fill on="f" focussize="0,0"/>
            <v:stroke on="f"/>
            <v:imagedata r:id="rId10" o:title=""/>
            <o:lock v:ext="edit" aspectratio="t"/>
          </v:shape>
        </w:pict>
      </w: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r>
        <w:rPr>
          <w:rFonts w:hint="eastAsia" w:ascii="宋体" w:hAnsi="宋体" w:cs="宋体"/>
          <w:sz w:val="32"/>
          <w:szCs w:val="32"/>
        </w:rPr>
        <w:t>图</w:t>
      </w:r>
      <w:r>
        <w:rPr>
          <w:rFonts w:hint="eastAsia"/>
          <w:sz w:val="32"/>
          <w:szCs w:val="32"/>
          <w:lang w:val="en-US" w:eastAsia="zh-CN"/>
        </w:rPr>
        <w:t>5</w:t>
      </w:r>
      <w:r>
        <w:rPr>
          <w:rFonts w:hint="eastAsia" w:ascii="宋体" w:hAnsi="宋体" w:cs="宋体"/>
          <w:sz w:val="32"/>
          <w:szCs w:val="32"/>
        </w:rPr>
        <w:t>：财政拨款支出决算结构（按功能分类）</w:t>
      </w: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（四）一般公共预算财政拨款基本支出决算情况说明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基本支出26.79万元，其中：人员经费7.88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4.10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五、一般公共预算财政拨款“三公”经费支出决算情况说明</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本部门2018年度一般公共预算财政拨款“三公”经费支出共计0万元</w:t>
      </w:r>
      <w:r>
        <w:rPr>
          <w:rFonts w:hint="eastAsia" w:ascii="仿宋_GB2312" w:hAnsi="仿宋_GB2312" w:eastAsia="仿宋_GB2312" w:cs="仿宋_GB2312"/>
          <w:sz w:val="32"/>
          <w:szCs w:val="32"/>
          <w:lang w:val="en-US" w:eastAsia="zh-CN"/>
        </w:rPr>
        <w:t>,</w:t>
      </w:r>
      <w:r>
        <w:rPr>
          <w:rFonts w:hint="eastAsia" w:ascii="仿宋_GB2312" w:eastAsia="仿宋_GB2312" w:cs="DengXian-Regular"/>
          <w:sz w:val="32"/>
          <w:szCs w:val="32"/>
        </w:rPr>
        <w:t>比年初预算</w:t>
      </w:r>
      <w:r>
        <w:rPr>
          <w:rFonts w:hint="eastAsia" w:eastAsia="仿宋_GB2312"/>
          <w:sz w:val="32"/>
          <w:szCs w:val="32"/>
        </w:rPr>
        <w:t>减少</w:t>
      </w:r>
      <w:r>
        <w:rPr>
          <w:rFonts w:hint="eastAsia" w:eastAsia="仿宋_GB2312"/>
          <w:sz w:val="32"/>
          <w:szCs w:val="32"/>
          <w:lang w:val="en-US" w:eastAsia="zh-CN"/>
        </w:rPr>
        <w:t>0</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hint="eastAsia" w:eastAsia="仿宋_GB2312"/>
          <w:sz w:val="32"/>
          <w:szCs w:val="32"/>
          <w:lang w:val="en-US" w:eastAsia="zh-CN"/>
        </w:rPr>
        <w:t>0</w:t>
      </w:r>
      <w:r>
        <w:rPr>
          <w:rFonts w:eastAsia="仿宋_GB2312"/>
          <w:sz w:val="32"/>
          <w:szCs w:val="32"/>
        </w:rPr>
        <w:t>%</w:t>
      </w:r>
      <w:r>
        <w:rPr>
          <w:rFonts w:ascii="仿宋_GB2312" w:eastAsia="仿宋_GB2312" w:cs="DengXian-Regular"/>
          <w:sz w:val="32"/>
          <w:szCs w:val="32"/>
        </w:rPr>
        <w:t>,</w:t>
      </w:r>
      <w:r>
        <w:rPr>
          <w:rFonts w:hint="eastAsia" w:ascii="仿宋_GB2312" w:eastAsia="仿宋_GB2312" w:cs="DengXian-Regular"/>
          <w:sz w:val="32"/>
          <w:szCs w:val="32"/>
        </w:rPr>
        <w:t>主要是厉行节约，压减支出；</w:t>
      </w:r>
      <w:r>
        <w:rPr>
          <w:rFonts w:hint="eastAsia" w:ascii="宋体" w:hAnsi="宋体" w:cs="宋体"/>
          <w:sz w:val="32"/>
          <w:szCs w:val="32"/>
          <w:lang w:val="en-US" w:eastAsia="zh-CN"/>
        </w:rPr>
        <w:t>比2017年度决算减少0万元，减少0%，</w:t>
      </w:r>
      <w:r>
        <w:rPr>
          <w:rFonts w:hint="eastAsia" w:eastAsia="仿宋_GB2312"/>
          <w:sz w:val="32"/>
          <w:szCs w:val="32"/>
        </w:rPr>
        <w:t>主要是</w:t>
      </w:r>
      <w:r>
        <w:rPr>
          <w:rFonts w:hint="eastAsia" w:ascii="仿宋_GB2312" w:eastAsia="仿宋_GB2312" w:cs="DengXian-Regular"/>
          <w:sz w:val="32"/>
          <w:szCs w:val="32"/>
        </w:rPr>
        <w:t>厉行节约，压减支出</w:t>
      </w:r>
      <w:r>
        <w:rPr>
          <w:rFonts w:hint="eastAsia" w:ascii="宋体" w:hAnsi="宋体" w:cs="宋体"/>
          <w:sz w:val="32"/>
          <w:szCs w:val="32"/>
        </w:rPr>
        <w:t>。</w:t>
      </w:r>
      <w:r>
        <w:rPr>
          <w:rFonts w:hint="eastAsia" w:ascii="仿宋_GB2312" w:hAnsi="仿宋_GB2312" w:eastAsia="仿宋_GB2312" w:cs="仿宋_GB2312"/>
          <w:sz w:val="32"/>
          <w:szCs w:val="32"/>
        </w:rPr>
        <w:t>具体情况如下：</w:t>
      </w:r>
    </w:p>
    <w:p>
      <w:pPr>
        <w:adjustRightInd w:val="0"/>
        <w:snapToGrid w:val="0"/>
        <w:spacing w:line="584" w:lineRule="exact"/>
        <w:ind w:firstLine="643" w:firstLineChars="200"/>
        <w:rPr>
          <w:rFonts w:hint="eastAsia" w:eastAsia="仿宋_GB2312"/>
          <w:sz w:val="32"/>
          <w:szCs w:val="32"/>
          <w:highlight w:val="yellow"/>
          <w:lang w:eastAsia="zh-CN"/>
        </w:rPr>
      </w:pPr>
      <w:r>
        <w:rPr>
          <w:rFonts w:hint="eastAsia" w:eastAsia="楷体_GB2312" w:cs="楷体_GB2312"/>
          <w:b/>
          <w:bCs/>
          <w:sz w:val="32"/>
          <w:szCs w:val="32"/>
        </w:rPr>
        <w:t>（一）因公出国（境）费支出</w:t>
      </w:r>
      <w:r>
        <w:rPr>
          <w:rFonts w:eastAsia="楷体_GB2312"/>
          <w:b/>
          <w:bCs/>
          <w:sz w:val="32"/>
          <w:szCs w:val="32"/>
        </w:rPr>
        <w:t>0</w:t>
      </w:r>
      <w:r>
        <w:rPr>
          <w:rFonts w:hint="eastAsia" w:eastAsia="楷体_GB2312" w:cs="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w:t>
      </w:r>
      <w:r>
        <w:rPr>
          <w:rFonts w:eastAsia="仿宋_GB2312"/>
          <w:sz w:val="32"/>
          <w:szCs w:val="32"/>
        </w:rPr>
        <w:t>,</w:t>
      </w:r>
      <w:r>
        <w:rPr>
          <w:rFonts w:hint="eastAsia" w:eastAsia="仿宋_GB2312"/>
          <w:sz w:val="32"/>
          <w:szCs w:val="32"/>
        </w:rPr>
        <w:t>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，主要是未发生因公出国（境）费支出。较</w:t>
      </w:r>
      <w:r>
        <w:rPr>
          <w:rFonts w:eastAsia="仿宋_GB2312"/>
          <w:sz w:val="32"/>
          <w:szCs w:val="32"/>
        </w:rPr>
        <w:t>2017</w:t>
      </w:r>
      <w:r>
        <w:rPr>
          <w:rFonts w:hint="eastAsia" w:eastAsia="仿宋_GB2312"/>
          <w:sz w:val="32"/>
          <w:szCs w:val="32"/>
        </w:rPr>
        <w:t>年决算无增减变化</w:t>
      </w:r>
      <w:r>
        <w:rPr>
          <w:rFonts w:hint="eastAsia" w:eastAsia="仿宋_GB2312"/>
          <w:sz w:val="32"/>
          <w:szCs w:val="32"/>
          <w:lang w:eastAsia="zh-CN"/>
        </w:rPr>
        <w:t>。</w:t>
      </w:r>
    </w:p>
    <w:p>
      <w:pPr>
        <w:adjustRightInd w:val="0"/>
        <w:snapToGrid w:val="0"/>
        <w:spacing w:line="584" w:lineRule="exact"/>
        <w:ind w:firstLine="643" w:firstLineChars="200"/>
        <w:rPr>
          <w:rFonts w:hint="eastAsia" w:ascii="仿宋_GB2312" w:hAnsi="仿宋_GB2312" w:eastAsia="仿宋_GB2312" w:cs="仿宋_GB2312"/>
          <w:b/>
          <w:bCs/>
          <w:sz w:val="32"/>
          <w:szCs w:val="32"/>
        </w:rPr>
      </w:pPr>
      <w:r>
        <w:rPr>
          <w:rFonts w:hint="eastAsia" w:eastAsia="楷体_GB2312" w:cs="楷体_GB2312"/>
          <w:b/>
          <w:bCs/>
          <w:sz w:val="32"/>
          <w:szCs w:val="32"/>
        </w:rPr>
        <w:t>（二）公务用车购置及运行维护费支出</w:t>
      </w:r>
      <w:r>
        <w:rPr>
          <w:rFonts w:eastAsia="楷体_GB2312"/>
          <w:b/>
          <w:bCs/>
          <w:sz w:val="32"/>
          <w:szCs w:val="32"/>
        </w:rPr>
        <w:t>0</w:t>
      </w:r>
      <w:r>
        <w:rPr>
          <w:rFonts w:hint="eastAsia" w:eastAsia="楷体_GB2312" w:cs="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减少</w:t>
      </w:r>
      <w:r>
        <w:rPr>
          <w:rFonts w:hint="eastAsia" w:eastAsia="仿宋_GB2312"/>
          <w:sz w:val="32"/>
          <w:szCs w:val="32"/>
          <w:lang w:val="en-US" w:eastAsia="zh-CN"/>
        </w:rPr>
        <w:t>0</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hint="eastAsia" w:eastAsia="仿宋_GB2312"/>
          <w:sz w:val="32"/>
          <w:szCs w:val="32"/>
          <w:lang w:val="en-US" w:eastAsia="zh-CN"/>
        </w:rPr>
        <w:t>0</w:t>
      </w:r>
      <w:r>
        <w:rPr>
          <w:rFonts w:eastAsia="仿宋_GB2312"/>
          <w:sz w:val="32"/>
          <w:szCs w:val="32"/>
        </w:rPr>
        <w:t>%</w:t>
      </w:r>
      <w:r>
        <w:rPr>
          <w:rFonts w:ascii="仿宋_GB2312" w:eastAsia="仿宋_GB2312" w:cs="DengXian-Regular"/>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0</w:t>
      </w:r>
      <w:r>
        <w:rPr>
          <w:rFonts w:hint="eastAsia" w:eastAsia="仿宋_GB2312"/>
          <w:sz w:val="32"/>
          <w:szCs w:val="32"/>
        </w:rPr>
        <w:t>万元，降低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，主要是</w:t>
      </w:r>
      <w:r>
        <w:rPr>
          <w:rFonts w:hint="eastAsia" w:ascii="仿宋_GB2312" w:eastAsia="仿宋_GB2312" w:cs="DengXian-Regular"/>
          <w:sz w:val="32"/>
          <w:szCs w:val="32"/>
        </w:rPr>
        <w:t>厉行节约，压减支出</w:t>
      </w:r>
      <w:r>
        <w:rPr>
          <w:rFonts w:hint="eastAsia" w:ascii="仿宋_GB2312" w:hAnsi="仿宋_GB2312" w:eastAsia="仿宋_GB2312" w:cs="仿宋_GB2312"/>
          <w:sz w:val="32"/>
          <w:szCs w:val="32"/>
        </w:rPr>
        <w:t>。</w:t>
      </w:r>
      <w:r>
        <w:rPr>
          <w:rFonts w:hint="eastAsia" w:eastAsia="仿宋_GB2312"/>
          <w:sz w:val="32"/>
          <w:szCs w:val="32"/>
        </w:rPr>
        <w:t>较</w:t>
      </w:r>
      <w:r>
        <w:rPr>
          <w:rFonts w:eastAsia="仿宋_GB2312"/>
          <w:sz w:val="32"/>
          <w:szCs w:val="32"/>
        </w:rPr>
        <w:t>2017</w:t>
      </w:r>
      <w:r>
        <w:rPr>
          <w:rFonts w:hint="eastAsia" w:eastAsia="仿宋_GB2312"/>
          <w:sz w:val="32"/>
          <w:szCs w:val="32"/>
        </w:rPr>
        <w:t>年决算无增减变化</w:t>
      </w:r>
      <w:r>
        <w:rPr>
          <w:rFonts w:hint="eastAsia" w:eastAsia="仿宋_GB2312"/>
          <w:sz w:val="32"/>
          <w:szCs w:val="32"/>
          <w:lang w:eastAsia="zh-CN"/>
        </w:rPr>
        <w:t>。</w:t>
      </w:r>
      <w:r>
        <w:rPr>
          <w:rFonts w:hint="eastAsia" w:ascii="仿宋_GB2312" w:hAnsi="仿宋_GB2312" w:eastAsia="仿宋_GB2312" w:cs="仿宋_GB2312"/>
          <w:b/>
          <w:bCs/>
          <w:sz w:val="32"/>
          <w:szCs w:val="32"/>
        </w:rPr>
        <w:t>其中：</w:t>
      </w:r>
    </w:p>
    <w:p>
      <w:pPr>
        <w:adjustRightInd w:val="0"/>
        <w:snapToGrid w:val="0"/>
        <w:spacing w:line="584" w:lineRule="exact"/>
        <w:ind w:firstLine="643" w:firstLineChars="200"/>
        <w:rPr>
          <w:rFonts w:hint="eastAsia" w:eastAsia="仿宋_GB2312"/>
          <w:sz w:val="32"/>
          <w:szCs w:val="32"/>
        </w:rPr>
      </w:pPr>
      <w:r>
        <w:rPr>
          <w:rFonts w:hint="eastAsia" w:ascii="宋体" w:hAnsi="宋体" w:cs="宋体"/>
          <w:b/>
          <w:bCs/>
          <w:sz w:val="32"/>
          <w:szCs w:val="32"/>
        </w:rPr>
        <w:t>公务用车购置费支出</w:t>
      </w:r>
      <w:r>
        <w:rPr>
          <w:b/>
          <w:bCs/>
          <w:sz w:val="32"/>
          <w:szCs w:val="32"/>
        </w:rPr>
        <w:t>0</w:t>
      </w:r>
      <w:r>
        <w:rPr>
          <w:rFonts w:hint="eastAsia" w:ascii="宋体" w:hAnsi="宋体" w:cs="宋体"/>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辆。公务用车购置费支出比年初预算增加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w:t>
      </w:r>
      <w:r>
        <w:rPr>
          <w:rFonts w:eastAsia="仿宋_GB2312"/>
          <w:sz w:val="32"/>
          <w:szCs w:val="32"/>
        </w:rPr>
        <w:t>2017</w:t>
      </w:r>
      <w:r>
        <w:rPr>
          <w:rFonts w:hint="eastAsia" w:eastAsia="仿宋_GB2312"/>
          <w:sz w:val="32"/>
          <w:szCs w:val="32"/>
        </w:rPr>
        <w:t>年决算无增减变化。</w:t>
      </w:r>
    </w:p>
    <w:p>
      <w:pPr>
        <w:adjustRightInd w:val="0"/>
        <w:snapToGrid w:val="0"/>
        <w:spacing w:line="584" w:lineRule="exact"/>
        <w:ind w:firstLine="643" w:firstLineChars="200"/>
        <w:rPr>
          <w:rFonts w:hint="eastAsia" w:ascii="仿宋_GB2312" w:hAnsi="仿宋_GB2312" w:eastAsia="仿宋_GB2312" w:cs="仿宋_GB2312"/>
          <w:sz w:val="32"/>
          <w:szCs w:val="32"/>
        </w:rPr>
      </w:pPr>
      <w:r>
        <w:rPr>
          <w:rFonts w:hint="eastAsia" w:ascii="宋体" w:hAnsi="宋体" w:cs="宋体"/>
          <w:b/>
          <w:bCs/>
          <w:sz w:val="32"/>
          <w:szCs w:val="32"/>
        </w:rPr>
        <w:t>公务用车运行维护费支出</w:t>
      </w:r>
      <w:r>
        <w:rPr>
          <w:b/>
          <w:bCs/>
          <w:sz w:val="32"/>
          <w:szCs w:val="32"/>
        </w:rPr>
        <w:t>0</w:t>
      </w:r>
      <w:r>
        <w:rPr>
          <w:rFonts w:hint="eastAsia" w:ascii="宋体" w:hAnsi="宋体" w:cs="宋体"/>
          <w:b/>
          <w:bCs/>
          <w:sz w:val="32"/>
          <w:szCs w:val="32"/>
        </w:rPr>
        <w:t>万元。</w:t>
      </w:r>
      <w:r>
        <w:rPr>
          <w:rFonts w:hint="eastAsia" w:ascii="仿宋_GB2312" w:hAnsi="仿宋_GB2312" w:eastAsia="仿宋_GB2312" w:cs="仿宋_GB2312"/>
          <w:sz w:val="32"/>
          <w:szCs w:val="32"/>
        </w:rPr>
        <w:t>本部门2018年末单位公务用车保有量1辆。</w:t>
      </w:r>
      <w:r>
        <w:rPr>
          <w:rFonts w:hint="eastAsia" w:eastAsia="仿宋_GB2312"/>
          <w:sz w:val="32"/>
          <w:szCs w:val="32"/>
        </w:rPr>
        <w:t>公车运行维护费支出比年初预算减少</w:t>
      </w:r>
      <w:r>
        <w:rPr>
          <w:rFonts w:hint="eastAsia" w:eastAsia="仿宋_GB2312"/>
          <w:sz w:val="32"/>
          <w:szCs w:val="32"/>
          <w:lang w:val="en-US" w:eastAsia="zh-CN"/>
        </w:rPr>
        <w:t>0</w:t>
      </w:r>
      <w:r>
        <w:rPr>
          <w:rFonts w:hint="eastAsia" w:eastAsia="仿宋_GB2312"/>
          <w:sz w:val="32"/>
          <w:szCs w:val="32"/>
        </w:rPr>
        <w:t>万元，降低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，主要是厉行节约，压减支出；比</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0</w:t>
      </w:r>
      <w:r>
        <w:rPr>
          <w:rFonts w:hint="eastAsia" w:eastAsia="仿宋_GB2312"/>
          <w:sz w:val="32"/>
          <w:szCs w:val="32"/>
        </w:rPr>
        <w:t>万元，降低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，主要是厉行节约，压减支出</w:t>
      </w:r>
      <w:r>
        <w:rPr>
          <w:rFonts w:hint="eastAsia" w:eastAsia="仿宋_GB2312"/>
          <w:sz w:val="32"/>
          <w:szCs w:val="32"/>
          <w:lang w:val="en-US" w:eastAsia="zh-CN"/>
        </w:rPr>
        <w:t>,</w:t>
      </w:r>
      <w:r>
        <w:rPr>
          <w:rFonts w:hint="eastAsia" w:eastAsia="仿宋_GB2312"/>
          <w:sz w:val="32"/>
          <w:szCs w:val="32"/>
        </w:rPr>
        <w:t>较</w:t>
      </w:r>
      <w:r>
        <w:rPr>
          <w:rFonts w:eastAsia="仿宋_GB2312"/>
          <w:sz w:val="32"/>
          <w:szCs w:val="32"/>
        </w:rPr>
        <w:t>2017</w:t>
      </w:r>
      <w:r>
        <w:rPr>
          <w:rFonts w:hint="eastAsia" w:eastAsia="仿宋_GB2312"/>
          <w:sz w:val="32"/>
          <w:szCs w:val="32"/>
        </w:rPr>
        <w:t>年决算无增减变化。</w:t>
      </w:r>
    </w:p>
    <w:p>
      <w:pPr>
        <w:widowControl w:val="0"/>
        <w:wordWrap/>
        <w:adjustRightInd w:val="0"/>
        <w:snapToGrid w:val="0"/>
        <w:spacing w:after="0" w:line="584"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eastAsia="楷体_GB2312" w:cs="楷体_GB2312"/>
          <w:b/>
          <w:bCs/>
          <w:sz w:val="32"/>
          <w:szCs w:val="32"/>
        </w:rPr>
        <w:t>（三）公务接待费支出</w:t>
      </w:r>
      <w:r>
        <w:rPr>
          <w:rFonts w:eastAsia="楷体_GB2312"/>
          <w:b/>
          <w:bCs/>
          <w:sz w:val="32"/>
          <w:szCs w:val="32"/>
        </w:rPr>
        <w:t>0</w:t>
      </w:r>
      <w:r>
        <w:rPr>
          <w:rFonts w:hint="eastAsia" w:eastAsia="楷体_GB2312" w:cs="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eastAsia="仿宋_GB2312"/>
          <w:sz w:val="32"/>
          <w:szCs w:val="32"/>
        </w:rPr>
        <w:t>0</w:t>
      </w:r>
      <w:r>
        <w:rPr>
          <w:rFonts w:hint="eastAsia" w:eastAsia="仿宋_GB2312"/>
          <w:sz w:val="32"/>
          <w:szCs w:val="32"/>
        </w:rPr>
        <w:t>批次、</w:t>
      </w:r>
      <w:r>
        <w:rPr>
          <w:rFonts w:eastAsia="仿宋_GB2312"/>
          <w:sz w:val="32"/>
          <w:szCs w:val="32"/>
        </w:rPr>
        <w:t>0</w:t>
      </w:r>
      <w:r>
        <w:rPr>
          <w:rFonts w:hint="eastAsia" w:eastAsia="仿宋_GB2312"/>
          <w:sz w:val="32"/>
          <w:szCs w:val="32"/>
        </w:rPr>
        <w:t>人次。公务接待费支出比年初预算增加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，主要是未发生公务接待费支出，较</w:t>
      </w:r>
      <w:r>
        <w:rPr>
          <w:rFonts w:eastAsia="仿宋_GB2312"/>
          <w:sz w:val="32"/>
          <w:szCs w:val="32"/>
        </w:rPr>
        <w:t>2017</w:t>
      </w:r>
      <w:r>
        <w:rPr>
          <w:rFonts w:hint="eastAsia" w:eastAsia="仿宋_GB2312"/>
          <w:sz w:val="32"/>
          <w:szCs w:val="32"/>
        </w:rPr>
        <w:t>年决算无增减变化。</w:t>
      </w:r>
    </w:p>
    <w:p>
      <w:pPr>
        <w:adjustRightInd w:val="0"/>
        <w:snapToGrid w:val="0"/>
        <w:spacing w:after="0" w:line="580" w:lineRule="exact"/>
        <w:ind w:firstLine="640" w:firstLineChars="200"/>
        <w:rPr>
          <w:rFonts w:ascii="黑体" w:eastAsia="黑体"/>
          <w:sz w:val="32"/>
          <w:szCs w:val="32"/>
        </w:rPr>
      </w:pPr>
      <w:r>
        <w:rPr>
          <w:rFonts w:hint="eastAsia" w:ascii="黑体" w:eastAsia="黑体" w:cs="黑体"/>
          <w:sz w:val="32"/>
          <w:szCs w:val="32"/>
        </w:rPr>
        <w:t>六、预算绩效情况说明</w:t>
      </w:r>
    </w:p>
    <w:p>
      <w:pPr>
        <w:adjustRightInd w:val="0"/>
        <w:snapToGrid w:val="0"/>
        <w:spacing w:after="0" w:line="580" w:lineRule="exact"/>
        <w:ind w:firstLine="640" w:firstLineChars="200"/>
        <w:rPr>
          <w:rFonts w:ascii="??_GB2312" w:eastAsia="Times New Roman"/>
          <w:sz w:val="32"/>
          <w:szCs w:val="32"/>
        </w:rPr>
      </w:pPr>
      <w:r>
        <w:rPr>
          <w:rFonts w:hint="default" w:ascii="Times New Roman" w:hAnsi="Times New Roman" w:eastAsia="Times New Roman" w:cs="Times New Roman"/>
          <w:b/>
          <w:bCs/>
          <w:sz w:val="32"/>
          <w:szCs w:val="32"/>
        </w:rPr>
        <w:t>（一）预算绩效管理工作开展情况。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根据绩效预算管理改革的要求，纳入2018年部门预算管理的项目按要求编报了绩效目标，其编报绩效目标的比例达到100%，开展绩效评价。</w:t>
      </w:r>
    </w:p>
    <w:p>
      <w:pPr>
        <w:numPr>
          <w:ilvl w:val="0"/>
          <w:numId w:val="0"/>
        </w:numPr>
        <w:adjustRightInd w:val="0"/>
        <w:snapToGrid w:val="0"/>
        <w:spacing w:after="0" w:line="580" w:lineRule="exact"/>
        <w:ind w:firstLine="643" w:firstLineChars="200"/>
        <w:rPr>
          <w:rFonts w:ascii="??_GB2312" w:eastAsia="Times New Roman"/>
          <w:b/>
          <w:bCs/>
          <w:sz w:val="32"/>
          <w:szCs w:val="32"/>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项目绩效自评结果。</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对六要素自动站购置资金项目进行部门绩效自评，项目绩效评价综合得分平均为98分，绩效评价综合等级为优。</w:t>
      </w:r>
    </w:p>
    <w:p>
      <w:pPr>
        <w:numPr>
          <w:ilvl w:val="0"/>
          <w:numId w:val="0"/>
        </w:numPr>
        <w:adjustRightInd w:val="0"/>
        <w:snapToGrid w:val="0"/>
        <w:spacing w:after="0"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重点项目绩效评价结果。</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本单位无民生项目和重点支出项目。</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七、其他重要事项的说明</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（一）机关运行经费情况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本部门2018年度机关运行经费支出0万元，比年初预算数无增减变化，较2017年度决算无增减变化。</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（二）政府采购情况</w:t>
      </w:r>
    </w:p>
    <w:p>
      <w:pPr>
        <w:widowControl/>
        <w:spacing w:after="0" w:line="580" w:lineRule="exact"/>
        <w:ind w:firstLine="640" w:firstLineChars="200"/>
        <w:jc w:val="left"/>
        <w:rPr>
          <w:rFonts w:ascii="宋体"/>
          <w:sz w:val="32"/>
          <w:szCs w:val="32"/>
        </w:rPr>
      </w:pPr>
      <w:r>
        <w:rPr>
          <w:rFonts w:hint="eastAsia" w:ascii="仿宋_GB2312" w:hAnsi="仿宋_GB2312" w:eastAsia="仿宋_GB2312" w:cs="仿宋_GB2312"/>
          <w:sz w:val="32"/>
          <w:szCs w:val="32"/>
        </w:rPr>
        <w:t>本部门2018年度政府采购支出总额0万元，从采购类型来看，政府采购货物支出0万元、政府采购工程支出0万元、政府采购服务支出0万元。授予中小企业合同金0万元，占政府采购支出总额的0%，其中授予小微企业合同金额0万元，占政府采购支出总额的0%。</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（三）国有资产占用情况</w:t>
      </w:r>
    </w:p>
    <w:p>
      <w:pPr>
        <w:widowControl/>
        <w:spacing w:after="0"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2018年12月31日，本部门共有车辆3辆，比上年无变化。其中，副部（省）级及以上领导用车0辆，主要领导干部用车0辆，机要通信用车1辆，应急保障用车0辆，执法执勤用车0辆，特种专业技术用车1辆，离退休干部用车0辆，其他用车1辆，其他用车主要是用于人工增雨指挥；单位价值50万元以上通用设备0台（套），单位价值100万元以上专用设备0台（套）。</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（四）其他需要说明的情况</w:t>
      </w:r>
    </w:p>
    <w:p>
      <w:pPr>
        <w:adjustRightInd w:val="0"/>
        <w:snapToGrid w:val="0"/>
        <w:spacing w:line="584"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hAnsi="宋体" w:eastAsia="仿宋_GB2312" w:cs="仿宋_GB2312"/>
          <w:sz w:val="32"/>
          <w:szCs w:val="32"/>
        </w:rPr>
        <w:t>、本部门</w:t>
      </w:r>
      <w:r>
        <w:rPr>
          <w:rFonts w:ascii="仿宋_GB2312" w:eastAsia="仿宋_GB2312" w:cs="仿宋_GB2312"/>
          <w:sz w:val="32"/>
          <w:szCs w:val="32"/>
        </w:rPr>
        <w:t>2018</w:t>
      </w:r>
      <w:r>
        <w:rPr>
          <w:rFonts w:hint="eastAsia" w:ascii="仿宋_GB2312" w:hAnsi="宋体" w:eastAsia="仿宋_GB2312" w:cs="仿宋_GB2312"/>
          <w:sz w:val="32"/>
          <w:szCs w:val="32"/>
        </w:rPr>
        <w:t>年度无政府性基金预算财政拨款收入支出、国有资本经营预算财政拨款收入支出及政府采购支出，故政府性基金预算财政拨款收入支出决算表、国有资本经营预算财政拨款收入支出决算表及政府采购情况表以空表列示。</w:t>
      </w:r>
    </w:p>
    <w:p>
      <w:pPr>
        <w:adjustRightInd w:val="0"/>
        <w:snapToGrid w:val="0"/>
        <w:spacing w:line="584"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hAnsi="宋体" w:eastAsia="仿宋_GB2312" w:cs="仿宋_GB2312"/>
          <w:sz w:val="32"/>
          <w:szCs w:val="32"/>
        </w:rPr>
        <w:t>、由于决算公开表格中金额数值应当保留两位小数，公开数据为四舍五入计算结果，个别数据合计项与分项之和存在小数点后差额，特此说明。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hAnsi="宋体" w:eastAsia="仿宋_GB2312" w:cs="仿宋_GB2312"/>
          <w:sz w:val="32"/>
          <w:szCs w:val="32"/>
        </w:rPr>
        <w:t>、本部门</w:t>
      </w:r>
      <w:r>
        <w:rPr>
          <w:rFonts w:hint="eastAsia" w:ascii="仿宋_GB2312" w:eastAsia="仿宋_GB2312" w:cs="仿宋_GB2312"/>
          <w:sz w:val="32"/>
          <w:szCs w:val="32"/>
        </w:rPr>
        <w:t>“</w:t>
      </w:r>
      <w:r>
        <w:rPr>
          <w:rFonts w:hint="eastAsia" w:ascii="仿宋_GB2312" w:hAnsi="宋体" w:eastAsia="仿宋_GB2312" w:cs="仿宋_GB2312"/>
          <w:sz w:val="32"/>
          <w:szCs w:val="32"/>
        </w:rPr>
        <w:t>三公</w:t>
      </w:r>
      <w:r>
        <w:rPr>
          <w:rFonts w:hint="eastAsia" w:ascii="仿宋_GB2312" w:eastAsia="仿宋_GB2312" w:cs="仿宋_GB2312"/>
          <w:sz w:val="32"/>
          <w:szCs w:val="32"/>
        </w:rPr>
        <w:t>”</w:t>
      </w:r>
      <w:r>
        <w:rPr>
          <w:rFonts w:hint="eastAsia" w:ascii="仿宋_GB2312" w:hAnsi="宋体" w:eastAsia="仿宋_GB2312" w:cs="仿宋_GB2312"/>
          <w:sz w:val="32"/>
          <w:szCs w:val="32"/>
        </w:rPr>
        <w:t>经费和机关运行经费支出为</w:t>
      </w:r>
      <w:r>
        <w:rPr>
          <w:rFonts w:ascii="仿宋_GB2312" w:eastAsia="仿宋_GB2312" w:cs="仿宋_GB2312"/>
          <w:sz w:val="32"/>
          <w:szCs w:val="32"/>
        </w:rPr>
        <w:t>0</w:t>
      </w:r>
      <w:r>
        <w:rPr>
          <w:rFonts w:hint="eastAsia" w:ascii="仿宋_GB2312" w:hAnsi="宋体" w:eastAsia="仿宋_GB2312" w:cs="仿宋_GB2312"/>
          <w:sz w:val="32"/>
          <w:szCs w:val="32"/>
        </w:rPr>
        <w:t>，原因是我单位实行中央地方双重管理体制，</w:t>
      </w:r>
      <w:r>
        <w:rPr>
          <w:rFonts w:hint="eastAsia" w:ascii="仿宋_GB2312" w:eastAsia="仿宋_GB2312" w:cs="仿宋_GB2312"/>
          <w:sz w:val="32"/>
          <w:szCs w:val="32"/>
        </w:rPr>
        <w:t>“</w:t>
      </w:r>
      <w:r>
        <w:rPr>
          <w:rFonts w:hint="eastAsia" w:ascii="仿宋_GB2312" w:hAnsi="宋体" w:eastAsia="仿宋_GB2312" w:cs="仿宋_GB2312"/>
          <w:sz w:val="32"/>
          <w:szCs w:val="32"/>
        </w:rPr>
        <w:t>三公</w:t>
      </w:r>
      <w:r>
        <w:rPr>
          <w:rFonts w:hint="eastAsia" w:ascii="仿宋_GB2312" w:eastAsia="仿宋_GB2312" w:cs="仿宋_GB2312"/>
          <w:sz w:val="32"/>
          <w:szCs w:val="32"/>
        </w:rPr>
        <w:t>”</w:t>
      </w:r>
      <w:r>
        <w:rPr>
          <w:rFonts w:hint="eastAsia" w:ascii="仿宋_GB2312" w:hAnsi="宋体" w:eastAsia="仿宋_GB2312" w:cs="仿宋_GB2312"/>
          <w:sz w:val="32"/>
          <w:szCs w:val="32"/>
        </w:rPr>
        <w:t>经费和机关运行经费由中央财政经费列支。</w:t>
      </w:r>
    </w:p>
    <w:p>
      <w:pPr>
        <w:widowControl/>
        <w:spacing w:line="1200" w:lineRule="exact"/>
        <w:jc w:val="center"/>
        <w:rPr>
          <w:rFonts w:ascii="黑体" w:hAnsi="宋体" w:eastAsia="黑体"/>
          <w:color w:val="000000"/>
          <w:sz w:val="96"/>
          <w:szCs w:val="96"/>
        </w:rPr>
      </w:pPr>
      <w:bookmarkStart w:id="0" w:name="_GoBack"/>
      <w:bookmarkEnd w:id="0"/>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s="黑体"/>
          <w:color w:val="000000"/>
          <w:sz w:val="96"/>
          <w:szCs w:val="96"/>
        </w:rPr>
        <w:t>第四部分</w:t>
      </w:r>
    </w:p>
    <w:p>
      <w:pPr>
        <w:widowControl/>
        <w:spacing w:line="1200" w:lineRule="exact"/>
        <w:jc w:val="center"/>
        <w:rPr>
          <w:color w:val="000000"/>
          <w:sz w:val="96"/>
          <w:szCs w:val="96"/>
        </w:rPr>
      </w:pPr>
      <w:r>
        <w:rPr>
          <w:rFonts w:hint="eastAsia" w:ascii="黑体" w:hAnsi="宋体" w:eastAsia="黑体" w:cs="黑体"/>
          <w:color w:val="000000"/>
          <w:sz w:val="96"/>
          <w:szCs w:val="96"/>
        </w:rPr>
        <w:t>名词解释</w:t>
      </w:r>
    </w:p>
    <w:p>
      <w:pPr>
        <w:rPr>
          <w:rFonts w:ascii="宋体"/>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_GB2312" w:hAnsi="宋体" w:eastAsia="Times New Roman"/>
          <w:color w:val="000000"/>
          <w:kern w:val="0"/>
          <w:sz w:val="32"/>
          <w:szCs w:val="32"/>
        </w:rPr>
      </w:pPr>
      <w:r>
        <w:rPr>
          <w:rFonts w:hint="eastAsia" w:ascii="仿宋_GB2312" w:hAnsi="仿宋_GB2312" w:eastAsia="仿宋_GB2312" w:cs="仿宋_GB2312"/>
          <w:b/>
          <w:bCs/>
          <w:color w:val="000000"/>
          <w:kern w:val="0"/>
          <w:sz w:val="32"/>
          <w:szCs w:val="32"/>
        </w:rPr>
        <w:t>（一）财政拨款收入：</w:t>
      </w:r>
      <w:r>
        <w:rPr>
          <w:rFonts w:hint="eastAsia" w:ascii="仿宋_GB2312" w:hAnsi="宋体" w:eastAsia="仿宋_GB2312" w:cs="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（二）事业收入：</w:t>
      </w:r>
      <w:r>
        <w:rPr>
          <w:rFonts w:hint="eastAsia" w:ascii="仿宋_GB2312" w:hAnsi="宋体" w:eastAsia="仿宋_GB2312" w:cs="仿宋_GB2312"/>
          <w:color w:val="000000"/>
          <w:kern w:val="0"/>
          <w:sz w:val="32"/>
          <w:szCs w:val="32"/>
        </w:rPr>
        <w:t>指事业单位开展专业业务活动及辅助活动所取得的收入。</w:t>
      </w:r>
    </w:p>
    <w:p>
      <w:pPr>
        <w:widowControl/>
        <w:spacing w:after="0" w:line="560" w:lineRule="exact"/>
        <w:ind w:firstLine="643" w:firstLineChars="200"/>
        <w:rPr>
          <w:rFonts w:ascii="??_GB2312" w:hAnsi="宋体" w:eastAsia="Times New Roman"/>
          <w:color w:val="000000"/>
          <w:kern w:val="0"/>
          <w:sz w:val="32"/>
          <w:szCs w:val="32"/>
        </w:rPr>
      </w:pPr>
      <w:r>
        <w:rPr>
          <w:rFonts w:hint="eastAsia" w:ascii="仿宋_GB2312" w:hAnsi="仿宋_GB2312" w:eastAsia="仿宋_GB2312" w:cs="仿宋_GB2312"/>
          <w:b/>
          <w:bCs/>
          <w:color w:val="000000"/>
          <w:kern w:val="0"/>
          <w:sz w:val="32"/>
          <w:szCs w:val="32"/>
        </w:rPr>
        <w:t>（三）其他收入</w:t>
      </w:r>
      <w:r>
        <w:rPr>
          <w:rFonts w:ascii="??_GB2312" w:hAnsi="宋体" w:eastAsia="Times New Roman"/>
          <w:b/>
          <w:bCs/>
          <w:color w:val="000000"/>
          <w:kern w:val="0"/>
          <w:sz w:val="32"/>
          <w:szCs w:val="32"/>
        </w:rPr>
        <w:t>：</w:t>
      </w:r>
      <w:r>
        <w:rPr>
          <w:rFonts w:hint="eastAsia" w:ascii="仿宋_GB2312" w:hAnsi="宋体" w:eastAsia="仿宋_GB2312" w:cs="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（四）用事业基金弥补收支差额：</w:t>
      </w:r>
      <w:r>
        <w:rPr>
          <w:rFonts w:hint="eastAsia" w:ascii="仿宋_GB2312" w:hAnsi="宋体" w:eastAsia="仿宋_GB2312" w:cs="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（五）年初结转和结余：</w:t>
      </w:r>
      <w:r>
        <w:rPr>
          <w:rFonts w:hint="eastAsia" w:ascii="仿宋_GB2312" w:hAnsi="宋体" w:eastAsia="仿宋_GB2312" w:cs="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（六）结余分配：</w:t>
      </w:r>
      <w:r>
        <w:rPr>
          <w:rFonts w:hint="eastAsia" w:ascii="仿宋_GB2312" w:hAnsi="宋体" w:eastAsia="仿宋_GB2312" w:cs="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（七）年末结转和结余：</w:t>
      </w:r>
      <w:r>
        <w:rPr>
          <w:rFonts w:hint="eastAsia" w:ascii="仿宋_GB2312" w:hAnsi="宋体" w:eastAsia="仿宋_GB2312" w:cs="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（八）基本支出：</w:t>
      </w:r>
      <w:r>
        <w:rPr>
          <w:rFonts w:hint="eastAsia" w:ascii="仿宋_GB2312" w:hAnsi="宋体" w:eastAsia="仿宋_GB2312" w:cs="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（九）项目支出：</w:t>
      </w:r>
      <w:r>
        <w:rPr>
          <w:rFonts w:hint="eastAsia" w:ascii="仿宋_GB2312" w:hAnsi="宋体" w:eastAsia="仿宋_GB2312" w:cs="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_GB2312" w:hAnsi="宋体" w:eastAsia="Times New Roman"/>
          <w:color w:val="000000"/>
          <w:kern w:val="0"/>
          <w:sz w:val="32"/>
          <w:szCs w:val="32"/>
        </w:rPr>
      </w:pPr>
      <w:r>
        <w:rPr>
          <w:rFonts w:hint="eastAsia" w:ascii="仿宋_GB2312" w:hAnsi="仿宋_GB2312" w:eastAsia="仿宋_GB2312" w:cs="仿宋_GB2312"/>
          <w:b/>
          <w:bCs/>
          <w:color w:val="000000"/>
          <w:kern w:val="0"/>
          <w:sz w:val="32"/>
          <w:szCs w:val="32"/>
        </w:rPr>
        <w:t>（十）资本性支出（基本建设）：</w:t>
      </w:r>
      <w:r>
        <w:rPr>
          <w:rFonts w:hint="eastAsia" w:ascii="仿宋_GB2312" w:hAnsi="宋体" w:eastAsia="仿宋_GB2312" w:cs="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_GB2312" w:hAnsi="宋体" w:eastAsia="Times New Roman"/>
          <w:color w:val="000000"/>
          <w:kern w:val="0"/>
          <w:sz w:val="32"/>
          <w:szCs w:val="32"/>
        </w:rPr>
      </w:pPr>
      <w:r>
        <w:rPr>
          <w:rFonts w:hint="eastAsia" w:ascii="仿宋_GB2312" w:hAnsi="仿宋_GB2312" w:eastAsia="仿宋_GB2312" w:cs="仿宋_GB2312"/>
          <w:b/>
          <w:bCs/>
          <w:color w:val="000000"/>
          <w:kern w:val="0"/>
          <w:sz w:val="32"/>
          <w:szCs w:val="32"/>
        </w:rPr>
        <w:t>（十一）资本性支出：</w:t>
      </w:r>
      <w:r>
        <w:rPr>
          <w:rFonts w:hint="eastAsia" w:ascii="仿宋_GB2312" w:hAnsi="宋体" w:eastAsia="仿宋_GB2312" w:cs="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（十二）“三公”经费：</w:t>
      </w:r>
      <w:r>
        <w:rPr>
          <w:rFonts w:hint="eastAsia" w:ascii="仿宋_GB2312" w:hAnsi="宋体" w:eastAsia="仿宋_GB2312" w:cs="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（十三）其他交通费用：</w:t>
      </w:r>
      <w:r>
        <w:rPr>
          <w:rFonts w:hint="eastAsia" w:ascii="仿宋_GB2312" w:hAnsi="宋体" w:eastAsia="仿宋_GB2312" w:cs="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（十四）公务用车购置：</w:t>
      </w:r>
      <w:r>
        <w:rPr>
          <w:rFonts w:hint="eastAsia" w:ascii="仿宋_GB2312" w:hAnsi="宋体" w:eastAsia="仿宋_GB2312" w:cs="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（十五）其他交通工具购置：</w:t>
      </w:r>
      <w:r>
        <w:rPr>
          <w:rFonts w:hint="eastAsia" w:ascii="仿宋_GB2312" w:hAnsi="宋体" w:eastAsia="仿宋_GB2312" w:cs="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（十六）机关运行经费：</w:t>
      </w:r>
      <w:r>
        <w:rPr>
          <w:rFonts w:hint="eastAsia" w:ascii="仿宋_GB2312" w:hAnsi="宋体" w:eastAsia="仿宋_GB2312" w:cs="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（十七）经费形式:</w:t>
      </w:r>
      <w:r>
        <w:rPr>
          <w:rFonts w:hint="eastAsia" w:ascii="仿宋_GB2312" w:hAnsi="宋体" w:eastAsia="仿宋_GB2312" w:cs="仿宋_GB2312"/>
          <w:color w:val="000000"/>
          <w:kern w:val="0"/>
          <w:sz w:val="32"/>
          <w:szCs w:val="32"/>
        </w:rPr>
        <w:t>按照经费来源，可分为财政拨款、财政性资金基本保证、财政性资金定额或定项补助、财政性资金零补助四类。</w:t>
      </w: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rPr>
          <w:rFonts w:ascii="??_GB2312" w:hAnsi="Cambria" w:eastAsia="Times New Roman"/>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_GB2312">
    <w:altName w:val="楷体"/>
    <w:panose1 w:val="02010609030101010101"/>
    <w:charset w:val="86"/>
    <w:family w:val="modern"/>
    <w:pitch w:val="default"/>
    <w:sig w:usb0="00000000" w:usb1="00000000" w:usb2="00000000" w:usb3="00000000" w:csb0="00040000" w:csb1="00000000"/>
  </w:font>
  <w:font w:name="DengXian-Regular">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I4MmVmM2JjYjExMWM5YTMwYzk3MjQ1Zjg0NWE3MGMifQ=="/>
  </w:docVars>
  <w:rsids>
    <w:rsidRoot w:val="003C1413"/>
    <w:rsid w:val="00020FAF"/>
    <w:rsid w:val="00022474"/>
    <w:rsid w:val="00024E7F"/>
    <w:rsid w:val="000475A0"/>
    <w:rsid w:val="000506FF"/>
    <w:rsid w:val="00067693"/>
    <w:rsid w:val="000838C3"/>
    <w:rsid w:val="000B2446"/>
    <w:rsid w:val="000D7C65"/>
    <w:rsid w:val="000E1884"/>
    <w:rsid w:val="000E2F81"/>
    <w:rsid w:val="00101F8D"/>
    <w:rsid w:val="00117946"/>
    <w:rsid w:val="00117E2C"/>
    <w:rsid w:val="00146C47"/>
    <w:rsid w:val="00152FB8"/>
    <w:rsid w:val="00165751"/>
    <w:rsid w:val="00170D21"/>
    <w:rsid w:val="00176658"/>
    <w:rsid w:val="0018239E"/>
    <w:rsid w:val="001B3410"/>
    <w:rsid w:val="001B7503"/>
    <w:rsid w:val="001C030D"/>
    <w:rsid w:val="001C4A84"/>
    <w:rsid w:val="001E5902"/>
    <w:rsid w:val="002004E5"/>
    <w:rsid w:val="00233705"/>
    <w:rsid w:val="00235324"/>
    <w:rsid w:val="00246D99"/>
    <w:rsid w:val="00257266"/>
    <w:rsid w:val="00262306"/>
    <w:rsid w:val="00275CA2"/>
    <w:rsid w:val="002A65A5"/>
    <w:rsid w:val="002C04C4"/>
    <w:rsid w:val="002C1A96"/>
    <w:rsid w:val="002D08B0"/>
    <w:rsid w:val="002D1AE3"/>
    <w:rsid w:val="002F2ECE"/>
    <w:rsid w:val="00341C8F"/>
    <w:rsid w:val="0035463A"/>
    <w:rsid w:val="003616A4"/>
    <w:rsid w:val="00372E67"/>
    <w:rsid w:val="00391D9D"/>
    <w:rsid w:val="003B6C51"/>
    <w:rsid w:val="003C1413"/>
    <w:rsid w:val="003C549F"/>
    <w:rsid w:val="003D5A16"/>
    <w:rsid w:val="003E7DB3"/>
    <w:rsid w:val="00401EB7"/>
    <w:rsid w:val="00431175"/>
    <w:rsid w:val="004374A3"/>
    <w:rsid w:val="004763E3"/>
    <w:rsid w:val="00476B55"/>
    <w:rsid w:val="00493686"/>
    <w:rsid w:val="0049378C"/>
    <w:rsid w:val="004B6E37"/>
    <w:rsid w:val="004C32BA"/>
    <w:rsid w:val="004C68EF"/>
    <w:rsid w:val="00520F0A"/>
    <w:rsid w:val="00563FAE"/>
    <w:rsid w:val="00575922"/>
    <w:rsid w:val="005A3C0D"/>
    <w:rsid w:val="005A6C90"/>
    <w:rsid w:val="005B0032"/>
    <w:rsid w:val="005B37E6"/>
    <w:rsid w:val="005B6FC6"/>
    <w:rsid w:val="005C5F80"/>
    <w:rsid w:val="005E3FB0"/>
    <w:rsid w:val="005E4630"/>
    <w:rsid w:val="005F4B66"/>
    <w:rsid w:val="005F5208"/>
    <w:rsid w:val="00600D3A"/>
    <w:rsid w:val="00615C31"/>
    <w:rsid w:val="00641318"/>
    <w:rsid w:val="0064405D"/>
    <w:rsid w:val="00695557"/>
    <w:rsid w:val="006D4EA7"/>
    <w:rsid w:val="006E39AE"/>
    <w:rsid w:val="0070012A"/>
    <w:rsid w:val="0070664B"/>
    <w:rsid w:val="007071B8"/>
    <w:rsid w:val="007155C2"/>
    <w:rsid w:val="007414DE"/>
    <w:rsid w:val="00753120"/>
    <w:rsid w:val="00760C0C"/>
    <w:rsid w:val="007905A9"/>
    <w:rsid w:val="007A0CEB"/>
    <w:rsid w:val="007B0E8E"/>
    <w:rsid w:val="007E072B"/>
    <w:rsid w:val="007E5500"/>
    <w:rsid w:val="007F055B"/>
    <w:rsid w:val="007F2B06"/>
    <w:rsid w:val="00811C2F"/>
    <w:rsid w:val="00833D46"/>
    <w:rsid w:val="00836215"/>
    <w:rsid w:val="00840A97"/>
    <w:rsid w:val="00844A4F"/>
    <w:rsid w:val="00856A0C"/>
    <w:rsid w:val="00872B02"/>
    <w:rsid w:val="00873292"/>
    <w:rsid w:val="0087747E"/>
    <w:rsid w:val="008A640A"/>
    <w:rsid w:val="008B2853"/>
    <w:rsid w:val="008C0149"/>
    <w:rsid w:val="008D5DED"/>
    <w:rsid w:val="008E25CA"/>
    <w:rsid w:val="008F34FC"/>
    <w:rsid w:val="00944CD7"/>
    <w:rsid w:val="00961190"/>
    <w:rsid w:val="009831B2"/>
    <w:rsid w:val="00990978"/>
    <w:rsid w:val="009A1ABE"/>
    <w:rsid w:val="009A7FFB"/>
    <w:rsid w:val="009E21A4"/>
    <w:rsid w:val="009E3E3D"/>
    <w:rsid w:val="009F22C6"/>
    <w:rsid w:val="00A07E50"/>
    <w:rsid w:val="00A12C15"/>
    <w:rsid w:val="00A15397"/>
    <w:rsid w:val="00A35CE0"/>
    <w:rsid w:val="00A37A99"/>
    <w:rsid w:val="00A4462E"/>
    <w:rsid w:val="00A44AA4"/>
    <w:rsid w:val="00A61623"/>
    <w:rsid w:val="00A84687"/>
    <w:rsid w:val="00AA0458"/>
    <w:rsid w:val="00AB0A0E"/>
    <w:rsid w:val="00AD3B6E"/>
    <w:rsid w:val="00AE66CA"/>
    <w:rsid w:val="00AF6D31"/>
    <w:rsid w:val="00B16E29"/>
    <w:rsid w:val="00B1751F"/>
    <w:rsid w:val="00B50F96"/>
    <w:rsid w:val="00B56722"/>
    <w:rsid w:val="00B67044"/>
    <w:rsid w:val="00B74D39"/>
    <w:rsid w:val="00B827C6"/>
    <w:rsid w:val="00B91DA4"/>
    <w:rsid w:val="00BA7174"/>
    <w:rsid w:val="00BB7C98"/>
    <w:rsid w:val="00BF3239"/>
    <w:rsid w:val="00BF4AD1"/>
    <w:rsid w:val="00C12630"/>
    <w:rsid w:val="00C34562"/>
    <w:rsid w:val="00C3774E"/>
    <w:rsid w:val="00C57456"/>
    <w:rsid w:val="00C65387"/>
    <w:rsid w:val="00C87FAB"/>
    <w:rsid w:val="00C91FF7"/>
    <w:rsid w:val="00C92D15"/>
    <w:rsid w:val="00C94E53"/>
    <w:rsid w:val="00CA26F5"/>
    <w:rsid w:val="00CE3FC3"/>
    <w:rsid w:val="00CE490E"/>
    <w:rsid w:val="00D0048E"/>
    <w:rsid w:val="00D23E7A"/>
    <w:rsid w:val="00D56D8F"/>
    <w:rsid w:val="00D61063"/>
    <w:rsid w:val="00DB35AF"/>
    <w:rsid w:val="00DD72D7"/>
    <w:rsid w:val="00DE7DD6"/>
    <w:rsid w:val="00DF1B3C"/>
    <w:rsid w:val="00DF5B88"/>
    <w:rsid w:val="00E04C59"/>
    <w:rsid w:val="00E0589E"/>
    <w:rsid w:val="00E0697F"/>
    <w:rsid w:val="00E14711"/>
    <w:rsid w:val="00E241FA"/>
    <w:rsid w:val="00E2595E"/>
    <w:rsid w:val="00E35374"/>
    <w:rsid w:val="00E50C19"/>
    <w:rsid w:val="00E57934"/>
    <w:rsid w:val="00E64655"/>
    <w:rsid w:val="00E73081"/>
    <w:rsid w:val="00E856C9"/>
    <w:rsid w:val="00EA4F68"/>
    <w:rsid w:val="00EB6A8B"/>
    <w:rsid w:val="00EC0DA3"/>
    <w:rsid w:val="00EC6814"/>
    <w:rsid w:val="00ED411D"/>
    <w:rsid w:val="00EF38C6"/>
    <w:rsid w:val="00F07CEC"/>
    <w:rsid w:val="00F1026A"/>
    <w:rsid w:val="00F40FBC"/>
    <w:rsid w:val="00F555E9"/>
    <w:rsid w:val="00F679C7"/>
    <w:rsid w:val="00F7711A"/>
    <w:rsid w:val="00F80C72"/>
    <w:rsid w:val="00FA0D58"/>
    <w:rsid w:val="00FA1580"/>
    <w:rsid w:val="00FA56F4"/>
    <w:rsid w:val="00FB4EDA"/>
    <w:rsid w:val="00FD1FB8"/>
    <w:rsid w:val="00FD3BD5"/>
    <w:rsid w:val="00FE3DC8"/>
    <w:rsid w:val="00FE7D99"/>
    <w:rsid w:val="00FF183D"/>
    <w:rsid w:val="03674EC5"/>
    <w:rsid w:val="04073F84"/>
    <w:rsid w:val="050054DC"/>
    <w:rsid w:val="05E93290"/>
    <w:rsid w:val="0B60750A"/>
    <w:rsid w:val="0C072FF0"/>
    <w:rsid w:val="10686488"/>
    <w:rsid w:val="10DF728A"/>
    <w:rsid w:val="1264200E"/>
    <w:rsid w:val="12C63C9E"/>
    <w:rsid w:val="141C5B77"/>
    <w:rsid w:val="18C1597F"/>
    <w:rsid w:val="18D8339D"/>
    <w:rsid w:val="19E97B68"/>
    <w:rsid w:val="1A21388F"/>
    <w:rsid w:val="1A570D2F"/>
    <w:rsid w:val="1A7C7CDF"/>
    <w:rsid w:val="22833A2A"/>
    <w:rsid w:val="22890239"/>
    <w:rsid w:val="28FB0B8D"/>
    <w:rsid w:val="2A2E060D"/>
    <w:rsid w:val="2D2B7942"/>
    <w:rsid w:val="2D46481D"/>
    <w:rsid w:val="2E733B28"/>
    <w:rsid w:val="31852B5A"/>
    <w:rsid w:val="32D01238"/>
    <w:rsid w:val="3C511998"/>
    <w:rsid w:val="3DFC59A8"/>
    <w:rsid w:val="3ECF245E"/>
    <w:rsid w:val="3FB96314"/>
    <w:rsid w:val="401434CE"/>
    <w:rsid w:val="444707DD"/>
    <w:rsid w:val="4473419E"/>
    <w:rsid w:val="4B1E43BA"/>
    <w:rsid w:val="4F1A7C4B"/>
    <w:rsid w:val="53A44FAF"/>
    <w:rsid w:val="540D4C80"/>
    <w:rsid w:val="594329EC"/>
    <w:rsid w:val="5BEE1540"/>
    <w:rsid w:val="5DE61A5D"/>
    <w:rsid w:val="5F79412C"/>
    <w:rsid w:val="63C04243"/>
    <w:rsid w:val="649C01C7"/>
    <w:rsid w:val="699A3F60"/>
    <w:rsid w:val="6A0E768A"/>
    <w:rsid w:val="6CCB1935"/>
    <w:rsid w:val="6DA86C7B"/>
    <w:rsid w:val="6F7B37FE"/>
    <w:rsid w:val="6FD81325"/>
    <w:rsid w:val="72902E62"/>
    <w:rsid w:val="73C61104"/>
    <w:rsid w:val="76B87CA8"/>
    <w:rsid w:val="776452EA"/>
    <w:rsid w:val="78527464"/>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黑体" w:cs="Cambri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cs="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cs="Calibri"/>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cs="Cambria"/>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cs="Cambria"/>
      <w:sz w:val="18"/>
      <w:szCs w:val="18"/>
    </w:rPr>
  </w:style>
  <w:style w:type="paragraph" w:styleId="10">
    <w:name w:val="Subtitle"/>
    <w:basedOn w:val="1"/>
    <w:next w:val="1"/>
    <w:link w:val="23"/>
    <w:qFormat/>
    <w:uiPriority w:val="99"/>
    <w:pPr>
      <w:widowControl/>
      <w:spacing w:after="200" w:line="276" w:lineRule="auto"/>
      <w:jc w:val="left"/>
    </w:pPr>
    <w:rPr>
      <w:rFonts w:ascii="Calibri" w:hAnsi="Calibri" w:cs="Calibri"/>
      <w:i/>
      <w:iCs/>
      <w:color w:val="F0A22E"/>
      <w:spacing w:val="15"/>
      <w:kern w:val="0"/>
      <w:sz w:val="24"/>
      <w:szCs w:val="24"/>
    </w:rPr>
  </w:style>
  <w:style w:type="paragraph" w:styleId="11">
    <w:name w:val="Title"/>
    <w:basedOn w:val="1"/>
    <w:next w:val="1"/>
    <w:link w:val="24"/>
    <w:qFormat/>
    <w:uiPriority w:val="99"/>
    <w:pPr>
      <w:widowControl/>
      <w:pBdr>
        <w:bottom w:val="single" w:color="F0A22E" w:sz="8" w:space="4"/>
      </w:pBdr>
      <w:spacing w:after="300"/>
      <w:jc w:val="left"/>
    </w:pPr>
    <w:rPr>
      <w:rFonts w:ascii="Calibri" w:hAnsi="Calibri" w:cs="Calibri"/>
      <w:color w:val="3A2C24"/>
      <w:spacing w:val="5"/>
      <w:kern w:val="28"/>
      <w:sz w:val="52"/>
      <w:szCs w:val="52"/>
    </w:rPr>
  </w:style>
  <w:style w:type="table" w:styleId="13">
    <w:name w:val="Table Grid"/>
    <w:basedOn w:val="12"/>
    <w:uiPriority w:val="99"/>
    <w:rPr>
      <w:rFonts w:cs="Calibri"/>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locked/>
    <w:uiPriority w:val="99"/>
    <w:rPr>
      <w:rFonts w:ascii="Times New Roman" w:hAnsi="Times New Roman" w:eastAsia="宋体" w:cs="Times New Roman"/>
      <w:b/>
      <w:bCs/>
      <w:kern w:val="44"/>
      <w:sz w:val="44"/>
      <w:szCs w:val="44"/>
    </w:rPr>
  </w:style>
  <w:style w:type="character" w:customStyle="1" w:styleId="16">
    <w:name w:val="Heading 2 Char"/>
    <w:basedOn w:val="14"/>
    <w:link w:val="3"/>
    <w:locked/>
    <w:uiPriority w:val="99"/>
    <w:rPr>
      <w:rFonts w:ascii="Calibri" w:hAnsi="Calibri" w:eastAsia="宋体" w:cs="Calibri"/>
      <w:b/>
      <w:bCs/>
      <w:sz w:val="32"/>
      <w:szCs w:val="32"/>
    </w:rPr>
  </w:style>
  <w:style w:type="character" w:customStyle="1" w:styleId="17">
    <w:name w:val="Heading 3 Char"/>
    <w:basedOn w:val="14"/>
    <w:link w:val="4"/>
    <w:locked/>
    <w:uiPriority w:val="99"/>
    <w:rPr>
      <w:rFonts w:ascii="Times New Roman" w:hAnsi="Times New Roman" w:eastAsia="宋体" w:cs="Times New Roman"/>
      <w:b/>
      <w:bCs/>
      <w:sz w:val="32"/>
      <w:szCs w:val="32"/>
    </w:rPr>
  </w:style>
  <w:style w:type="character" w:customStyle="1" w:styleId="18">
    <w:name w:val="Heading 4 Char"/>
    <w:basedOn w:val="14"/>
    <w:link w:val="5"/>
    <w:locked/>
    <w:uiPriority w:val="99"/>
    <w:rPr>
      <w:rFonts w:ascii="Calibri" w:hAnsi="Calibri" w:eastAsia="宋体" w:cs="Calibri"/>
      <w:b/>
      <w:bCs/>
      <w:sz w:val="28"/>
      <w:szCs w:val="28"/>
    </w:rPr>
  </w:style>
  <w:style w:type="character" w:customStyle="1" w:styleId="19">
    <w:name w:val="Date Char"/>
    <w:basedOn w:val="14"/>
    <w:link w:val="6"/>
    <w:semiHidden/>
    <w:qFormat/>
    <w:locked/>
    <w:uiPriority w:val="99"/>
    <w:rPr>
      <w:rFonts w:ascii="Times New Roman" w:hAnsi="Times New Roman" w:eastAsia="宋体" w:cs="Times New Roman"/>
      <w:sz w:val="24"/>
      <w:szCs w:val="24"/>
    </w:rPr>
  </w:style>
  <w:style w:type="character" w:customStyle="1" w:styleId="20">
    <w:name w:val="Balloon Text Char"/>
    <w:basedOn w:val="14"/>
    <w:link w:val="7"/>
    <w:semiHidden/>
    <w:locked/>
    <w:uiPriority w:val="99"/>
    <w:rPr>
      <w:rFonts w:ascii="Times New Roman" w:hAnsi="Times New Roman" w:eastAsia="宋体" w:cs="Times New Roman"/>
      <w:sz w:val="18"/>
      <w:szCs w:val="18"/>
    </w:rPr>
  </w:style>
  <w:style w:type="character" w:customStyle="1" w:styleId="21">
    <w:name w:val="Footer Char"/>
    <w:basedOn w:val="14"/>
    <w:link w:val="8"/>
    <w:locked/>
    <w:uiPriority w:val="99"/>
    <w:rPr>
      <w:sz w:val="18"/>
      <w:szCs w:val="18"/>
    </w:rPr>
  </w:style>
  <w:style w:type="character" w:customStyle="1" w:styleId="22">
    <w:name w:val="Header Char"/>
    <w:basedOn w:val="14"/>
    <w:link w:val="9"/>
    <w:locked/>
    <w:uiPriority w:val="99"/>
    <w:rPr>
      <w:sz w:val="18"/>
      <w:szCs w:val="18"/>
    </w:rPr>
  </w:style>
  <w:style w:type="character" w:customStyle="1" w:styleId="23">
    <w:name w:val="Subtitle Char"/>
    <w:basedOn w:val="14"/>
    <w:link w:val="10"/>
    <w:locked/>
    <w:uiPriority w:val="99"/>
    <w:rPr>
      <w:rFonts w:ascii="Calibri" w:hAnsi="Calibri" w:eastAsia="宋体" w:cs="Calibri"/>
      <w:i/>
      <w:iCs/>
      <w:color w:val="F0A22E"/>
      <w:spacing w:val="15"/>
      <w:kern w:val="0"/>
      <w:sz w:val="24"/>
      <w:szCs w:val="24"/>
    </w:rPr>
  </w:style>
  <w:style w:type="character" w:customStyle="1" w:styleId="24">
    <w:name w:val="Title Char"/>
    <w:basedOn w:val="14"/>
    <w:link w:val="11"/>
    <w:locked/>
    <w:uiPriority w:val="99"/>
    <w:rPr>
      <w:rFonts w:ascii="Calibri" w:hAnsi="Calibri" w:eastAsia="宋体" w:cs="Calibri"/>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Cambria"/>
      <w:kern w:val="0"/>
      <w:sz w:val="22"/>
      <w:szCs w:val="22"/>
      <w:lang w:val="en-US" w:eastAsia="zh-CN" w:bidi="ar-SA"/>
    </w:rPr>
  </w:style>
  <w:style w:type="character" w:customStyle="1" w:styleId="26">
    <w:name w:val="No Spacing Char"/>
    <w:basedOn w:val="14"/>
    <w:link w:val="25"/>
    <w:qFormat/>
    <w:locked/>
    <w:uiPriority w:val="99"/>
    <w:rPr>
      <w:rFonts w:ascii="Cambria" w:hAnsi="Cambria" w:eastAsia="黑体" w:cs="Cambria"/>
      <w:sz w:val="22"/>
      <w:szCs w:val="22"/>
      <w:lang w:val="en-US" w:eastAsia="zh-CN"/>
    </w:rPr>
  </w:style>
  <w:style w:type="character" w:customStyle="1" w:styleId="27">
    <w:name w:val="Style1"/>
    <w:basedOn w:val="14"/>
    <w:uiPriority w:val="99"/>
    <w:rPr>
      <w:rFonts w:ascii="Cambria" w:hAnsi="黑体" w:eastAsia="黑体" w:cs="Cambria"/>
      <w:sz w:val="22"/>
      <w:szCs w:val="22"/>
      <w:lang w:eastAsia="zh-CN"/>
    </w:rPr>
  </w:style>
  <w:style w:type="character" w:customStyle="1" w:styleId="28">
    <w:name w:val="Style2"/>
    <w:basedOn w:val="14"/>
    <w:uiPriority w:val="99"/>
    <w:rPr>
      <w:rFonts w:ascii="Cambria" w:hAnsi="黑体" w:eastAsia="黑体" w:cs="Cambria"/>
      <w:sz w:val="22"/>
      <w:szCs w:val="22"/>
      <w:lang w:eastAsia="zh-CN"/>
    </w:rPr>
  </w:style>
  <w:style w:type="character" w:customStyle="1" w:styleId="29">
    <w:name w:val="Style3"/>
    <w:basedOn w:val="14"/>
    <w:uiPriority w:val="99"/>
    <w:rPr>
      <w:rFonts w:ascii="Cambria" w:hAnsi="黑体" w:eastAsia="黑体" w:cs="Cambria"/>
      <w:sz w:val="22"/>
      <w:szCs w:val="22"/>
      <w:lang w:eastAsia="zh-CN"/>
    </w:rPr>
  </w:style>
  <w:style w:type="character" w:customStyle="1" w:styleId="30">
    <w:name w:val="Style4"/>
    <w:basedOn w:val="14"/>
    <w:uiPriority w:val="99"/>
    <w:rPr>
      <w:rFonts w:ascii="Cambria" w:hAnsi="黑体" w:eastAsia="黑体" w:cs="Cambria"/>
      <w:sz w:val="22"/>
      <w:szCs w:val="22"/>
      <w:lang w:eastAsia="zh-CN"/>
    </w:rPr>
  </w:style>
  <w:style w:type="character" w:customStyle="1" w:styleId="31">
    <w:name w:val="Style5"/>
    <w:basedOn w:val="14"/>
    <w:uiPriority w:val="99"/>
    <w:rPr>
      <w:rFonts w:ascii="Cambria" w:hAnsi="黑体" w:eastAsia="黑体" w:cs="Cambria"/>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9"/>
    <customShpInfo spid="_x0000_s1026"/>
    <customShpInfo spid="_x0000_s1027"/>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30</Pages>
  <Words>1639</Words>
  <Characters>9346</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DELL</cp:lastModifiedBy>
  <cp:lastPrinted>2019-11-08T00:20:00Z</cp:lastPrinted>
  <dcterms:modified xsi:type="dcterms:W3CDTF">2023-12-28T09:13:22Z</dcterms:modified>
  <dc:subject>石家庄市xxx部门</dc:subject>
  <dc:title>2017年度部门决算</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5E4E121B56E64135883DCFF81D3E18D2_12</vt:lpwstr>
  </property>
</Properties>
</file>