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2017年度廊坊市大城县物价局部门决算信息公开情况</w:t>
      </w:r>
    </w:p>
    <w:p>
      <w:pPr>
        <w:widowControl/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  <w:r>
        <w:rPr>
          <w:rFonts w:hint="eastAsia" w:ascii="Calibri" w:hAnsi="Calibri" w:eastAsia="黑体" w:cs="Times New Roman"/>
          <w:sz w:val="32"/>
          <w:szCs w:val="32"/>
        </w:rPr>
        <w:t>（见附表）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</w:rPr>
        <w:t>大城县物价局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ascii="仿宋_GB2312" w:hAnsi="Calibri" w:eastAsia="仿宋_GB2312" w:cs="Times New Roman"/>
          <w:color w:val="484747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ascii="Calibri" w:hAnsi="Calibri" w:eastAsia="宋体" w:cs="Times New Roman"/>
          <w:sz w:val="32"/>
          <w:szCs w:val="32"/>
        </w:rPr>
        <w:t>﹝</w:t>
      </w:r>
      <w:r>
        <w:rPr>
          <w:rFonts w:hint="eastAsia" w:ascii="Calibri" w:hAnsi="Calibri" w:eastAsia="仿宋_GB2312" w:cs="Times New Roman"/>
          <w:sz w:val="32"/>
          <w:szCs w:val="32"/>
        </w:rPr>
        <w:t>2016</w:t>
      </w:r>
      <w:r>
        <w:rPr>
          <w:rFonts w:ascii="Calibri" w:hAnsi="Calibri" w:eastAsia="宋体" w:cs="Times New Roman"/>
          <w:sz w:val="32"/>
          <w:szCs w:val="32"/>
        </w:rPr>
        <w:t>﹞</w:t>
      </w:r>
      <w:r>
        <w:rPr>
          <w:rFonts w:ascii="Calibri" w:hAnsi="Calibri" w:eastAsia="仿宋_GB2312" w:cs="Times New Roman"/>
          <w:sz w:val="32"/>
          <w:szCs w:val="32"/>
        </w:rPr>
        <w:t>129号）等规定，现将</w:t>
      </w: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ascii="Calibri" w:hAnsi="Calibri" w:eastAsia="仿宋_GB2312" w:cs="Times New Roman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部门职责及机构设置情况</w:t>
      </w:r>
    </w:p>
    <w:p>
      <w:pPr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　　大城县物价局部门职责：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（一）根据县委县政府的工作重点和市物价局的工作计划，围绕局的工作计划组织指导，并负责监督实施。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（二）调查研究全县物价工作和发展问题，组织制定符合实际的物价管理办法。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（三）健全和完善各种规章制度抓好培训，提高业务素质提倡文明执法和文明服务。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（四）抓好全系统的思想政治工作，使各项工作顺利开工。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red"/>
        </w:rPr>
      </w:pP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24"/>
        </w:rPr>
      </w:pPr>
      <w:r>
        <w:rPr>
          <w:rFonts w:ascii="Times New Roman" w:hAnsi="Times New Roman" w:eastAsia="方正小标宋_GBK" w:cs="Times New Roman"/>
          <w:sz w:val="32"/>
          <w:szCs w:val="24"/>
        </w:rPr>
        <w:t>部门</w:t>
      </w:r>
      <w:r>
        <w:rPr>
          <w:rFonts w:hint="eastAsia" w:ascii="Times New Roman" w:hAnsi="Times New Roman" w:eastAsia="方正小标宋_GBK" w:cs="Times New Roman"/>
          <w:sz w:val="32"/>
          <w:szCs w:val="24"/>
        </w:rPr>
        <w:t>机构设置情况</w:t>
      </w:r>
    </w:p>
    <w:tbl>
      <w:tblPr>
        <w:tblStyle w:val="4"/>
        <w:tblW w:w="11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517"/>
        <w:gridCol w:w="3076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单位名称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单位性质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单位规格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经费保障形式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大城县物价局</w:t>
            </w: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事业</w:t>
            </w: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正科级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财政性资金基本保证</w:t>
            </w:r>
          </w:p>
        </w:tc>
      </w:tr>
    </w:tbl>
    <w:p>
      <w:pPr>
        <w:spacing w:line="300" w:lineRule="exact"/>
        <w:ind w:firstLine="1260" w:firstLineChars="600"/>
        <w:jc w:val="left"/>
        <w:rPr>
          <w:rFonts w:ascii="Times New Roman" w:hAnsi="Times New Roman" w:eastAsia="方正书宋_GBK" w:cs="Times New Roman"/>
          <w:szCs w:val="24"/>
        </w:rPr>
      </w:pPr>
      <w:r>
        <w:rPr>
          <w:rFonts w:hint="eastAsia" w:ascii="Times New Roman" w:hAnsi="Times New Roman" w:eastAsia="方正书宋_GBK" w:cs="Times New Roman"/>
          <w:szCs w:val="24"/>
        </w:rPr>
        <w:t>（注：我部门没有下属单位）</w:t>
      </w:r>
    </w:p>
    <w:p>
      <w:pPr>
        <w:spacing w:line="584" w:lineRule="exact"/>
        <w:ind w:firstLine="56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28"/>
          <w:szCs w:val="28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部门决算报表（</w:t>
      </w:r>
      <w:r>
        <w:rPr>
          <w:rFonts w:hint="eastAsia" w:ascii="Calibri" w:hAnsi="Calibri" w:eastAsia="黑体" w:cs="Times New Roman"/>
          <w:sz w:val="32"/>
          <w:szCs w:val="32"/>
        </w:rPr>
        <w:t>见</w:t>
      </w:r>
      <w:r>
        <w:rPr>
          <w:rFonts w:ascii="Calibri" w:hAnsi="Calibri" w:eastAsia="黑体" w:cs="Times New Roman"/>
          <w:sz w:val="32"/>
          <w:szCs w:val="32"/>
        </w:rPr>
        <w:t>附表）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三、</w:t>
      </w:r>
      <w:r>
        <w:rPr>
          <w:rFonts w:hint="eastAsia" w:ascii="Calibri" w:hAnsi="Calibri" w:eastAsia="黑体" w:cs="Times New Roman"/>
          <w:sz w:val="32"/>
          <w:szCs w:val="32"/>
        </w:rPr>
        <w:t>2017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（一）收入支出决算总体情况说明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大城县物价局2017年决算收入总额为450.79万元，支出总额为449.37万元，年末结转和结余1.42万元。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（二）收入决算情况说明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大城县物价局2017年决算收入总额为450.79万元，其中：财政拨款收入448.79万元，其他收入2万元，年初结转和结余0万元。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（三）支出决算情况说明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大城县物价局2017年度部门决算中支出预算的总体情况。2017年支出决算449.37万元，其中基本支出449.37万元。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（四）财政拨款收入支出决算总体情况说明</w:t>
      </w:r>
    </w:p>
    <w:p>
      <w:pPr>
        <w:snapToGrid w:val="0"/>
        <w:spacing w:line="584" w:lineRule="exact"/>
        <w:ind w:firstLine="640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2017年大城县物价局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收入决算</w:t>
      </w:r>
      <w:r>
        <w:rPr>
          <w:rFonts w:hint="eastAsia" w:ascii="仿宋_GB2312" w:hAnsi="仿宋_GB2312" w:eastAsia="仿宋_GB2312" w:cs="仿宋_GB2312"/>
          <w:sz w:val="32"/>
          <w:szCs w:val="32"/>
        </w:rPr>
        <w:t>450.79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万元，其中：一般公共预算拨款448.79万元，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其他收入2万元，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年初结转资金0万元，同比2017年决算财政拨款收入增加99.79万元，增长了28.59%，增加原因主要是人员工资福利增加。支出决算449.37万元，其中：一般公共预算拨款449.37万元，比2017年决算财政拨款支出增加102.67万元，增长了29.61%，增加原因主要是人员工资福利增加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（五）“三公”经费情况及增减变化原因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ascii="Calibri" w:hAnsi="Calibri" w:eastAsia="仿宋_GB2312" w:cs="Times New Roman"/>
          <w:sz w:val="32"/>
          <w:szCs w:val="32"/>
        </w:rPr>
        <w:t>年度部门“三公”经费支出</w:t>
      </w:r>
      <w:r>
        <w:rPr>
          <w:rFonts w:hint="eastAsia" w:ascii="Calibri" w:hAnsi="Calibri" w:eastAsia="仿宋_GB2312" w:cs="Times New Roman"/>
          <w:sz w:val="32"/>
          <w:szCs w:val="32"/>
        </w:rPr>
        <w:t>1.76</w:t>
      </w:r>
      <w:r>
        <w:rPr>
          <w:rFonts w:ascii="Calibri" w:hAnsi="Calibri" w:eastAsia="仿宋_GB2312" w:cs="Times New Roman"/>
          <w:sz w:val="32"/>
          <w:szCs w:val="32"/>
        </w:rPr>
        <w:t>万元，</w:t>
      </w:r>
      <w:r>
        <w:rPr>
          <w:rFonts w:hint="eastAsia" w:ascii="Calibri" w:hAnsi="Calibri" w:eastAsia="仿宋_GB2312" w:cs="Times New Roman"/>
          <w:sz w:val="32"/>
          <w:szCs w:val="32"/>
        </w:rPr>
        <w:t>同比2016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数减少</w:t>
      </w:r>
      <w:r>
        <w:rPr>
          <w:rFonts w:ascii="Calibri" w:hAnsi="Calibri" w:eastAsia="仿宋_GB2312" w:cs="Times New Roman"/>
          <w:sz w:val="32"/>
          <w:szCs w:val="32"/>
        </w:rPr>
        <w:t>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其中：因公出国（境）费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（本单位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2017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年度组织出国（境）团组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个，因公出国（境）人次数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人）</w:t>
      </w:r>
      <w:r>
        <w:rPr>
          <w:rFonts w:hint="eastAsia" w:ascii="仿宋_GB2312" w:hAnsi="Calibri" w:eastAsia="仿宋_GB2312" w:cs="Times New Roman"/>
          <w:color w:val="484747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与2016年相比持平，无增减变化，原因是因公出国（境）未安排</w:t>
      </w:r>
      <w:r>
        <w:rPr>
          <w:rFonts w:ascii="Calibri" w:hAnsi="Calibri" w:eastAsia="仿宋_GB2312" w:cs="Times New Roman"/>
          <w:sz w:val="32"/>
          <w:szCs w:val="32"/>
        </w:rPr>
        <w:t>；公务用车购置</w:t>
      </w:r>
      <w:r>
        <w:rPr>
          <w:rFonts w:hint="eastAsia" w:ascii="Calibri" w:hAnsi="Calibri" w:eastAsia="仿宋_GB2312" w:cs="Times New Roman"/>
          <w:sz w:val="32"/>
          <w:szCs w:val="32"/>
        </w:rPr>
        <w:t>及运行费为1.76万元（购置数为0辆，购置费0万元，运行费为1.76万元，同比2016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数减少）年末公务用车保有量为2辆，与2016年持平，</w:t>
      </w:r>
      <w:r>
        <w:rPr>
          <w:rFonts w:ascii="Calibri" w:hAnsi="Calibri" w:eastAsia="仿宋_GB2312" w:cs="Times New Roman"/>
          <w:sz w:val="32"/>
          <w:szCs w:val="32"/>
        </w:rPr>
        <w:t>公务接待费</w:t>
      </w:r>
      <w:r>
        <w:rPr>
          <w:rFonts w:hint="eastAsia" w:ascii="Calibri" w:hAnsi="Calibri" w:eastAsia="仿宋_GB2312" w:cs="Times New Roman"/>
          <w:sz w:val="32"/>
          <w:szCs w:val="32"/>
        </w:rPr>
        <w:t>0</w:t>
      </w:r>
      <w:r>
        <w:rPr>
          <w:rFonts w:ascii="Calibri" w:hAnsi="Calibri" w:eastAsia="仿宋_GB2312" w:cs="Times New Roman"/>
          <w:sz w:val="32"/>
          <w:szCs w:val="32"/>
        </w:rPr>
        <w:t>万元</w:t>
      </w:r>
      <w:r>
        <w:rPr>
          <w:rFonts w:hint="eastAsia" w:ascii="Calibri" w:hAnsi="Calibri" w:eastAsia="仿宋_GB2312" w:cs="Times New Roman"/>
          <w:sz w:val="32"/>
          <w:szCs w:val="32"/>
        </w:rPr>
        <w:t>，2017</w:t>
      </w:r>
      <w:r>
        <w:rPr>
          <w:rFonts w:ascii="Calibri" w:hAnsi="Calibri" w:eastAsia="仿宋_GB2312" w:cs="Times New Roman"/>
          <w:sz w:val="32"/>
          <w:szCs w:val="32"/>
        </w:rPr>
        <w:t>年度</w:t>
      </w:r>
      <w:r>
        <w:rPr>
          <w:rFonts w:hint="eastAsia" w:ascii="Calibri" w:hAnsi="Calibri" w:eastAsia="仿宋_GB2312" w:cs="Times New Roman"/>
          <w:sz w:val="32"/>
          <w:szCs w:val="32"/>
        </w:rPr>
        <w:t>没有</w:t>
      </w:r>
      <w:r>
        <w:rPr>
          <w:rFonts w:ascii="Calibri" w:hAnsi="Calibri" w:eastAsia="仿宋_GB2312" w:cs="Times New Roman"/>
          <w:sz w:val="32"/>
          <w:szCs w:val="32"/>
        </w:rPr>
        <w:t>国内公务接待，</w:t>
      </w:r>
      <w:r>
        <w:rPr>
          <w:rFonts w:hint="eastAsia" w:ascii="Calibri" w:hAnsi="Calibri" w:eastAsia="仿宋_GB2312" w:cs="Times New Roman"/>
          <w:sz w:val="32"/>
          <w:szCs w:val="32"/>
        </w:rPr>
        <w:t>同2016</w:t>
      </w:r>
      <w:r>
        <w:rPr>
          <w:rFonts w:ascii="Calibri" w:hAnsi="Calibri" w:eastAsia="仿宋_GB2312" w:cs="Times New Roman"/>
          <w:sz w:val="32"/>
          <w:szCs w:val="32"/>
        </w:rPr>
        <w:t>年度决算</w:t>
      </w:r>
      <w:r>
        <w:rPr>
          <w:rFonts w:hint="eastAsia" w:ascii="Calibri" w:hAnsi="Calibri" w:eastAsia="仿宋_GB2312" w:cs="Times New Roman"/>
          <w:sz w:val="32"/>
          <w:szCs w:val="32"/>
        </w:rPr>
        <w:t>数相等</w:t>
      </w:r>
      <w:r>
        <w:rPr>
          <w:rFonts w:ascii="Calibri" w:hAnsi="Calibri" w:eastAsia="仿宋_GB2312" w:cs="Times New Roman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国内公务接待的批次、人数为0，与2016年相比持平，无增减变化。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（六）机关运行经费支出情况的说明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</w:t>
      </w:r>
      <w:r>
        <w:rPr>
          <w:rFonts w:ascii="仿宋_GB2312" w:hAnsi="宋体" w:eastAsia="仿宋_GB2312"/>
          <w:sz w:val="32"/>
        </w:rPr>
        <w:t>年度部门机关运行经费支出</w:t>
      </w:r>
      <w:r>
        <w:rPr>
          <w:rFonts w:hint="eastAsia" w:ascii="仿宋_GB2312" w:hAnsi="宋体" w:eastAsia="仿宋_GB2312"/>
          <w:sz w:val="32"/>
        </w:rPr>
        <w:t>25.13</w:t>
      </w:r>
      <w:r>
        <w:rPr>
          <w:rFonts w:ascii="仿宋_GB2312" w:hAnsi="宋体" w:eastAsia="仿宋_GB2312"/>
          <w:sz w:val="32"/>
        </w:rPr>
        <w:t>万元，比</w:t>
      </w:r>
      <w:r>
        <w:rPr>
          <w:rFonts w:hint="eastAsia" w:ascii="仿宋_GB2312" w:hAnsi="宋体" w:eastAsia="仿宋_GB2312"/>
          <w:sz w:val="32"/>
        </w:rPr>
        <w:t>2016</w:t>
      </w:r>
      <w:r>
        <w:rPr>
          <w:rFonts w:ascii="仿宋_GB2312" w:hAnsi="宋体" w:eastAsia="仿宋_GB2312"/>
          <w:sz w:val="32"/>
        </w:rPr>
        <w:t>年度</w:t>
      </w:r>
      <w:r>
        <w:rPr>
          <w:rFonts w:hint="eastAsia" w:ascii="仿宋_GB2312" w:hAnsi="宋体" w:eastAsia="仿宋_GB2312"/>
          <w:sz w:val="32"/>
        </w:rPr>
        <w:t>减少57.47</w:t>
      </w:r>
      <w:r>
        <w:rPr>
          <w:rFonts w:ascii="仿宋_GB2312" w:hAnsi="宋体" w:eastAsia="仿宋_GB2312"/>
          <w:sz w:val="32"/>
        </w:rPr>
        <w:t>万元，原因是</w:t>
      </w:r>
      <w:r>
        <w:rPr>
          <w:rFonts w:hint="eastAsia" w:ascii="仿宋_GB2312" w:hAnsi="宋体" w:eastAsia="仿宋_GB2312"/>
          <w:sz w:val="32"/>
        </w:rPr>
        <w:t>2017年机关运行经费减少</w:t>
      </w:r>
      <w:r>
        <w:rPr>
          <w:rFonts w:ascii="仿宋_GB2312" w:hAnsi="宋体" w:eastAsia="仿宋_GB2312"/>
          <w:sz w:val="32"/>
        </w:rPr>
        <w:t>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ascii="Calibri" w:hAnsi="Calibri" w:eastAsia="仿宋_GB2312" w:cs="Times New Roman"/>
          <w:sz w:val="32"/>
          <w:szCs w:val="32"/>
        </w:rPr>
        <w:t>（七）绩</w:t>
      </w:r>
      <w:r>
        <w:rPr>
          <w:rFonts w:hint="eastAsia" w:ascii="仿宋_GB2312" w:hAnsi="宋体" w:eastAsia="仿宋_GB2312"/>
          <w:sz w:val="32"/>
        </w:rPr>
        <w:t>效预算信息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（1）绩效管理工作开展情况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 年度本部门认真贯彻落实《预算绩效管理办法》、《河北省财政支出绩效评价管理办法》等规定，按照建立全面规范、公开透明的政府预算管理制度要求，坚持和完善“预算编制有目标、 预算执行有监控、预算完成有评价、评价结果有应用、绩效缺失 有问责”的全过程绩效预算管理新机制，切实优化财政资金配置， 提高财政资金使用绩效，促进价格管理效能提升，为充分发挥价 格监管、价格调控、价格改革和价格服务的职能作用提供保障。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2）预算项目绩效评价开展情况一是深化预算绩效管理改革。成立了部门绩效预算管理工作领导小组，推进绩效预算管理改革。梳理“部门职责一工作活动一预算项目”三个层级，建立规范的绩效预算管理结构，科学 设定三级绩效目标指标体系，按照“整合资源、绩效导向、统筹兼顾、厉行节约、提高效能”原则，根据《中华人民共和国价格法》、《反价格垄断规定》、部门三定方案、十九大报告中关于价格管理改革等内容，打破资金壁垒，统筹安排财力，保障重点工作，努力支持各项事业发展。二是加强预算执行绩效监控。把绩效导向贯穿于部门财政预算执行监控的始终，将部门职责与工作活动紧密结合，将预算项目与预算指标紧密融合，对每个项目从预算编制、调整细化、资金拨付、监督评价、财务核算等方面，实行全程跟踪管理，按照年初确定的绩效目标指标，动态监控各项资金支出、项目运行和绩效目标完成情况，及时发现问题并予以纠正。强化资金拨付与项目绩效目标指标实现情况的紧密结合，对偏离绩效目标指标的项目暂停资金拨付或者调整预算，有效约束无效低效项目，有 效促进项目绩效目标的顺利实现。三是完善预算绩效监督评价。将本部门财政监督的重点由 合规性检查转向绩效监督和绩效评价，改进项目绩效评价方法，完善绩效评价报告机制，建立绩效问责制度，加大绩效信息公开力度，并将绩效评价结果与预算安排挂钩，作为制定政策、分配资金的重要依据。绩效自评等级为“良好”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（3）预算项目绩效自评选例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预算绩效管理工作成效显著，促进了价格管理效能提升。一是价格改革取得较大进展。编制了涉企行政事业性收费标准清单，公布了《廊坊市政府部门行政许可中介服务收费目录清单》。二是价格监管调控水平有效提升。加强12358 价格举报管理信息系统建设，开展价格执法检查。三是价格公共服务成效明显。完成了农产品成本调查、成本监审任务；坚持“一站式”服务、限时办结、公开透明等相关规定，规范行政审批程序和行为，在规定时限完成了许可事项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（八）政府采购决算情况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</w:t>
      </w:r>
      <w:r>
        <w:rPr>
          <w:rFonts w:ascii="仿宋_GB2312" w:hAnsi="宋体" w:eastAsia="仿宋_GB2312"/>
          <w:sz w:val="32"/>
        </w:rPr>
        <w:t>年度部门政府采购支出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万元，其中：政府采购货物支出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</w:t>
      </w:r>
      <w:r>
        <w:rPr>
          <w:rFonts w:hint="eastAsia" w:ascii="仿宋_GB2312" w:hAnsi="宋体" w:eastAsia="仿宋_GB2312"/>
          <w:sz w:val="32"/>
        </w:rPr>
        <w:t>（办公设备采购），</w:t>
      </w:r>
      <w:r>
        <w:rPr>
          <w:rFonts w:ascii="仿宋_GB2312" w:hAnsi="宋体" w:eastAsia="仿宋_GB2312"/>
          <w:sz w:val="32"/>
        </w:rPr>
        <w:t>政府采购工程支出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万元，政府采购服务支出</w:t>
      </w:r>
      <w:r>
        <w:rPr>
          <w:rFonts w:hint="eastAsia" w:ascii="仿宋_GB2312" w:hAnsi="宋体" w:eastAsia="仿宋_GB2312"/>
          <w:sz w:val="32"/>
        </w:rPr>
        <w:t>0</w:t>
      </w:r>
      <w:r>
        <w:rPr>
          <w:rFonts w:ascii="仿宋_GB2312" w:hAnsi="宋体" w:eastAsia="仿宋_GB2312"/>
          <w:sz w:val="32"/>
        </w:rPr>
        <w:t>万元。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（九）</w:t>
      </w:r>
      <w:r>
        <w:rPr>
          <w:rFonts w:ascii="仿宋_GB2312" w:hAnsi="宋体" w:eastAsia="仿宋_GB2312"/>
          <w:sz w:val="32"/>
        </w:rPr>
        <w:t>国有资产信息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截止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ascii="仿宋_GB2312" w:hAnsi="宋体" w:eastAsia="仿宋_GB2312"/>
          <w:sz w:val="32"/>
        </w:rPr>
        <w:t>31</w:t>
      </w:r>
      <w:r>
        <w:rPr>
          <w:rFonts w:hint="eastAsia" w:ascii="仿宋_GB2312" w:hAnsi="宋体" w:eastAsia="仿宋_GB2312"/>
          <w:sz w:val="32"/>
        </w:rPr>
        <w:t>日，大城县物价局（含所属单位）上年末固定资产金额为42.5684万元，车辆共有2辆，车辆价值为38.68元，其中，市级领导干部用车0辆、一般公务用车2辆、</w:t>
      </w:r>
    </w:p>
    <w:p>
      <w:pPr>
        <w:widowControl/>
        <w:spacing w:line="500" w:lineRule="exact"/>
        <w:ind w:left="638" w:leftChars="304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一般执法执勤用车0辆、特种专业技术用车0辆；其他固定资产为5.8484万元，部门价值50万元以上大型设备0台（套），部门价值100万元以上大型设备0台（套）。</w:t>
      </w:r>
    </w:p>
    <w:p>
      <w:pPr>
        <w:widowControl/>
        <w:spacing w:line="500" w:lineRule="exact"/>
        <w:ind w:left="638" w:leftChars="304" w:firstLine="320" w:firstLineChars="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较2016年度相比，本年度新增空调7台，共计1.96万元，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lang w:eastAsia="zh-CN"/>
        </w:rPr>
        <w:t>截至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ascii="仿宋_GB2312" w:hAnsi="宋体" w:eastAsia="仿宋_GB2312"/>
          <w:sz w:val="32"/>
        </w:rPr>
        <w:t>31</w:t>
      </w:r>
      <w:r>
        <w:rPr>
          <w:rFonts w:hint="eastAsia" w:ascii="仿宋_GB2312" w:hAnsi="宋体" w:eastAsia="仿宋_GB2312"/>
          <w:sz w:val="32"/>
        </w:rPr>
        <w:t>日，我单位固定资产金额共计44.5284万元。</w:t>
      </w:r>
    </w:p>
    <w:p>
      <w:pPr>
        <w:ind w:firstLine="640" w:firstLineChars="2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Calibri" w:hAnsi="Calibri" w:eastAsia="仿宋_GB2312" w:cs="Times New Roman"/>
          <w:sz w:val="32"/>
          <w:szCs w:val="32"/>
        </w:rPr>
        <w:t>（十）其他需要说明的情况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 xml:space="preserve">    无其他需要说明的事项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1、一般公共预算拨款收入:县级财政当年拨付的资金。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7"/>
    <w:rsid w:val="00091473"/>
    <w:rsid w:val="000C16AB"/>
    <w:rsid w:val="001D07C0"/>
    <w:rsid w:val="00252FFA"/>
    <w:rsid w:val="0026723A"/>
    <w:rsid w:val="002C47D6"/>
    <w:rsid w:val="002D28F5"/>
    <w:rsid w:val="00372993"/>
    <w:rsid w:val="003739BA"/>
    <w:rsid w:val="00394667"/>
    <w:rsid w:val="00413287"/>
    <w:rsid w:val="004F1FD1"/>
    <w:rsid w:val="00561BA5"/>
    <w:rsid w:val="005817C9"/>
    <w:rsid w:val="006F5404"/>
    <w:rsid w:val="00795400"/>
    <w:rsid w:val="00833E44"/>
    <w:rsid w:val="008711C7"/>
    <w:rsid w:val="008726C3"/>
    <w:rsid w:val="0087445A"/>
    <w:rsid w:val="008A4DFB"/>
    <w:rsid w:val="0091723F"/>
    <w:rsid w:val="009A62B8"/>
    <w:rsid w:val="009F416C"/>
    <w:rsid w:val="00BA4198"/>
    <w:rsid w:val="00D14F93"/>
    <w:rsid w:val="00D344A5"/>
    <w:rsid w:val="00D83634"/>
    <w:rsid w:val="00DA12AA"/>
    <w:rsid w:val="00F22DEA"/>
    <w:rsid w:val="032A56ED"/>
    <w:rsid w:val="07B71302"/>
    <w:rsid w:val="089056BB"/>
    <w:rsid w:val="10972956"/>
    <w:rsid w:val="133D5ACF"/>
    <w:rsid w:val="1F5035C4"/>
    <w:rsid w:val="1F536BC8"/>
    <w:rsid w:val="205D686F"/>
    <w:rsid w:val="2CCA7C7C"/>
    <w:rsid w:val="33AD318F"/>
    <w:rsid w:val="34A64DBC"/>
    <w:rsid w:val="399F749D"/>
    <w:rsid w:val="3BF45312"/>
    <w:rsid w:val="415062F1"/>
    <w:rsid w:val="42FB4196"/>
    <w:rsid w:val="488473A8"/>
    <w:rsid w:val="4C4F1094"/>
    <w:rsid w:val="4D685410"/>
    <w:rsid w:val="4DBF1F14"/>
    <w:rsid w:val="504303FB"/>
    <w:rsid w:val="50F1340A"/>
    <w:rsid w:val="5485686D"/>
    <w:rsid w:val="585304D3"/>
    <w:rsid w:val="58C4064F"/>
    <w:rsid w:val="665A190D"/>
    <w:rsid w:val="66684F8E"/>
    <w:rsid w:val="74DE3A3E"/>
    <w:rsid w:val="79E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519</Words>
  <Characters>2964</Characters>
  <Lines>24</Lines>
  <Paragraphs>6</Paragraphs>
  <TotalTime>3</TotalTime>
  <ScaleCrop>false</ScaleCrop>
  <LinksUpToDate>false</LinksUpToDate>
  <CharactersWithSpaces>3477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2019-03-05T03:20:00Z</dcterms:created>
  <dc:creator>USER-</dc:creator>
  <cp:lastModifiedBy>Administrator</cp:lastModifiedBy>
  <cp:lastPrinted>2018-11-09T02:46:00Z</cp:lastPrinted>
  <dcterms:modified xsi:type="dcterms:W3CDTF">2024-01-19T01:53:40Z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16FA07BBECE74EA5B4D478F576A240BE</vt:lpwstr>
  </property>
</Properties>
</file>