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廊坊市大城县粮食局</w:t>
      </w:r>
    </w:p>
    <w:p>
      <w:pPr>
        <w:widowControl/>
        <w:spacing w:after="0" w:line="6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hint="eastAsia" w:eastAsia="黑体"/>
          <w:sz w:val="32"/>
          <w:szCs w:val="32"/>
          <w:lang w:val="en-US" w:eastAsia="zh-CN"/>
        </w:rPr>
        <w:t xml:space="preserve">  </w:t>
      </w:r>
      <w:r>
        <w:rPr>
          <w:rFonts w:hint="eastAsia" w:eastAsia="黑体"/>
          <w:sz w:val="32"/>
          <w:szCs w:val="32"/>
        </w:rPr>
        <w:t>大城县粮食局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大城县粮食局</w:t>
      </w:r>
      <w:r>
        <w:rPr>
          <w:rFonts w:hint="eastAsia" w:eastAsia="黑体"/>
          <w:sz w:val="32"/>
          <w:szCs w:val="32"/>
          <w:lang w:val="en-US" w:eastAsia="zh-CN"/>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（一）组织落实国家、省、市有关粮食流通的法规、政策；研究拟定全县粮食流通政策、制度，指导全县粮食流通体制改革</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（二）拟定全县粮食流通发展规划和年度计划。协助有关部门参与制定全县粮食流通产业结构调整和布局调整实施意见</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（三）组织协调全县粮食收购工作，掌握粮源；指导全县开展农业定单收购和收购网点建设工作；组织指导全县粮食市场供应，保障军供民需及受灾乡镇、村街缺粮户的粮食供应</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（四）承担落实市级粮食储备任务；管理省级粮食储备</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（五）培育和完善粮食市场体系，制定我县粮食批发市场建设发展规划和管理办法；按有关规定管理粮食市场，维护粮食流通秩序。做好粮食收购资格的审核，核发粮食《粮食收购许可证》</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（六）根据有关法律、法规，对社会粮食流通进行行政执法；监督检查有关粮食法律、法规执行情况，依法实施行政处罚</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（七）按有关规定落实消化新老财务</w:t>
      </w:r>
      <w:bookmarkStart w:id="0" w:name="_GoBack"/>
      <w:bookmarkEnd w:id="0"/>
      <w:r>
        <w:rPr>
          <w:rFonts w:hint="eastAsia" w:ascii="仿宋_GB2312" w:hAnsi="Cambria" w:eastAsia="仿宋_GB2312" w:cs="ArialUnicodeMS"/>
          <w:b w:val="0"/>
          <w:bCs w:val="0"/>
          <w:kern w:val="0"/>
          <w:sz w:val="32"/>
          <w:szCs w:val="32"/>
          <w:lang w:eastAsia="zh-CN"/>
        </w:rPr>
        <w:t>挂账</w:t>
      </w:r>
      <w:r>
        <w:rPr>
          <w:rFonts w:hint="eastAsia" w:ascii="仿宋_GB2312" w:hAnsi="Cambria" w:eastAsia="仿宋_GB2312" w:cs="ArialUnicodeMS"/>
          <w:b w:val="0"/>
          <w:bCs w:val="0"/>
          <w:kern w:val="0"/>
          <w:sz w:val="32"/>
          <w:szCs w:val="32"/>
        </w:rPr>
        <w:t>，协助有关部门监督管理粮食收购资金</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（八）负责全县粮食流通设施建设规划布局，落实国家、省、市粮食流通设施建设投资，组织实施工程建设</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（九）负责指导全县粮食储存安全管理；执行粮食质量标准，落实粮食检验政策、制度和办法；为社会农户储粮提供技术服务</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十）负责全县粮食流通行业管理；推动全县粮食流通行业技术改造和新技术推广，负责全行业对外交流与合作；制定全县粮食系统粮油、饲料、食品等工业发展规划和布局；指导全县粮食企业搞好改革、发展、稳定工作</w:t>
      </w:r>
      <w:r>
        <w:rPr>
          <w:rFonts w:ascii="仿宋_GB2312" w:hAnsi="Cambria" w:eastAsia="仿宋_GB2312" w:cs="ArialUnicodeMS"/>
          <w:b w:val="0"/>
          <w:bCs w:val="0"/>
          <w:kern w:val="0"/>
          <w:sz w:val="32"/>
          <w:szCs w:val="32"/>
        </w:rPr>
        <w:t>;</w:t>
      </w:r>
    </w:p>
    <w:p>
      <w:pPr>
        <w:pStyle w:val="2"/>
        <w:spacing w:before="0" w:after="0" w:line="600" w:lineRule="exact"/>
        <w:ind w:firstLine="640" w:firstLineChars="200"/>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（十一）管理机关财务和直属单位国有资产；负责全县粮食系统财务、内部审计工作；负责全县粮食系统业务统计和机构编制、人员、工资统计工作；负责全县粮食系统职工教育培训工作</w:t>
      </w:r>
      <w:r>
        <w:rPr>
          <w:rFonts w:ascii="仿宋_GB2312" w:hAnsi="Cambria" w:eastAsia="仿宋_GB2312" w:cs="ArialUnicodeMS"/>
          <w:b w:val="0"/>
          <w:bCs w:val="0"/>
          <w:kern w:val="0"/>
          <w:sz w:val="32"/>
          <w:szCs w:val="32"/>
        </w:rPr>
        <w:t>;</w:t>
      </w:r>
    </w:p>
    <w:p>
      <w:pPr>
        <w:pStyle w:val="2"/>
        <w:spacing w:before="0" w:after="0" w:line="600" w:lineRule="exact"/>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lang w:val="en-US" w:eastAsia="zh-CN"/>
        </w:rPr>
        <w:t xml:space="preserve">    </w:t>
      </w:r>
      <w:r>
        <w:rPr>
          <w:rFonts w:hint="eastAsia" w:ascii="仿宋_GB2312" w:hAnsi="Cambria" w:eastAsia="仿宋_GB2312" w:cs="ArialUnicodeMS"/>
          <w:b w:val="0"/>
          <w:bCs w:val="0"/>
          <w:kern w:val="0"/>
          <w:sz w:val="32"/>
          <w:szCs w:val="32"/>
        </w:rPr>
        <w:t>（十二）承办县委、县政府交办的其他事项。</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872"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大城县粮食局</w:t>
            </w:r>
          </w:p>
        </w:tc>
        <w:tc>
          <w:tcPr>
            <w:tcW w:w="2445" w:type="dxa"/>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参公事业单位</w:t>
            </w:r>
          </w:p>
        </w:tc>
        <w:tc>
          <w:tcPr>
            <w:tcW w:w="2872" w:type="dxa"/>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2</w:t>
            </w:r>
          </w:p>
        </w:tc>
        <w:tc>
          <w:tcPr>
            <w:tcW w:w="3485" w:type="dxa"/>
            <w:vAlign w:val="top"/>
          </w:tcPr>
          <w:p>
            <w:pPr>
              <w:spacing w:after="0" w:line="560" w:lineRule="exact"/>
              <w:jc w:val="center"/>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lang w:eastAsia="zh-CN"/>
              </w:rPr>
            </w:pPr>
          </w:p>
        </w:tc>
        <w:tc>
          <w:tcPr>
            <w:tcW w:w="2872" w:type="dxa"/>
            <w:vAlign w:val="top"/>
          </w:tcPr>
          <w:p>
            <w:pPr>
              <w:spacing w:after="0" w:line="560" w:lineRule="exact"/>
              <w:jc w:val="center"/>
              <w:rPr>
                <w:rFonts w:hint="eastAsia" w:ascii="仿宋_GB2312" w:hAnsi="Cambria" w:eastAsia="仿宋_GB2312" w:cs="ArialUnicodeMS"/>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3</w:t>
            </w:r>
          </w:p>
        </w:tc>
        <w:tc>
          <w:tcPr>
            <w:tcW w:w="3485" w:type="dxa"/>
            <w:vAlign w:val="top"/>
          </w:tcPr>
          <w:p>
            <w:pPr>
              <w:spacing w:after="0" w:line="560" w:lineRule="exact"/>
              <w:jc w:val="center"/>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lang w:eastAsia="zh-CN"/>
              </w:rPr>
            </w:pPr>
          </w:p>
        </w:tc>
        <w:tc>
          <w:tcPr>
            <w:tcW w:w="2872" w:type="dxa"/>
            <w:vAlign w:val="top"/>
          </w:tcPr>
          <w:p>
            <w:pPr>
              <w:spacing w:after="0" w:line="560" w:lineRule="exact"/>
              <w:jc w:val="center"/>
              <w:rPr>
                <w:rFonts w:hint="eastAsia" w:ascii="仿宋_GB2312" w:hAnsi="Cambria" w:eastAsia="仿宋_GB2312" w:cs="ArialUnicodeMS"/>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787" w:type="dxa"/>
            <w:gridSpan w:val="4"/>
            <w:tcBorders>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w:t>
      </w:r>
      <w:r>
        <w:rPr>
          <w:rFonts w:hint="eastAsia" w:ascii="仿宋_GB2312" w:eastAsia="仿宋_GB2312" w:cs="DengXian-Regular"/>
          <w:sz w:val="32"/>
          <w:szCs w:val="32"/>
          <w:lang w:eastAsia="zh-CN"/>
        </w:rPr>
        <w:t>支</w:t>
      </w:r>
      <w:r>
        <w:rPr>
          <w:rFonts w:hint="eastAsia" w:ascii="仿宋_GB2312" w:eastAsia="仿宋_GB2312" w:cs="DengXian-Regular"/>
          <w:sz w:val="32"/>
          <w:szCs w:val="32"/>
        </w:rPr>
        <w:t>总计</w:t>
      </w:r>
      <w:r>
        <w:rPr>
          <w:rFonts w:hint="eastAsia" w:ascii="仿宋_GB2312" w:eastAsia="仿宋_GB2312" w:cs="DengXian-Regular"/>
          <w:sz w:val="32"/>
          <w:szCs w:val="32"/>
          <w:lang w:eastAsia="zh-CN"/>
        </w:rPr>
        <w:t>（含结转和结余）</w:t>
      </w:r>
      <w:r>
        <w:rPr>
          <w:rFonts w:ascii="仿宋_GB2312" w:eastAsia="仿宋_GB2312" w:cs="DengXian-Regular"/>
          <w:sz w:val="32"/>
          <w:szCs w:val="32"/>
        </w:rPr>
        <w:t>312.35</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收支各减少</w:t>
      </w:r>
      <w:r>
        <w:rPr>
          <w:rFonts w:ascii="仿宋_GB2312" w:eastAsia="仿宋_GB2312" w:cs="DengXian-Regular"/>
          <w:sz w:val="32"/>
          <w:szCs w:val="32"/>
        </w:rPr>
        <w:t>117.64</w:t>
      </w:r>
      <w:r>
        <w:rPr>
          <w:rFonts w:hint="eastAsia" w:ascii="仿宋_GB2312" w:eastAsia="仿宋_GB2312" w:cs="DengXian-Regular"/>
          <w:sz w:val="32"/>
          <w:szCs w:val="32"/>
        </w:rPr>
        <w:t>万元，下降</w:t>
      </w:r>
      <w:r>
        <w:rPr>
          <w:rFonts w:ascii="仿宋_GB2312" w:eastAsia="仿宋_GB2312" w:cs="DengXian-Regular"/>
          <w:sz w:val="32"/>
          <w:szCs w:val="32"/>
        </w:rPr>
        <w:t>27.36%</w:t>
      </w:r>
      <w:r>
        <w:rPr>
          <w:rFonts w:hint="eastAsia" w:ascii="仿宋_GB2312" w:eastAsia="仿宋_GB2312" w:cs="DengXian-Regular"/>
          <w:sz w:val="32"/>
          <w:szCs w:val="32"/>
        </w:rPr>
        <w:t>，主要是项目资金调整。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312.35</w:t>
      </w:r>
      <w:r>
        <w:rPr>
          <w:rFonts w:hint="eastAsia" w:ascii="仿宋_GB2312" w:eastAsia="仿宋_GB2312" w:cs="DengXian-Regular"/>
          <w:sz w:val="32"/>
          <w:szCs w:val="32"/>
        </w:rPr>
        <w:t>万元，其中：财政拨款收入</w:t>
      </w:r>
      <w:r>
        <w:rPr>
          <w:rFonts w:ascii="仿宋_GB2312" w:eastAsia="仿宋_GB2312" w:cs="DengXian-Regular"/>
          <w:sz w:val="32"/>
          <w:szCs w:val="32"/>
        </w:rPr>
        <w:t>294.87</w:t>
      </w:r>
      <w:r>
        <w:rPr>
          <w:rFonts w:hint="eastAsia" w:ascii="仿宋_GB2312" w:eastAsia="仿宋_GB2312" w:cs="DengXian-Regular"/>
          <w:sz w:val="32"/>
          <w:szCs w:val="32"/>
        </w:rPr>
        <w:t>万元，占</w:t>
      </w:r>
      <w:r>
        <w:rPr>
          <w:rFonts w:ascii="仿宋_GB2312" w:eastAsia="仿宋_GB2312" w:cs="DengXian-Regular"/>
          <w:sz w:val="32"/>
          <w:szCs w:val="32"/>
        </w:rPr>
        <w:t>94.4%</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16.51</w:t>
      </w:r>
      <w:r>
        <w:rPr>
          <w:rFonts w:hint="eastAsia" w:ascii="仿宋_GB2312" w:eastAsia="仿宋_GB2312" w:cs="DengXian-Regular"/>
          <w:sz w:val="32"/>
          <w:szCs w:val="32"/>
        </w:rPr>
        <w:t>万元，占</w:t>
      </w:r>
      <w:r>
        <w:rPr>
          <w:rFonts w:ascii="仿宋_GB2312" w:eastAsia="仿宋_GB2312" w:cs="DengXian-Regular"/>
          <w:sz w:val="32"/>
          <w:szCs w:val="32"/>
        </w:rPr>
        <w:t>5.29%</w:t>
      </w:r>
      <w:r>
        <w:rPr>
          <w:rFonts w:hint="eastAsia" w:ascii="仿宋_GB2312" w:eastAsia="仿宋_GB2312" w:cs="DengXian-Regular"/>
          <w:sz w:val="32"/>
          <w:szCs w:val="32"/>
        </w:rPr>
        <w:t>；上级补助收入</w:t>
      </w:r>
      <w:r>
        <w:rPr>
          <w:rFonts w:ascii="仿宋_GB2312" w:eastAsia="仿宋_GB2312" w:cs="DengXian-Regular"/>
          <w:sz w:val="32"/>
          <w:szCs w:val="32"/>
        </w:rPr>
        <w:t>0.98</w:t>
      </w:r>
      <w:r>
        <w:rPr>
          <w:rFonts w:hint="eastAsia" w:ascii="仿宋_GB2312" w:eastAsia="仿宋_GB2312" w:cs="DengXian-Regular"/>
          <w:sz w:val="32"/>
          <w:szCs w:val="32"/>
        </w:rPr>
        <w:t>万元，占</w:t>
      </w:r>
      <w:r>
        <w:rPr>
          <w:rFonts w:ascii="仿宋_GB2312" w:eastAsia="仿宋_GB2312" w:cs="DengXian-Regular"/>
          <w:sz w:val="32"/>
          <w:szCs w:val="32"/>
        </w:rPr>
        <w:t>0.31%</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r>
        <w:rPr>
          <w:rFonts w:ascii="黑体" w:hAnsi="Calibri" w:eastAsia="黑体" w:cs="Times New Roman"/>
          <w:kern w:val="2"/>
          <w:sz w:val="32"/>
          <w:szCs w:val="32"/>
          <w:lang w:val="en-US" w:eastAsia="zh-CN" w:bidi="ar-SA"/>
        </w:rPr>
        <w:object>
          <v:shape id="_x0000_i1025" o:spt="75" type="#_x0000_t75" style="height:252.75pt;width:351.75pt;" o:ole="t" fillcolor="#FFFFFF" filled="f" o:preferrelative="t" stroked="f" coordsize="21600,21600">
            <v:path/>
            <v:fill on="f" color2="#FFFFFF" focussize="0,0"/>
            <v:stroke on="f"/>
            <v:imagedata r:id="rId7" gain="65536f" blacklevel="0f" gamma="0" o:title=""/>
            <o:lock v:ext="edit" position="f" selection="f" grouping="f" rotation="f" cropping="f" text="f" aspectratio="f"/>
            <w10:wrap type="none"/>
            <w10:anchorlock/>
          </v:shape>
          <o:OLEObject Type="Embed" ProgID="Excel.Chart.8" ShapeID="_x0000_i1025" DrawAspect="Content" ObjectID="_1468075725" r:id="rId6">
            <o:LockedField>false</o:LockedField>
          </o:OLEObject>
        </w:object>
      </w:r>
    </w:p>
    <w:p>
      <w:pPr>
        <w:rPr>
          <w:rFonts w:ascii="黑体" w:hAnsi="Calibri" w:eastAsia="黑体"/>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299.56</w:t>
      </w:r>
      <w:r>
        <w:rPr>
          <w:rFonts w:hint="eastAsia" w:ascii="仿宋_GB2312" w:eastAsia="仿宋_GB2312" w:cs="DengXian-Regular"/>
          <w:sz w:val="32"/>
          <w:szCs w:val="32"/>
        </w:rPr>
        <w:t>万元，其中：基本支出</w:t>
      </w:r>
      <w:r>
        <w:rPr>
          <w:rFonts w:ascii="仿宋_GB2312" w:eastAsia="仿宋_GB2312" w:cs="DengXian-Regular"/>
          <w:sz w:val="32"/>
          <w:szCs w:val="32"/>
        </w:rPr>
        <w:t>190.5</w:t>
      </w:r>
      <w:r>
        <w:rPr>
          <w:rFonts w:hint="eastAsia" w:ascii="仿宋_GB2312" w:eastAsia="仿宋_GB2312" w:cs="DengXian-Regular"/>
          <w:sz w:val="32"/>
          <w:szCs w:val="32"/>
        </w:rPr>
        <w:t>万元，占</w:t>
      </w:r>
      <w:r>
        <w:rPr>
          <w:rFonts w:ascii="仿宋_GB2312" w:eastAsia="仿宋_GB2312" w:cs="DengXian-Regular"/>
          <w:sz w:val="32"/>
          <w:szCs w:val="32"/>
        </w:rPr>
        <w:t>63.59%</w:t>
      </w:r>
      <w:r>
        <w:rPr>
          <w:rFonts w:hint="eastAsia" w:ascii="仿宋_GB2312" w:eastAsia="仿宋_GB2312" w:cs="DengXian-Regular"/>
          <w:sz w:val="32"/>
          <w:szCs w:val="32"/>
        </w:rPr>
        <w:t>；项目支出</w:t>
      </w:r>
      <w:r>
        <w:rPr>
          <w:rFonts w:ascii="仿宋_GB2312" w:eastAsia="仿宋_GB2312" w:cs="DengXian-Regular"/>
          <w:sz w:val="32"/>
          <w:szCs w:val="32"/>
        </w:rPr>
        <w:t>92.55</w:t>
      </w:r>
      <w:r>
        <w:rPr>
          <w:rFonts w:hint="eastAsia" w:ascii="仿宋_GB2312" w:eastAsia="仿宋_GB2312" w:cs="DengXian-Regular"/>
          <w:sz w:val="32"/>
          <w:szCs w:val="32"/>
        </w:rPr>
        <w:t>万元，占</w:t>
      </w:r>
      <w:r>
        <w:rPr>
          <w:rFonts w:ascii="仿宋_GB2312" w:eastAsia="仿宋_GB2312" w:cs="DengXian-Regular"/>
          <w:sz w:val="32"/>
          <w:szCs w:val="32"/>
        </w:rPr>
        <w:t>30.9%</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；对附属单位补助支出</w:t>
      </w:r>
      <w:r>
        <w:rPr>
          <w:rFonts w:ascii="仿宋_GB2312" w:eastAsia="仿宋_GB2312" w:cs="DengXian-Regular"/>
          <w:sz w:val="32"/>
          <w:szCs w:val="32"/>
        </w:rPr>
        <w:t>16.5</w:t>
      </w:r>
      <w:r>
        <w:rPr>
          <w:rFonts w:hint="eastAsia" w:ascii="仿宋_GB2312" w:eastAsia="仿宋_GB2312" w:cs="DengXian-Regular"/>
          <w:sz w:val="32"/>
          <w:szCs w:val="32"/>
        </w:rPr>
        <w:t>万元，占</w:t>
      </w:r>
      <w:r>
        <w:rPr>
          <w:rFonts w:ascii="仿宋_GB2312" w:eastAsia="仿宋_GB2312" w:cs="DengXian-Regular"/>
          <w:sz w:val="32"/>
          <w:szCs w:val="32"/>
        </w:rPr>
        <w:t>5.51%</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o:spid="_x0000_s1026" o:spt="75" type="#_x0000_t75" style="position:absolute;left:0pt;margin-left:9.7pt;margin-top:14.6pt;height:300.5pt;width:401.3pt;z-index:251659264;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xcel.Chart.8" ShapeID="Picture 2" DrawAspect="Content" ObjectID="_1468075726"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294.87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38.46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15</w:t>
      </w:r>
      <w:r>
        <w:rPr>
          <w:rFonts w:ascii="仿宋_GB2312" w:eastAsia="仿宋_GB2312" w:cs="DengXian-Regular"/>
          <w:sz w:val="32"/>
          <w:szCs w:val="32"/>
        </w:rPr>
        <w:t>%</w:t>
      </w:r>
      <w:r>
        <w:rPr>
          <w:rFonts w:hint="eastAsia" w:ascii="仿宋_GB2312" w:eastAsia="仿宋_GB2312" w:cs="DengXian-Regular"/>
          <w:sz w:val="32"/>
          <w:szCs w:val="32"/>
        </w:rPr>
        <w:t>，主要是项目资金调整；本年支出</w:t>
      </w:r>
      <w:r>
        <w:rPr>
          <w:rFonts w:ascii="仿宋_GB2312" w:eastAsia="仿宋_GB2312" w:cs="DengXian-Regular"/>
          <w:sz w:val="32"/>
          <w:szCs w:val="32"/>
        </w:rPr>
        <w:t>282.07</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增加</w:t>
      </w:r>
      <w:r>
        <w:rPr>
          <w:rFonts w:hint="eastAsia" w:ascii="仿宋_GB2312" w:eastAsia="仿宋_GB2312" w:cs="DengXian-Regular"/>
          <w:sz w:val="32"/>
          <w:szCs w:val="32"/>
          <w:lang w:val="en-US" w:eastAsia="zh-CN"/>
        </w:rPr>
        <w:t>25.66</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增长</w:t>
      </w:r>
      <w:r>
        <w:rPr>
          <w:rFonts w:hint="eastAsia" w:ascii="仿宋_GB2312" w:eastAsia="仿宋_GB2312" w:cs="DengXian-Regular"/>
          <w:sz w:val="32"/>
          <w:szCs w:val="32"/>
          <w:lang w:val="en-US" w:eastAsia="zh-CN"/>
        </w:rPr>
        <w:t>10</w:t>
      </w:r>
      <w:r>
        <w:rPr>
          <w:rFonts w:ascii="仿宋_GB2312" w:eastAsia="仿宋_GB2312" w:cs="DengXian-Regular"/>
          <w:sz w:val="32"/>
          <w:szCs w:val="32"/>
        </w:rPr>
        <w:t>%</w:t>
      </w:r>
      <w:r>
        <w:rPr>
          <w:rFonts w:hint="eastAsia" w:ascii="仿宋_GB2312" w:eastAsia="仿宋_GB2312" w:cs="DengXian-Regular"/>
          <w:sz w:val="32"/>
          <w:szCs w:val="32"/>
        </w:rPr>
        <w:t>，主要是项目资金调整。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o:spid="_x0000_s1027" o:spt="75" type="#_x0000_t75" style="position:absolute;left:0pt;margin-left:18.8pt;margin-top:11.1pt;height:328.85pt;width:412.35pt;z-index:251660288;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xcel.Chart.8" ShapeID="Picture 3" DrawAspect="Content" ObjectID="_1468075727" r:id="rId10">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294.87</w:t>
      </w:r>
      <w:r>
        <w:rPr>
          <w:rFonts w:hint="eastAsia" w:ascii="仿宋_GB2312" w:eastAsia="仿宋_GB2312" w:cs="DengXian-Regular"/>
          <w:sz w:val="32"/>
          <w:szCs w:val="32"/>
        </w:rPr>
        <w:t>万元，完成年初预算的</w:t>
      </w:r>
      <w:r>
        <w:rPr>
          <w:rFonts w:ascii="仿宋_GB2312" w:eastAsia="仿宋_GB2312" w:cs="DengXian-Regular"/>
          <w:sz w:val="32"/>
          <w:szCs w:val="32"/>
        </w:rPr>
        <w:t>114.26%,</w:t>
      </w:r>
      <w:r>
        <w:rPr>
          <w:rFonts w:hint="eastAsia" w:ascii="仿宋_GB2312" w:eastAsia="仿宋_GB2312" w:cs="DengXian-Regular"/>
          <w:sz w:val="32"/>
          <w:szCs w:val="32"/>
        </w:rPr>
        <w:t>比年初预算增加</w:t>
      </w:r>
      <w:r>
        <w:rPr>
          <w:rFonts w:ascii="仿宋_GB2312" w:eastAsia="仿宋_GB2312" w:cs="DengXian-Regular"/>
          <w:sz w:val="32"/>
          <w:szCs w:val="32"/>
        </w:rPr>
        <w:t>36.79</w:t>
      </w:r>
      <w:r>
        <w:rPr>
          <w:rFonts w:hint="eastAsia" w:ascii="仿宋_GB2312" w:eastAsia="仿宋_GB2312" w:cs="DengXian-Regular"/>
          <w:sz w:val="32"/>
          <w:szCs w:val="32"/>
        </w:rPr>
        <w:t>万元，决算数大于预算数主要是人员增资，项目调整；本年支出</w:t>
      </w:r>
      <w:r>
        <w:rPr>
          <w:rFonts w:ascii="仿宋_GB2312" w:eastAsia="仿宋_GB2312" w:cs="DengXian-Regular"/>
          <w:sz w:val="32"/>
          <w:szCs w:val="32"/>
        </w:rPr>
        <w:t>282.07</w:t>
      </w:r>
      <w:r>
        <w:rPr>
          <w:rFonts w:hint="eastAsia" w:ascii="仿宋_GB2312" w:eastAsia="仿宋_GB2312" w:cs="DengXian-Regular"/>
          <w:sz w:val="32"/>
          <w:szCs w:val="32"/>
        </w:rPr>
        <w:t>万元，完成年初预算的</w:t>
      </w:r>
      <w:r>
        <w:rPr>
          <w:rFonts w:ascii="仿宋_GB2312" w:eastAsia="仿宋_GB2312" w:cs="DengXian-Regular"/>
          <w:sz w:val="32"/>
          <w:szCs w:val="32"/>
        </w:rPr>
        <w:t>109.3%,</w:t>
      </w:r>
      <w:r>
        <w:rPr>
          <w:rFonts w:hint="eastAsia" w:ascii="仿宋_GB2312" w:eastAsia="仿宋_GB2312" w:cs="DengXian-Regular"/>
          <w:sz w:val="32"/>
          <w:szCs w:val="32"/>
        </w:rPr>
        <w:t>比年初预算增加</w:t>
      </w:r>
      <w:r>
        <w:rPr>
          <w:rFonts w:ascii="仿宋_GB2312" w:eastAsia="仿宋_GB2312" w:cs="DengXian-Regular"/>
          <w:sz w:val="32"/>
          <w:szCs w:val="32"/>
        </w:rPr>
        <w:t>23.99</w:t>
      </w:r>
      <w:r>
        <w:rPr>
          <w:rFonts w:hint="eastAsia" w:ascii="仿宋_GB2312" w:eastAsia="仿宋_GB2312" w:cs="DengXian-Regular"/>
          <w:sz w:val="32"/>
          <w:szCs w:val="32"/>
        </w:rPr>
        <w:t>万元，决算数大于预算数主要是人员增资，项目调整。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o:spid="_x0000_s1028" o:spt="75" type="#_x0000_t75" style="position:absolute;left:0pt;margin-left:10.5pt;margin-top:4.1pt;height:300.5pt;width:401.3pt;z-index:251661312;mso-width-relative:page;mso-height-relative:page;" o:ole="t" fillcolor="#FFFFFF" filled="f" o:preferrelative="t" stroked="f" coordsize="21600,21600">
            <v:path/>
            <v:fill on="f" color2="#FFFFFF" focussize="0,0"/>
            <v:stroke on="f"/>
            <v:imagedata r:id="rId13" gain="65536f" blacklevel="0f" gamma="0" o:title=""/>
            <o:lock v:ext="edit" position="f" selection="f" grouping="f" rotation="f" cropping="f" text="f" aspectratio="t"/>
          </v:shape>
          <o:OLEObject Type="Embed" ProgID="Excel.Chart.8" ShapeID="Picture 4" DrawAspect="Content" ObjectID="_1468075728" r:id="rId12">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282.07</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8.1</w:t>
      </w:r>
      <w:r>
        <w:rPr>
          <w:rFonts w:hint="eastAsia" w:ascii="仿宋_GB2312" w:eastAsia="仿宋_GB2312" w:cs="DengXian-Regular"/>
          <w:sz w:val="32"/>
          <w:szCs w:val="32"/>
        </w:rPr>
        <w:t>万元，占</w:t>
      </w:r>
      <w:r>
        <w:rPr>
          <w:rFonts w:ascii="仿宋_GB2312" w:eastAsia="仿宋_GB2312" w:cs="DengXian-Regular"/>
          <w:sz w:val="32"/>
          <w:szCs w:val="32"/>
        </w:rPr>
        <w:t>2.</w:t>
      </w:r>
      <w:r>
        <w:rPr>
          <w:rFonts w:hint="eastAsia" w:ascii="仿宋_GB2312" w:eastAsia="仿宋_GB2312" w:cs="DengXian-Regular"/>
          <w:sz w:val="32"/>
          <w:szCs w:val="32"/>
          <w:lang w:val="en-US" w:eastAsia="zh-CN"/>
        </w:rPr>
        <w:t>87</w:t>
      </w:r>
      <w:r>
        <w:rPr>
          <w:rFonts w:ascii="仿宋_GB2312" w:eastAsia="仿宋_GB2312" w:cs="DengXian-Regular"/>
          <w:sz w:val="32"/>
          <w:szCs w:val="32"/>
        </w:rPr>
        <w:t>%</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 xml:space="preserve"> 0%</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15.92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5.64</w:t>
      </w:r>
      <w:r>
        <w:rPr>
          <w:rFonts w:ascii="仿宋_GB2312" w:eastAsia="仿宋_GB2312" w:cs="DengXian-Regular"/>
          <w:sz w:val="32"/>
          <w:szCs w:val="32"/>
        </w:rPr>
        <w:t>%</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医疗卫生与计划生育（类）支出</w:t>
      </w:r>
      <w:r>
        <w:rPr>
          <w:rFonts w:hint="eastAsia" w:ascii="仿宋_GB2312" w:eastAsia="仿宋_GB2312" w:cs="DengXian-Regular"/>
          <w:sz w:val="32"/>
          <w:szCs w:val="32"/>
          <w:lang w:val="en-US" w:eastAsia="zh-CN"/>
        </w:rPr>
        <w:t>7.88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2.79</w:t>
      </w:r>
      <w:r>
        <w:rPr>
          <w:rFonts w:ascii="仿宋_GB2312" w:eastAsia="仿宋_GB2312" w:cs="DengXian-Regular"/>
          <w:sz w:val="32"/>
          <w:szCs w:val="32"/>
        </w:rPr>
        <w:t>%</w:t>
      </w:r>
      <w:r>
        <w:rPr>
          <w:rFonts w:hint="eastAsia" w:ascii="仿宋_GB2312" w:eastAsia="仿宋_GB2312" w:cs="DengXian-Regular"/>
          <w:sz w:val="32"/>
          <w:szCs w:val="32"/>
        </w:rPr>
        <w:t>；粮油物资储备（类）支出</w:t>
      </w:r>
      <w:r>
        <w:rPr>
          <w:rFonts w:hint="eastAsia" w:ascii="仿宋_GB2312" w:eastAsia="仿宋_GB2312" w:cs="DengXian-Regular"/>
          <w:sz w:val="32"/>
          <w:szCs w:val="32"/>
          <w:lang w:val="en-US" w:eastAsia="zh-CN"/>
        </w:rPr>
        <w:t>250.17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88.69</w:t>
      </w:r>
      <w:r>
        <w:rPr>
          <w:rFonts w:ascii="仿宋_GB2312" w:eastAsia="仿宋_GB2312" w:cs="DengXian-Regular"/>
          <w:sz w:val="32"/>
          <w:szCs w:val="32"/>
        </w:rPr>
        <w:t>%</w:t>
      </w:r>
      <w:r>
        <w:rPr>
          <w:rFonts w:hint="eastAsia" w:ascii="仿宋_GB2312" w:eastAsia="仿宋_GB2312" w:cs="DengXian-Regular"/>
          <w:sz w:val="32"/>
          <w:szCs w:val="32"/>
        </w:rPr>
        <w:t>；其他支出（类）支出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o:spid="_x0000_s1029" o:spt="75" type="#_x0000_t75" style="position:absolute;left:0pt;margin-left:14.65pt;margin-top:4.4pt;height:279.4pt;width:385.75pt;z-index:251662336;mso-width-relative:page;mso-height-relative:page;" o:ole="t" fillcolor="#FFFFFF" filled="f" o:preferrelative="t" stroked="f" coordsize="21600,21600">
            <v:path/>
            <v:fill on="f" color2="#FFFFFF" focussize="0,0"/>
            <v:stroke on="f"/>
            <v:imagedata r:id="rId15" gain="65536f" blacklevel="0f" gamma="0" o:title=""/>
            <o:lock v:ext="edit" position="f" selection="f" grouping="f" rotation="f" cropping="f" text="f" aspectratio="t"/>
          </v:shape>
          <o:OLEObject Type="Embed" ProgID="Excel.Chart.8" ShapeID="Picture 5" DrawAspect="Content" ObjectID="_1468075729" r:id="rId14">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黑体" w:eastAsia="黑体"/>
          <w:b w:val="0"/>
          <w:bCs w:val="0"/>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190.50</w:t>
      </w:r>
      <w:r>
        <w:rPr>
          <w:rFonts w:hint="eastAsia" w:ascii="仿宋_GB2312" w:eastAsia="仿宋_GB2312" w:cs="DengXian-Regular"/>
          <w:sz w:val="32"/>
          <w:szCs w:val="32"/>
        </w:rPr>
        <w:t>万元，其中：人员经费</w:t>
      </w:r>
      <w:r>
        <w:rPr>
          <w:rFonts w:ascii="仿宋_GB2312" w:eastAsia="仿宋_GB2312" w:cs="DengXian-Regular"/>
          <w:sz w:val="32"/>
          <w:szCs w:val="32"/>
        </w:rPr>
        <w:t>175.83</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14.67</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3.07</w:t>
      </w:r>
      <w:r>
        <w:rPr>
          <w:rFonts w:hint="eastAsia" w:eastAsia="仿宋_GB2312"/>
          <w:sz w:val="32"/>
          <w:szCs w:val="32"/>
        </w:rPr>
        <w:t>万元，比年初预算减少</w:t>
      </w:r>
      <w:r>
        <w:rPr>
          <w:rFonts w:hint="eastAsia" w:eastAsia="仿宋_GB2312"/>
          <w:sz w:val="32"/>
          <w:szCs w:val="32"/>
          <w:lang w:val="en-US" w:eastAsia="zh-CN"/>
        </w:rPr>
        <w:t>0.67</w:t>
      </w:r>
      <w:r>
        <w:rPr>
          <w:rFonts w:hint="eastAsia" w:eastAsia="仿宋_GB2312"/>
          <w:sz w:val="32"/>
          <w:szCs w:val="32"/>
        </w:rPr>
        <w:t>万元，降低</w:t>
      </w:r>
      <w:r>
        <w:rPr>
          <w:rFonts w:hint="eastAsia" w:eastAsia="仿宋_GB2312"/>
          <w:sz w:val="32"/>
          <w:szCs w:val="32"/>
          <w:lang w:val="en-US" w:eastAsia="zh-CN"/>
        </w:rPr>
        <w:t>17.91</w:t>
      </w:r>
      <w:r>
        <w:rPr>
          <w:rFonts w:eastAsia="仿宋_GB2312"/>
          <w:sz w:val="32"/>
          <w:szCs w:val="32"/>
        </w:rPr>
        <w:t>%</w:t>
      </w:r>
      <w:r>
        <w:rPr>
          <w:rFonts w:hint="eastAsia" w:eastAsia="仿宋_GB2312"/>
          <w:sz w:val="32"/>
          <w:szCs w:val="32"/>
        </w:rPr>
        <w:t>，主要是厉行节约，压减</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经费支出；比</w:t>
      </w:r>
      <w:r>
        <w:rPr>
          <w:rFonts w:eastAsia="仿宋_GB2312"/>
          <w:sz w:val="32"/>
          <w:szCs w:val="32"/>
        </w:rPr>
        <w:t>2017</w:t>
      </w:r>
      <w:r>
        <w:rPr>
          <w:rFonts w:hint="eastAsia" w:eastAsia="仿宋_GB2312"/>
          <w:sz w:val="32"/>
          <w:szCs w:val="32"/>
        </w:rPr>
        <w:t>年度决算减少</w:t>
      </w:r>
      <w:r>
        <w:rPr>
          <w:rFonts w:eastAsia="仿宋_GB2312"/>
          <w:sz w:val="32"/>
          <w:szCs w:val="32"/>
        </w:rPr>
        <w:t>0.38</w:t>
      </w:r>
      <w:r>
        <w:rPr>
          <w:rFonts w:hint="eastAsia" w:eastAsia="仿宋_GB2312"/>
          <w:sz w:val="32"/>
          <w:szCs w:val="32"/>
        </w:rPr>
        <w:t>万元，降低</w:t>
      </w:r>
      <w:r>
        <w:rPr>
          <w:rFonts w:eastAsia="仿宋_GB2312"/>
          <w:sz w:val="32"/>
          <w:szCs w:val="32"/>
        </w:rPr>
        <w:t>11.1%</w:t>
      </w:r>
      <w:r>
        <w:rPr>
          <w:rFonts w:hint="eastAsia" w:eastAsia="仿宋_GB2312"/>
          <w:sz w:val="32"/>
          <w:szCs w:val="32"/>
        </w:rPr>
        <w:t>，主要是厉行节约，压减</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，主要是未发生因公出国（境）费支出，较</w:t>
      </w:r>
      <w:r>
        <w:rPr>
          <w:rFonts w:eastAsia="仿宋_GB2312"/>
          <w:sz w:val="32"/>
          <w:szCs w:val="32"/>
        </w:rPr>
        <w:t>2017</w:t>
      </w:r>
      <w:r>
        <w:rPr>
          <w:rFonts w:hint="eastAsia" w:eastAsia="仿宋_GB2312"/>
          <w:sz w:val="32"/>
          <w:szCs w:val="32"/>
        </w:rPr>
        <w:t>年决算无增减变化。</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w:t>
      </w:r>
      <w:r>
        <w:rPr>
          <w:rFonts w:hint="eastAsia" w:eastAsia="楷体_GB2312"/>
          <w:b/>
          <w:bCs/>
          <w:sz w:val="32"/>
          <w:szCs w:val="32"/>
          <w:lang w:eastAsia="zh-CN"/>
        </w:rPr>
        <w:t>二）</w:t>
      </w:r>
      <w:r>
        <w:rPr>
          <w:rFonts w:hint="eastAsia" w:eastAsia="楷体_GB2312"/>
          <w:b/>
          <w:bCs/>
          <w:sz w:val="32"/>
          <w:szCs w:val="32"/>
        </w:rPr>
        <w:t>公务用车购置及运行维护费支出</w:t>
      </w:r>
      <w:r>
        <w:rPr>
          <w:rFonts w:eastAsia="楷体_GB2312"/>
          <w:b/>
          <w:bCs/>
          <w:sz w:val="32"/>
          <w:szCs w:val="32"/>
        </w:rPr>
        <w:t>3.07</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0.43</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12.29%</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0.38</w:t>
      </w:r>
      <w:r>
        <w:rPr>
          <w:rFonts w:hint="eastAsia" w:eastAsia="仿宋_GB2312"/>
          <w:sz w:val="32"/>
          <w:szCs w:val="32"/>
        </w:rPr>
        <w:t>万元，降低</w:t>
      </w:r>
      <w:r>
        <w:rPr>
          <w:rFonts w:eastAsia="仿宋_GB2312"/>
          <w:sz w:val="32"/>
          <w:szCs w:val="32"/>
        </w:rPr>
        <w:t>11.1%</w:t>
      </w:r>
      <w:r>
        <w:rPr>
          <w:rFonts w:hint="eastAsia" w:eastAsia="仿宋_GB2312"/>
          <w:sz w:val="32"/>
          <w:szCs w:val="32"/>
        </w:rPr>
        <w:t>，主要是</w:t>
      </w:r>
      <w:r>
        <w:rPr>
          <w:rFonts w:hint="eastAsia" w:ascii="仿宋_GB2312" w:eastAsia="仿宋_GB2312" w:cs="DengXian-Regular"/>
          <w:sz w:val="32"/>
          <w:szCs w:val="32"/>
        </w:rPr>
        <w:t>厉行节约，压减支出</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，主要是未发生公务用车购置费支出，较</w:t>
      </w:r>
      <w:r>
        <w:rPr>
          <w:rFonts w:eastAsia="仿宋_GB2312"/>
          <w:sz w:val="32"/>
          <w:szCs w:val="32"/>
        </w:rPr>
        <w:t>2017</w:t>
      </w:r>
      <w:r>
        <w:rPr>
          <w:rFonts w:hint="eastAsia" w:eastAsia="仿宋_GB2312"/>
          <w:sz w:val="32"/>
          <w:szCs w:val="32"/>
        </w:rPr>
        <w:t>年决算无增减变化。</w:t>
      </w:r>
    </w:p>
    <w:p>
      <w:pPr>
        <w:widowControl w:val="0"/>
        <w:wordWrap/>
        <w:adjustRightInd w:val="0"/>
        <w:snapToGrid w:val="0"/>
        <w:spacing w:after="0" w:line="584" w:lineRule="exact"/>
        <w:ind w:left="0" w:leftChars="0" w:right="0" w:firstLine="643" w:firstLineChars="200"/>
        <w:jc w:val="both"/>
        <w:textAlignment w:val="auto"/>
        <w:outlineLvl w:val="9"/>
        <w:rPr>
          <w:rFonts w:hint="eastAsia" w:eastAsia="仿宋_GB2312"/>
          <w:sz w:val="32"/>
          <w:szCs w:val="32"/>
        </w:rPr>
      </w:pPr>
      <w:r>
        <w:rPr>
          <w:rFonts w:hint="eastAsia" w:eastAsia="仿宋_GB2312"/>
          <w:b/>
          <w:sz w:val="32"/>
          <w:szCs w:val="32"/>
        </w:rPr>
        <w:t>公务用车运行维护费支出</w:t>
      </w:r>
      <w:r>
        <w:rPr>
          <w:rFonts w:eastAsia="仿宋_GB2312"/>
          <w:b/>
          <w:sz w:val="32"/>
          <w:szCs w:val="32"/>
        </w:rPr>
        <w:t>3.07</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1</w:t>
      </w:r>
      <w:r>
        <w:rPr>
          <w:rFonts w:hint="eastAsia" w:eastAsia="仿宋_GB2312"/>
          <w:sz w:val="32"/>
          <w:szCs w:val="32"/>
        </w:rPr>
        <w:t>辆。公车运行维护费支出比年初预算减少</w:t>
      </w:r>
      <w:r>
        <w:rPr>
          <w:rFonts w:eastAsia="仿宋_GB2312"/>
          <w:sz w:val="32"/>
          <w:szCs w:val="32"/>
        </w:rPr>
        <w:t>0.43</w:t>
      </w:r>
      <w:r>
        <w:rPr>
          <w:rFonts w:hint="eastAsia" w:eastAsia="仿宋_GB2312"/>
          <w:sz w:val="32"/>
          <w:szCs w:val="32"/>
        </w:rPr>
        <w:t>万元，降低</w:t>
      </w:r>
      <w:r>
        <w:rPr>
          <w:rFonts w:eastAsia="仿宋_GB2312"/>
          <w:sz w:val="32"/>
          <w:szCs w:val="32"/>
        </w:rPr>
        <w:t>12.29%</w:t>
      </w:r>
      <w:r>
        <w:rPr>
          <w:rFonts w:hint="eastAsia" w:eastAsia="仿宋_GB2312"/>
          <w:sz w:val="32"/>
          <w:szCs w:val="32"/>
        </w:rPr>
        <w:t>，主要是厉行节约，压减公车运行维护费支出；比</w:t>
      </w:r>
      <w:r>
        <w:rPr>
          <w:rFonts w:eastAsia="仿宋_GB2312"/>
          <w:sz w:val="32"/>
          <w:szCs w:val="32"/>
        </w:rPr>
        <w:t>2017</w:t>
      </w:r>
      <w:r>
        <w:rPr>
          <w:rFonts w:hint="eastAsia" w:eastAsia="仿宋_GB2312"/>
          <w:sz w:val="32"/>
          <w:szCs w:val="32"/>
        </w:rPr>
        <w:t>年度决算减少</w:t>
      </w:r>
      <w:r>
        <w:rPr>
          <w:rFonts w:eastAsia="仿宋_GB2312"/>
          <w:sz w:val="32"/>
          <w:szCs w:val="32"/>
        </w:rPr>
        <w:t>0.38</w:t>
      </w:r>
      <w:r>
        <w:rPr>
          <w:rFonts w:hint="eastAsia" w:eastAsia="仿宋_GB2312"/>
          <w:sz w:val="32"/>
          <w:szCs w:val="32"/>
        </w:rPr>
        <w:t>万元，降低</w:t>
      </w:r>
      <w:r>
        <w:rPr>
          <w:rFonts w:eastAsia="仿宋_GB2312"/>
          <w:sz w:val="32"/>
          <w:szCs w:val="32"/>
        </w:rPr>
        <w:t>11.1%</w:t>
      </w:r>
      <w:r>
        <w:rPr>
          <w:rFonts w:hint="eastAsia" w:eastAsia="仿宋_GB2312"/>
          <w:sz w:val="32"/>
          <w:szCs w:val="32"/>
        </w:rPr>
        <w:t>，主要是厉行节约，压减公车运行维护费支出</w:t>
      </w:r>
      <w:r>
        <w:rPr>
          <w:rFonts w:hint="eastAsia" w:eastAsia="仿宋_GB2312"/>
          <w:sz w:val="32"/>
          <w:szCs w:val="32"/>
          <w:lang w:eastAsia="zh-CN"/>
        </w:rPr>
        <w:t>。</w:t>
      </w:r>
    </w:p>
    <w:p>
      <w:pPr>
        <w:widowControl w:val="0"/>
        <w:wordWrap/>
        <w:adjustRightInd w:val="0"/>
        <w:snapToGrid w:val="0"/>
        <w:spacing w:after="0" w:line="584" w:lineRule="exact"/>
        <w:ind w:left="0" w:leftChars="0" w:right="0" w:firstLine="643" w:firstLineChars="200"/>
        <w:jc w:val="both"/>
        <w:textAlignment w:val="auto"/>
        <w:outlineLvl w:val="9"/>
        <w:rPr>
          <w:highlight w:val="yellow"/>
        </w:rPr>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，主要是未发生公务接待费支出，较</w:t>
      </w:r>
      <w:r>
        <w:rPr>
          <w:rFonts w:eastAsia="仿宋_GB2312"/>
          <w:sz w:val="32"/>
          <w:szCs w:val="32"/>
        </w:rPr>
        <w:t>2017</w:t>
      </w:r>
      <w:r>
        <w:rPr>
          <w:rFonts w:hint="eastAsia" w:eastAsia="仿宋_GB2312"/>
          <w:sz w:val="32"/>
          <w:szCs w:val="32"/>
        </w:rPr>
        <w:t>年决算无增减变化。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要求，结合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（二）项目绩效自评结果。</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t>全年工作任务基本完成。</w:t>
      </w:r>
      <w:r>
        <w:rPr>
          <w:rFonts w:hint="eastAsia" w:ascii="仿宋_GB2312" w:eastAsia="仿宋_GB2312" w:cs="DengXian-Regular"/>
          <w:sz w:val="32"/>
          <w:szCs w:val="32"/>
        </w:rPr>
        <w:t>全面完成军粮应急供应仓储设施维修改造项目，完成直属库外延道路修建工程扫尾及项目验收结算工作，做好粮食安全责任制考核工作，推动我县各项粮食工作稳步发展，加强直属库管理，确保各级储备粮安全，加强粮食市场的执法检查，维护我县粮食市场秩序，积极保障国家粮食安全，搞好安全生产和信访稳定，安全生产</w:t>
      </w:r>
      <w:r>
        <w:rPr>
          <w:rFonts w:hint="eastAsia" w:ascii="仿宋_GB2312" w:eastAsia="仿宋_GB2312" w:cs="DengXian-Regular"/>
          <w:sz w:val="32"/>
          <w:szCs w:val="32"/>
          <w:lang w:eastAsia="zh-CN"/>
        </w:rPr>
        <w:t>零</w:t>
      </w:r>
      <w:r>
        <w:rPr>
          <w:rFonts w:hint="eastAsia" w:ascii="仿宋_GB2312" w:eastAsia="仿宋_GB2312" w:cs="DengXian-Regular"/>
          <w:sz w:val="32"/>
          <w:szCs w:val="32"/>
        </w:rPr>
        <w:t>事故，</w:t>
      </w:r>
      <w:r>
        <w:rPr>
          <w:rFonts w:hint="eastAsia" w:ascii="仿宋_GB2312" w:eastAsia="仿宋_GB2312" w:cs="DengXian-Regular"/>
          <w:sz w:val="32"/>
          <w:szCs w:val="32"/>
          <w:lang w:eastAsia="zh-CN"/>
        </w:rPr>
        <w:t>未</w:t>
      </w:r>
      <w:r>
        <w:rPr>
          <w:rFonts w:hint="eastAsia" w:ascii="仿宋_GB2312" w:eastAsia="仿宋_GB2312" w:cs="DengXian-Regular"/>
          <w:sz w:val="32"/>
          <w:szCs w:val="32"/>
        </w:rPr>
        <w:t>发生非法上访。自评为优。</w:t>
      </w:r>
    </w:p>
    <w:p>
      <w:pPr>
        <w:widowControl w:val="0"/>
        <w:numPr>
          <w:ilvl w:val="0"/>
          <w:numId w:val="0"/>
        </w:numPr>
        <w:wordWrap/>
        <w:adjustRightInd w:val="0"/>
        <w:snapToGrid w:val="0"/>
        <w:spacing w:after="0" w:line="580" w:lineRule="exact"/>
        <w:ind w:leftChars="200" w:right="0"/>
        <w:jc w:val="both"/>
        <w:textAlignment w:val="auto"/>
        <w:outlineLvl w:val="9"/>
        <w:rPr>
          <w:rFonts w:hint="eastAsia"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粮食信息统计调查。绩效目标：</w:t>
      </w:r>
      <w:r>
        <w:rPr>
          <w:rFonts w:hint="eastAsia" w:ascii="仿宋_GB2312" w:hAnsi="仿宋_GB2312" w:eastAsia="仿宋_GB2312" w:cs="仿宋_GB2312"/>
          <w:color w:val="000000"/>
          <w:kern w:val="0"/>
          <w:sz w:val="32"/>
          <w:szCs w:val="32"/>
        </w:rPr>
        <w:t>确保粮食产、购、销、存、加等数据以及仓储设施、国有资产、经济效益等宏观信息及时上报、汇总，保证数据信息全面、完整、正确、及时</w:t>
      </w:r>
      <w:r>
        <w:rPr>
          <w:rFonts w:hint="eastAsia" w:ascii="仿宋_GB2312" w:hAnsi="仿宋_GB2312" w:eastAsia="仿宋_GB2312" w:cs="仿宋_GB2312"/>
          <w:color w:val="000000"/>
          <w:kern w:val="0"/>
          <w:sz w:val="32"/>
          <w:szCs w:val="32"/>
          <w:lang w:eastAsia="zh-CN"/>
        </w:rPr>
        <w:t>。自评结果：数据报送及时、数据完整性</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eastAsia="zh-CN"/>
        </w:rPr>
        <w:t>、数据正确率</w:t>
      </w:r>
      <w:r>
        <w:rPr>
          <w:rFonts w:hint="eastAsia" w:ascii="仿宋_GB2312" w:hAnsi="仿宋_GB2312" w:eastAsia="仿宋_GB2312" w:cs="仿宋_GB2312"/>
          <w:color w:val="000000"/>
          <w:kern w:val="0"/>
          <w:sz w:val="32"/>
          <w:szCs w:val="32"/>
          <w:lang w:val="en-US" w:eastAsia="zh-CN"/>
        </w:rPr>
        <w:t>100%，自评为优。</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粮食监督检查。绩效目标：</w:t>
      </w:r>
      <w:r>
        <w:rPr>
          <w:rFonts w:hint="eastAsia" w:ascii="仿宋_GB2312" w:hAnsi="仿宋_GB2312" w:eastAsia="仿宋_GB2312" w:cs="仿宋_GB2312"/>
          <w:color w:val="000000"/>
          <w:kern w:val="0"/>
          <w:sz w:val="32"/>
          <w:szCs w:val="32"/>
        </w:rPr>
        <w:t>根据河北省粮食流通管理规定，对县辖区内的粮食经营企业及个人进行粮食流通监督检查，切实维护粮食市场秩序和粮食安全</w:t>
      </w:r>
      <w:r>
        <w:rPr>
          <w:rFonts w:hint="eastAsia" w:ascii="仿宋_GB2312" w:hAnsi="仿宋_GB2312" w:eastAsia="仿宋_GB2312" w:cs="仿宋_GB2312"/>
          <w:color w:val="000000"/>
          <w:kern w:val="0"/>
          <w:sz w:val="32"/>
          <w:szCs w:val="32"/>
          <w:lang w:eastAsia="zh-CN"/>
        </w:rPr>
        <w:t>。自评结果：检查覆盖率</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eastAsia="zh-CN"/>
        </w:rPr>
        <w:t>、执法</w:t>
      </w:r>
      <w:r>
        <w:rPr>
          <w:rFonts w:hint="eastAsia" w:ascii="仿宋_GB2312" w:hAnsi="仿宋_GB2312" w:eastAsia="仿宋_GB2312" w:cs="仿宋_GB2312"/>
          <w:color w:val="000000"/>
          <w:kern w:val="0"/>
          <w:sz w:val="32"/>
          <w:szCs w:val="32"/>
        </w:rPr>
        <w:t>办案结案率</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办案及时</w:t>
      </w:r>
      <w:r>
        <w:rPr>
          <w:rFonts w:hint="eastAsia" w:ascii="仿宋_GB2312" w:hAnsi="仿宋_GB2312" w:eastAsia="仿宋_GB2312" w:cs="仿宋_GB2312"/>
          <w:color w:val="000000"/>
          <w:kern w:val="0"/>
          <w:sz w:val="32"/>
          <w:szCs w:val="32"/>
          <w:lang w:eastAsia="zh-CN"/>
        </w:rPr>
        <w:t>率</w:t>
      </w:r>
      <w:r>
        <w:rPr>
          <w:rFonts w:hint="eastAsia" w:ascii="仿宋_GB2312" w:hAnsi="仿宋_GB2312" w:eastAsia="仿宋_GB2312" w:cs="仿宋_GB2312"/>
          <w:color w:val="000000"/>
          <w:kern w:val="0"/>
          <w:sz w:val="32"/>
          <w:szCs w:val="32"/>
          <w:lang w:val="en-US" w:eastAsia="zh-CN"/>
        </w:rPr>
        <w:t>100%，自评为优。</w:t>
      </w:r>
    </w:p>
    <w:p>
      <w:pPr>
        <w:widowControl w:val="0"/>
        <w:wordWrap/>
        <w:adjustRightInd/>
        <w:snapToGrid/>
        <w:spacing w:after="0" w:line="560" w:lineRule="exact"/>
        <w:ind w:left="0" w:leftChars="0" w:right="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14.67</w:t>
      </w:r>
      <w:r>
        <w:rPr>
          <w:rFonts w:hint="eastAsia" w:ascii="仿宋_GB2312" w:eastAsia="仿宋_GB2312" w:cs="DengXian-Regular"/>
          <w:sz w:val="32"/>
          <w:szCs w:val="32"/>
        </w:rPr>
        <w:t>万元，比年初预算数减少</w:t>
      </w:r>
      <w:r>
        <w:rPr>
          <w:rFonts w:ascii="仿宋_GB2312" w:eastAsia="仿宋_GB2312" w:cs="DengXian-Regular"/>
          <w:sz w:val="32"/>
          <w:szCs w:val="32"/>
        </w:rPr>
        <w:t>1.57</w:t>
      </w:r>
      <w:r>
        <w:rPr>
          <w:rFonts w:hint="eastAsia" w:ascii="仿宋_GB2312" w:eastAsia="仿宋_GB2312" w:cs="DengXian-Regular"/>
          <w:sz w:val="32"/>
          <w:szCs w:val="32"/>
        </w:rPr>
        <w:t>万元，降低</w:t>
      </w:r>
      <w:r>
        <w:rPr>
          <w:rFonts w:ascii="仿宋_GB2312" w:eastAsia="仿宋_GB2312" w:cs="DengXian-Regular"/>
          <w:sz w:val="32"/>
          <w:szCs w:val="32"/>
        </w:rPr>
        <w:t>9.67</w:t>
      </w:r>
      <w:r>
        <w:rPr>
          <w:rFonts w:eastAsia="仿宋_GB2312"/>
          <w:sz w:val="32"/>
          <w:szCs w:val="32"/>
        </w:rPr>
        <w:t>%</w:t>
      </w:r>
      <w:r>
        <w:rPr>
          <w:rFonts w:hint="eastAsia" w:ascii="仿宋_GB2312" w:eastAsia="仿宋_GB2312" w:cs="DengXian-Regular"/>
          <w:sz w:val="32"/>
          <w:szCs w:val="32"/>
        </w:rPr>
        <w:t>。主要是厉行节约，压减</w:t>
      </w:r>
      <w:r>
        <w:rPr>
          <w:rFonts w:hint="eastAsia" w:ascii="仿宋_GB2312" w:eastAsia="仿宋_GB2312" w:cs="DengXian-Regular"/>
          <w:sz w:val="32"/>
          <w:szCs w:val="32"/>
          <w:lang w:eastAsia="zh-CN"/>
        </w:rPr>
        <w:t>机关运行经费</w:t>
      </w:r>
      <w:r>
        <w:rPr>
          <w:rFonts w:hint="eastAsia" w:ascii="仿宋_GB2312" w:eastAsia="仿宋_GB2312" w:cs="DengXian-Regular"/>
          <w:sz w:val="32"/>
          <w:szCs w:val="32"/>
        </w:rPr>
        <w:t>支出。</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eastAsia="仿宋_GB2312"/>
          <w:sz w:val="32"/>
          <w:szCs w:val="32"/>
        </w:rPr>
        <w:t>0.06</w:t>
      </w:r>
      <w:r>
        <w:rPr>
          <w:rFonts w:hint="eastAsia" w:eastAsia="仿宋_GB2312"/>
          <w:sz w:val="32"/>
          <w:szCs w:val="32"/>
        </w:rPr>
        <w:t>万元，降低</w:t>
      </w:r>
      <w:r>
        <w:rPr>
          <w:rFonts w:eastAsia="仿宋_GB2312"/>
          <w:sz w:val="32"/>
          <w:szCs w:val="32"/>
        </w:rPr>
        <w:t>0.41%</w:t>
      </w:r>
      <w:r>
        <w:rPr>
          <w:rFonts w:hint="eastAsia" w:eastAsia="仿宋_GB2312"/>
          <w:sz w:val="32"/>
          <w:szCs w:val="32"/>
        </w:rPr>
        <w:t>，主要是</w:t>
      </w:r>
      <w:r>
        <w:rPr>
          <w:rFonts w:hint="eastAsia" w:ascii="仿宋_GB2312" w:eastAsia="仿宋_GB2312" w:cs="DengXian-Regular"/>
          <w:sz w:val="32"/>
          <w:szCs w:val="32"/>
        </w:rPr>
        <w:t>厉行节约，压减</w:t>
      </w:r>
      <w:r>
        <w:rPr>
          <w:rFonts w:hint="eastAsia" w:ascii="仿宋_GB2312" w:eastAsia="仿宋_GB2312" w:cs="DengXian-Regular"/>
          <w:sz w:val="32"/>
          <w:szCs w:val="32"/>
          <w:lang w:eastAsia="zh-CN"/>
        </w:rPr>
        <w:t>机关运行经费</w:t>
      </w:r>
      <w:r>
        <w:rPr>
          <w:rFonts w:hint="eastAsia" w:ascii="仿宋_GB2312" w:eastAsia="仿宋_GB2312" w:cs="DengXian-Regular"/>
          <w:sz w:val="32"/>
          <w:szCs w:val="32"/>
        </w:rPr>
        <w:t>支出</w:t>
      </w:r>
      <w:r>
        <w:rPr>
          <w:rFonts w:hint="eastAsia"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1</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年度政府采购无收支及结转结余情况，故</w:t>
      </w:r>
      <w:r>
        <w:rPr>
          <w:rFonts w:ascii="仿宋_GB2312" w:eastAsia="仿宋_GB2312" w:cs="DengXian-Regular"/>
          <w:sz w:val="32"/>
          <w:szCs w:val="32"/>
        </w:rPr>
        <w:t>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30412"/>
    <w:rsid w:val="000475A0"/>
    <w:rsid w:val="00067693"/>
    <w:rsid w:val="000838C3"/>
    <w:rsid w:val="000B2446"/>
    <w:rsid w:val="000D7C65"/>
    <w:rsid w:val="000E2F81"/>
    <w:rsid w:val="00101F8D"/>
    <w:rsid w:val="0010667B"/>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623F8"/>
    <w:rsid w:val="00493686"/>
    <w:rsid w:val="004A4CFE"/>
    <w:rsid w:val="004B6E37"/>
    <w:rsid w:val="004C32BA"/>
    <w:rsid w:val="004C68EF"/>
    <w:rsid w:val="004D17A6"/>
    <w:rsid w:val="00575922"/>
    <w:rsid w:val="005A3C0D"/>
    <w:rsid w:val="005A6C90"/>
    <w:rsid w:val="005B37E6"/>
    <w:rsid w:val="005E3FB0"/>
    <w:rsid w:val="005F4B66"/>
    <w:rsid w:val="005F5208"/>
    <w:rsid w:val="00615C31"/>
    <w:rsid w:val="00641318"/>
    <w:rsid w:val="0064405D"/>
    <w:rsid w:val="00695557"/>
    <w:rsid w:val="006C01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36AB9"/>
    <w:rsid w:val="00B43277"/>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65E7A0C"/>
    <w:rsid w:val="081F0112"/>
    <w:rsid w:val="0B60750A"/>
    <w:rsid w:val="0DDF436C"/>
    <w:rsid w:val="10686488"/>
    <w:rsid w:val="10DF728A"/>
    <w:rsid w:val="10F51D5F"/>
    <w:rsid w:val="1264200E"/>
    <w:rsid w:val="12DB528D"/>
    <w:rsid w:val="12E27C04"/>
    <w:rsid w:val="141C5B77"/>
    <w:rsid w:val="17C545D9"/>
    <w:rsid w:val="18D8339D"/>
    <w:rsid w:val="1A21388F"/>
    <w:rsid w:val="1A570D2F"/>
    <w:rsid w:val="1C1823A7"/>
    <w:rsid w:val="223B5A35"/>
    <w:rsid w:val="22AD24F0"/>
    <w:rsid w:val="23746A36"/>
    <w:rsid w:val="27DB6CEF"/>
    <w:rsid w:val="28FB0B8D"/>
    <w:rsid w:val="2C981BB3"/>
    <w:rsid w:val="2D2B7942"/>
    <w:rsid w:val="2D46481D"/>
    <w:rsid w:val="2E733B28"/>
    <w:rsid w:val="31852B5A"/>
    <w:rsid w:val="32D01238"/>
    <w:rsid w:val="341D1F2A"/>
    <w:rsid w:val="3D564895"/>
    <w:rsid w:val="3DFC59A8"/>
    <w:rsid w:val="3ECF245E"/>
    <w:rsid w:val="3FAD6E46"/>
    <w:rsid w:val="3FB96314"/>
    <w:rsid w:val="40061999"/>
    <w:rsid w:val="413A7DAE"/>
    <w:rsid w:val="4C5329C8"/>
    <w:rsid w:val="53A44FAF"/>
    <w:rsid w:val="5556068C"/>
    <w:rsid w:val="594329EC"/>
    <w:rsid w:val="5BEE1540"/>
    <w:rsid w:val="5DE61A5D"/>
    <w:rsid w:val="5F9C6D68"/>
    <w:rsid w:val="63C04243"/>
    <w:rsid w:val="649C01C7"/>
    <w:rsid w:val="699A3F60"/>
    <w:rsid w:val="6C101F9B"/>
    <w:rsid w:val="6F896F89"/>
    <w:rsid w:val="72902E62"/>
    <w:rsid w:val="72DC1715"/>
    <w:rsid w:val="73C61104"/>
    <w:rsid w:val="755509F2"/>
    <w:rsid w:val="776452EA"/>
    <w:rsid w:val="79AA156D"/>
    <w:rsid w:val="7A9426EF"/>
    <w:rsid w:val="7DC663B9"/>
    <w:rsid w:val="7FD2103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黑体" w:cs="Cambri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qFormat="1"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unhideWhenUsed/>
    <w:qFormat/>
    <w:uiPriority w:val="99"/>
    <w:tblPr>
      <w:tblCellMar>
        <w:top w:w="0" w:type="dxa"/>
        <w:left w:w="108" w:type="dxa"/>
        <w:bottom w:w="0" w:type="dxa"/>
        <w:right w:w="108" w:type="dxa"/>
      </w:tblCellMar>
    </w:tblPr>
  </w:style>
  <w:style w:type="paragraph" w:styleId="6">
    <w:name w:val="Date"/>
    <w:basedOn w:val="1"/>
    <w:next w:val="1"/>
    <w:link w:val="21"/>
    <w:semiHidden/>
    <w:qFormat/>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List Paragraph"/>
    <w:basedOn w:val="1"/>
    <w:qFormat/>
    <w:uiPriority w:val="99"/>
    <w:pPr>
      <w:ind w:firstLine="420" w:firstLineChars="200"/>
    </w:pPr>
  </w:style>
  <w:style w:type="character" w:customStyle="1" w:styleId="17">
    <w:name w:val="Heading 1 Char"/>
    <w:basedOn w:val="14"/>
    <w:link w:val="2"/>
    <w:locked/>
    <w:uiPriority w:val="99"/>
    <w:rPr>
      <w:rFonts w:ascii="Times New Roman" w:hAnsi="Times New Roman" w:eastAsia="宋体" w:cs="Times New Roman"/>
      <w:b/>
      <w:bCs/>
      <w:kern w:val="44"/>
      <w:sz w:val="44"/>
      <w:szCs w:val="44"/>
    </w:rPr>
  </w:style>
  <w:style w:type="character" w:customStyle="1" w:styleId="18">
    <w:name w:val="Heading 2 Char"/>
    <w:basedOn w:val="14"/>
    <w:link w:val="3"/>
    <w:locked/>
    <w:uiPriority w:val="99"/>
    <w:rPr>
      <w:rFonts w:ascii="Calibri" w:hAnsi="Calibri" w:eastAsia="宋体" w:cs="Times New Roman"/>
      <w:b/>
      <w:bCs/>
      <w:sz w:val="32"/>
      <w:szCs w:val="32"/>
    </w:rPr>
  </w:style>
  <w:style w:type="character" w:customStyle="1" w:styleId="19">
    <w:name w:val="Heading 3 Char"/>
    <w:basedOn w:val="14"/>
    <w:link w:val="4"/>
    <w:locked/>
    <w:uiPriority w:val="99"/>
    <w:rPr>
      <w:rFonts w:ascii="Times New Roman" w:hAnsi="Times New Roman" w:eastAsia="宋体" w:cs="Times New Roman"/>
      <w:b/>
      <w:bCs/>
      <w:sz w:val="32"/>
      <w:szCs w:val="32"/>
    </w:rPr>
  </w:style>
  <w:style w:type="character" w:customStyle="1" w:styleId="20">
    <w:name w:val="Heading 4 Char"/>
    <w:basedOn w:val="14"/>
    <w:link w:val="5"/>
    <w:qFormat/>
    <w:locked/>
    <w:uiPriority w:val="99"/>
    <w:rPr>
      <w:rFonts w:ascii="Calibri" w:hAnsi="Calibri" w:eastAsia="宋体" w:cs="Times New Roman"/>
      <w:b/>
      <w:bCs/>
      <w:sz w:val="28"/>
      <w:szCs w:val="28"/>
    </w:rPr>
  </w:style>
  <w:style w:type="character" w:customStyle="1" w:styleId="21">
    <w:name w:val="Date Char"/>
    <w:basedOn w:val="14"/>
    <w:link w:val="6"/>
    <w:semiHidden/>
    <w:locked/>
    <w:uiPriority w:val="99"/>
    <w:rPr>
      <w:rFonts w:ascii="Times New Roman" w:hAnsi="Times New Roman" w:eastAsia="宋体" w:cs="Times New Roman"/>
      <w:sz w:val="24"/>
      <w:szCs w:val="24"/>
    </w:rPr>
  </w:style>
  <w:style w:type="character" w:customStyle="1" w:styleId="22">
    <w:name w:val="Balloon Text Char"/>
    <w:basedOn w:val="14"/>
    <w:link w:val="7"/>
    <w:semiHidden/>
    <w:locked/>
    <w:uiPriority w:val="99"/>
    <w:rPr>
      <w:rFonts w:ascii="Times New Roman" w:hAnsi="Times New Roman" w:eastAsia="宋体" w:cs="Times New Roman"/>
      <w:sz w:val="18"/>
      <w:szCs w:val="18"/>
    </w:rPr>
  </w:style>
  <w:style w:type="character" w:customStyle="1" w:styleId="23">
    <w:name w:val="Footer Char"/>
    <w:basedOn w:val="14"/>
    <w:link w:val="8"/>
    <w:locked/>
    <w:uiPriority w:val="99"/>
    <w:rPr>
      <w:rFonts w:cs="Times New Roman"/>
      <w:sz w:val="18"/>
      <w:szCs w:val="18"/>
    </w:rPr>
  </w:style>
  <w:style w:type="character" w:customStyle="1" w:styleId="24">
    <w:name w:val="Header Char"/>
    <w:basedOn w:val="14"/>
    <w:link w:val="9"/>
    <w:locked/>
    <w:uiPriority w:val="99"/>
    <w:rPr>
      <w:rFonts w:cs="Times New Roman"/>
      <w:sz w:val="18"/>
      <w:szCs w:val="18"/>
    </w:rPr>
  </w:style>
  <w:style w:type="character" w:customStyle="1" w:styleId="25">
    <w:name w:val="Subtitle Char"/>
    <w:basedOn w:val="14"/>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4"/>
    <w:link w:val="11"/>
    <w:locked/>
    <w:uiPriority w:val="99"/>
    <w:rPr>
      <w:rFonts w:ascii="Calibri" w:hAnsi="Calibri" w:eastAsia="宋体" w:cs="Times New Roman"/>
      <w:color w:val="3A2C24"/>
      <w:spacing w:val="5"/>
      <w:kern w:val="28"/>
      <w:sz w:val="52"/>
      <w:szCs w:val="52"/>
    </w:rPr>
  </w:style>
  <w:style w:type="character" w:customStyle="1" w:styleId="27">
    <w:name w:val="No Spacing Char"/>
    <w:basedOn w:val="14"/>
    <w:link w:val="15"/>
    <w:locked/>
    <w:uiPriority w:val="99"/>
    <w:rPr>
      <w:rFonts w:cs="Times New Roman"/>
      <w:sz w:val="22"/>
      <w:szCs w:val="22"/>
      <w:lang w:val="en-US" w:eastAsia="zh-CN" w:bidi="ar-SA"/>
    </w:rPr>
  </w:style>
  <w:style w:type="character" w:customStyle="1" w:styleId="28">
    <w:name w:val="Style1"/>
    <w:basedOn w:val="14"/>
    <w:uiPriority w:val="99"/>
    <w:rPr>
      <w:rFonts w:ascii="Cambria" w:hAnsi="黑体" w:eastAsia="黑体" w:cs="Times New Roman"/>
      <w:sz w:val="22"/>
      <w:szCs w:val="22"/>
      <w:lang w:eastAsia="zh-CN"/>
    </w:rPr>
  </w:style>
  <w:style w:type="character" w:customStyle="1" w:styleId="29">
    <w:name w:val="Style2"/>
    <w:basedOn w:val="14"/>
    <w:uiPriority w:val="99"/>
    <w:rPr>
      <w:rFonts w:ascii="Cambria" w:hAnsi="黑体" w:eastAsia="黑体" w:cs="Times New Roman"/>
      <w:sz w:val="22"/>
      <w:szCs w:val="22"/>
      <w:lang w:eastAsia="zh-CN"/>
    </w:rPr>
  </w:style>
  <w:style w:type="character" w:customStyle="1" w:styleId="30">
    <w:name w:val="Style3"/>
    <w:basedOn w:val="14"/>
    <w:uiPriority w:val="99"/>
    <w:rPr>
      <w:rFonts w:ascii="Cambria" w:hAnsi="黑体" w:eastAsia="黑体" w:cs="Times New Roman"/>
      <w:sz w:val="22"/>
      <w:szCs w:val="22"/>
      <w:lang w:eastAsia="zh-CN"/>
    </w:rPr>
  </w:style>
  <w:style w:type="character" w:customStyle="1" w:styleId="31">
    <w:name w:val="Style4"/>
    <w:basedOn w:val="14"/>
    <w:qFormat/>
    <w:uiPriority w:val="99"/>
    <w:rPr>
      <w:rFonts w:ascii="Cambria" w:hAnsi="黑体" w:eastAsia="黑体" w:cs="Times New Roman"/>
      <w:sz w:val="22"/>
      <w:szCs w:val="22"/>
      <w:lang w:eastAsia="zh-CN"/>
    </w:rPr>
  </w:style>
  <w:style w:type="character" w:customStyle="1" w:styleId="32">
    <w:name w:val="Style5"/>
    <w:basedOn w:val="14"/>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34</Pages>
  <Words>1225</Words>
  <Characters>6985</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2019-11-13T07:58:00Z</cp:lastPrinted>
  <dcterms:modified xsi:type="dcterms:W3CDTF">2024-01-18T03:17:29Z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57C75E2B2F5F4FDF9969A58E34402A31</vt:lpwstr>
  </property>
</Properties>
</file>