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26"/>
        </w:tabs>
        <w:ind w:firstLine="880" w:firstLineChars="200"/>
        <w:jc w:val="center"/>
        <w:rPr>
          <w:rFonts w:ascii="方正小标宋简体" w:hAnsi="宋体" w:eastAsia="方正小标宋简体" w:cs="Times New Roman"/>
          <w:sz w:val="44"/>
          <w:szCs w:val="44"/>
        </w:rPr>
      </w:pPr>
      <w:r>
        <w:rPr>
          <w:rFonts w:ascii="方正小标宋简体" w:hAnsi="宋体" w:eastAsia="方正小标宋简体" w:cs="方正小标宋简体"/>
          <w:sz w:val="44"/>
          <w:szCs w:val="44"/>
        </w:rPr>
        <w:t>2017</w:t>
      </w:r>
      <w:r>
        <w:rPr>
          <w:rFonts w:hint="eastAsia" w:ascii="方正小标宋简体" w:hAnsi="宋体" w:eastAsia="方正小标宋简体" w:cs="方正小标宋简体"/>
          <w:sz w:val="44"/>
          <w:szCs w:val="44"/>
        </w:rPr>
        <w:t>年度大城县国土资源局部门决算信息公开情况说明</w:t>
      </w:r>
    </w:p>
    <w:p>
      <w:pPr>
        <w:ind w:firstLine="880" w:firstLineChars="200"/>
        <w:jc w:val="center"/>
        <w:rPr>
          <w:rFonts w:ascii="宋体" w:cs="Times New Roman"/>
          <w:sz w:val="44"/>
          <w:szCs w:val="44"/>
        </w:rPr>
      </w:pPr>
    </w:p>
    <w:p>
      <w:pPr>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按照《预算法》、《河北省财政厅关于印发&lt;河北省预决算公开操作规程实施细则＞的通知》（冀财预[2016]129号）等规定，现将大城县国土资源局2017年部门决算公开如下：</w:t>
      </w:r>
    </w:p>
    <w:p>
      <w:pPr>
        <w:ind w:firstLine="640"/>
        <w:rPr>
          <w:rFonts w:ascii="黑体" w:hAnsi="黑体" w:eastAsia="黑体" w:cs="Times New Roman"/>
          <w:sz w:val="32"/>
          <w:szCs w:val="32"/>
        </w:rPr>
      </w:pPr>
      <w:r>
        <w:rPr>
          <w:rFonts w:hint="eastAsia" w:ascii="黑体" w:hAnsi="黑体" w:eastAsia="黑体" w:cs="黑体"/>
          <w:sz w:val="32"/>
          <w:szCs w:val="32"/>
        </w:rPr>
        <w:t>一、部门职责及机构设置情况</w:t>
      </w:r>
    </w:p>
    <w:p>
      <w:pPr>
        <w:ind w:firstLine="643" w:firstLineChars="200"/>
        <w:rPr>
          <w:rFonts w:ascii="楷体" w:hAnsi="楷体" w:eastAsia="楷体" w:cs="Times New Roman"/>
          <w:b/>
          <w:bCs/>
          <w:sz w:val="32"/>
          <w:szCs w:val="32"/>
        </w:rPr>
      </w:pPr>
      <w:r>
        <w:rPr>
          <w:rFonts w:hint="eastAsia" w:ascii="楷体" w:hAnsi="楷体" w:eastAsia="楷体" w:cs="楷体"/>
          <w:b/>
          <w:bCs/>
          <w:sz w:val="32"/>
          <w:szCs w:val="32"/>
        </w:rPr>
        <w:t>部门职责：</w:t>
      </w:r>
    </w:p>
    <w:p>
      <w:pPr>
        <w:ind w:firstLine="640" w:firstLineChars="200"/>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eastAsia="zh-CN"/>
        </w:rPr>
        <w:t>（一）贯彻实施国家有关国土资源管理法律、行政法规，承担保护与合理利用全县土地资源、矿产资源等自然资源的责任。组织拟订国土资源发展规划，开展国土资源经济形式分析，研究提出国土资源供需总量平衡的政策建议，参与宏观经济运行、区域协调、城乡统筹的研究，并拟订涉及国土资源的调控政策和措施。编制并组织实施国土规划，组织实施国土资源领域资源节约集约利用和循环经济的政策措施。</w:t>
      </w:r>
    </w:p>
    <w:p>
      <w:pPr>
        <w:ind w:firstLine="640" w:firstLineChars="200"/>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eastAsia="zh-CN"/>
        </w:rPr>
        <w:t>（二）承担规范全县国土资源管理秩序的责任。贯彻执行国土资源法律法规，制定有关适宜本地区可持续发展的地方性政策并监督实施。指导乡（镇）国土资源行政执法工作，调查处理区域内国土资源重大违法案件。</w:t>
      </w:r>
    </w:p>
    <w:p>
      <w:pPr>
        <w:ind w:firstLine="640" w:firstLineChars="200"/>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eastAsia="zh-CN"/>
        </w:rPr>
        <w:t>（三）承担优化配置全县国土资源的责任。编制和组织实施土地利用总体规划、土地利用年度计划、土地整理复垦开发规划和其他专项规划、计划。参与审核报省、市、县政府审批的城市总体规划。指导和审核乡（镇）土地利用总体规划，组织编制矿产资源、地质勘查和地质环境等规划以及地质灾害防治、矿产环境保护等有关专项规划并监督检查执行情况。参与审核报省、市、县政府审批的涉及土地、矿产的相关规划。</w:t>
      </w:r>
    </w:p>
    <w:p>
      <w:pPr>
        <w:ind w:firstLine="640" w:firstLineChars="200"/>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eastAsia="zh-CN"/>
        </w:rPr>
        <w:t>（四）负责规范全县国土资源权属管理。依法保护土地资源、矿产资源等自然资源所有者和使用者的合法权益，组织调处重大权属纠纷，依法进行土地确权，承担各类土地登记资料的收集、整理、共享和汇交管理，提供社会查询服务。</w:t>
      </w:r>
    </w:p>
    <w:p>
      <w:pPr>
        <w:ind w:firstLine="640" w:firstLineChars="200"/>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eastAsia="zh-CN"/>
        </w:rPr>
        <w:t>（五）承担全县耕地保护的责任。贯彻和落实国家和省的耕地保护政策，贯彻落实基本农田保护制度及占用耕地补偿制度。监督并指导未利用土地开发、土地整理、土地复垦和耕地开发工作。组织实施土地用途管制、农用地转用和土地征收，承担报省、市政府审批的各类用地的审核、报批工作。</w:t>
      </w:r>
    </w:p>
    <w:p>
      <w:pPr>
        <w:ind w:firstLine="640" w:firstLineChars="200"/>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eastAsia="zh-CN"/>
        </w:rPr>
        <w:t>（六）承担提供全县土地利用各种数据的责任。组织实施国家和省的地籍管理办法，组织土地资源调查、地籍调查、土地统计和动态监测，依法开展地籍调查、登记和土地分等定级工作。</w:t>
      </w:r>
    </w:p>
    <w:p>
      <w:pPr>
        <w:ind w:firstLine="640" w:firstLineChars="200"/>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eastAsia="zh-CN"/>
        </w:rPr>
        <w:t>（七）承担节约集约利用全市土地资源的责任。管理和监督城乡建设用地供应、政府土地储备、土地开发和节约集约利用。拟订并按规定组织实施土地使用权出让、租赁、作价出资、转让等地方性管理办法。建立基准地价、标定地价等政府公示地价制度，规范农村集体建设用地使用权的流转。执行国家禁止和限制供地、划拨用地目录等，承担报省、市、县政府审批的改制企业的国有土地资产方案的审核工作。</w:t>
      </w:r>
    </w:p>
    <w:p>
      <w:pPr>
        <w:ind w:firstLine="640" w:firstLineChars="200"/>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eastAsia="zh-CN"/>
        </w:rPr>
        <w:t>（八）承担规范全县国土资源市场秩序的责任。监测土地市场和建设用地利用情况，监管地价，规范和监督矿业权市场，对矿业权人勘查、开采活动进行监督管理，规范和监管国土资源相关社会中介组织，依法查处违法行为。</w:t>
      </w:r>
    </w:p>
    <w:p>
      <w:pPr>
        <w:ind w:firstLine="640" w:firstLineChars="200"/>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eastAsia="zh-CN"/>
        </w:rPr>
        <w:t>（九）负责全县矿产资源开发的管理。依法管理矿产权的审批登记发证和出让、转让审批登记，组织编制实施矿产权设置方案。</w:t>
      </w:r>
    </w:p>
    <w:p>
      <w:pPr>
        <w:ind w:firstLine="640" w:firstLineChars="200"/>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eastAsia="zh-CN"/>
        </w:rPr>
        <w:t>（十）承担全县地质灾害预防、治理的责任。指导应急处置，组织、协调、指导和监督地质灾害防治工作，拟订并组织实施地质灾害等国土资源突发事件应急预案。</w:t>
      </w:r>
    </w:p>
    <w:p>
      <w:pPr>
        <w:ind w:firstLine="640" w:firstLineChars="200"/>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eastAsia="zh-CN"/>
        </w:rPr>
        <w:t>（十一）依法征收资源收益，规范、监督资金使用，拟订县土地、矿产资源参与经济调控的政策措施。依法组织土地、矿产资源专项收入的征管，配合有关部门拟订收益分配制度，配合有关部门指导、监督土地整理复垦开发资金的收取和使用。参与管理土地、矿产等资源性资产。负责有关资金、基金的预算和财务、资产管理与监督。</w:t>
      </w:r>
    </w:p>
    <w:p>
      <w:pPr>
        <w:ind w:firstLine="640" w:firstLineChars="200"/>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eastAsia="zh-CN"/>
        </w:rPr>
        <w:t>（十二）负责全县测绘行业、测绘市场、测绘技术管理。</w:t>
      </w:r>
    </w:p>
    <w:p>
      <w:pPr>
        <w:ind w:firstLine="640" w:firstLineChars="200"/>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eastAsia="zh-CN"/>
        </w:rPr>
        <w:t>（十三）组织制定全县国土资源科技发展和人才培养规划、计划，推进国土资源信息化和信息资料的公共服务。开展对外合作与交流，管理国土资源分局领导班子和干部。</w:t>
      </w:r>
    </w:p>
    <w:p>
      <w:pPr>
        <w:ind w:firstLine="640" w:firstLineChars="200"/>
        <w:rPr>
          <w:rFonts w:hint="eastAsia" w:ascii="楷体_GB2312" w:hAnsi="楷体_GB2312" w:eastAsia="楷体_GB2312" w:cs="楷体_GB2312"/>
          <w:kern w:val="0"/>
          <w:sz w:val="32"/>
          <w:szCs w:val="32"/>
          <w:lang w:eastAsia="zh-CN"/>
        </w:rPr>
      </w:pPr>
      <w:r>
        <w:rPr>
          <w:rFonts w:hint="eastAsia" w:ascii="仿宋_GB2312" w:hAnsi="仿宋_GB2312" w:eastAsia="仿宋_GB2312" w:cs="仿宋_GB2312"/>
          <w:kern w:val="0"/>
          <w:sz w:val="32"/>
          <w:szCs w:val="32"/>
          <w:lang w:eastAsia="zh-CN"/>
        </w:rPr>
        <w:t>（十四）承办县政府交办的其他事项。</w:t>
      </w:r>
    </w:p>
    <w:p>
      <w:pPr>
        <w:tabs>
          <w:tab w:val="left" w:pos="4935"/>
        </w:tabs>
        <w:ind w:firstLine="630" w:firstLineChars="196"/>
        <w:outlineLvl w:val="0"/>
        <w:rPr>
          <w:rFonts w:ascii="楷体" w:hAnsi="楷体" w:eastAsia="楷体" w:cs="Times New Roman"/>
          <w:b/>
          <w:bCs/>
          <w:sz w:val="32"/>
          <w:szCs w:val="32"/>
        </w:rPr>
      </w:pPr>
    </w:p>
    <w:p>
      <w:pPr>
        <w:ind w:firstLine="630" w:firstLineChars="196"/>
        <w:outlineLvl w:val="0"/>
        <w:rPr>
          <w:rFonts w:ascii="Times New Roman" w:hAnsi="Times New Roman" w:eastAsia="方正小标宋_GBK" w:cs="Times New Roman"/>
          <w:sz w:val="32"/>
          <w:szCs w:val="32"/>
        </w:rPr>
      </w:pPr>
      <w:r>
        <w:rPr>
          <w:rFonts w:hint="eastAsia" w:ascii="楷体" w:hAnsi="楷体" w:eastAsia="楷体" w:cs="楷体"/>
          <w:b/>
          <w:bCs/>
          <w:sz w:val="32"/>
          <w:szCs w:val="32"/>
        </w:rPr>
        <w:t>机构设置：</w:t>
      </w:r>
      <w:r>
        <w:rPr>
          <w:rFonts w:hint="eastAsia" w:ascii="仿宋_GB2312" w:hAnsi="仿宋_GB2312" w:eastAsia="仿宋_GB2312" w:cs="仿宋_GB2312"/>
          <w:kern w:val="0"/>
          <w:sz w:val="32"/>
          <w:szCs w:val="32"/>
        </w:rPr>
        <w:t>部门机构设置情况</w:t>
      </w:r>
    </w:p>
    <w:p>
      <w:pPr>
        <w:autoSpaceDE w:val="0"/>
        <w:autoSpaceDN w:val="0"/>
        <w:adjustRightInd w:val="0"/>
        <w:ind w:firstLine="643" w:firstLineChars="200"/>
        <w:jc w:val="left"/>
        <w:rPr>
          <w:rFonts w:ascii="楷体_GB2312" w:hAnsi="Times New Roman" w:eastAsia="楷体_GB2312" w:cs="Times New Roman"/>
          <w:b/>
          <w:bCs/>
          <w:sz w:val="32"/>
          <w:szCs w:val="32"/>
        </w:rPr>
      </w:pPr>
    </w:p>
    <w:tbl>
      <w:tblPr>
        <w:tblStyle w:val="4"/>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4443" w:type="dxa"/>
            <w:vMerge w:val="restart"/>
            <w:vAlign w:val="center"/>
          </w:tcPr>
          <w:p>
            <w:pPr>
              <w:spacing w:line="300" w:lineRule="exact"/>
              <w:jc w:val="center"/>
              <w:rPr>
                <w:rFonts w:ascii="Times New Roman" w:hAnsi="Times New Roman" w:eastAsia="方正书宋_GBK" w:cs="Times New Roman"/>
                <w:b/>
                <w:szCs w:val="24"/>
              </w:rPr>
            </w:pPr>
            <w:r>
              <w:rPr>
                <w:rFonts w:hint="eastAsia" w:ascii="Times New Roman" w:hAnsi="Times New Roman" w:eastAsia="方正书宋_GBK" w:cs="Times New Roman"/>
                <w:b/>
                <w:szCs w:val="24"/>
              </w:rPr>
              <w:t>单位名称</w:t>
            </w:r>
          </w:p>
        </w:tc>
        <w:tc>
          <w:tcPr>
            <w:tcW w:w="1134" w:type="dxa"/>
            <w:vMerge w:val="restart"/>
            <w:vAlign w:val="center"/>
          </w:tcPr>
          <w:p>
            <w:pPr>
              <w:spacing w:line="300" w:lineRule="exact"/>
              <w:jc w:val="center"/>
              <w:rPr>
                <w:rFonts w:ascii="Times New Roman" w:hAnsi="Times New Roman" w:eastAsia="方正书宋_GBK" w:cs="Times New Roman"/>
                <w:b/>
                <w:szCs w:val="24"/>
              </w:rPr>
            </w:pPr>
            <w:r>
              <w:rPr>
                <w:rFonts w:hint="eastAsia" w:ascii="Times New Roman" w:hAnsi="Times New Roman" w:eastAsia="方正书宋_GBK" w:cs="Times New Roman"/>
                <w:b/>
                <w:szCs w:val="24"/>
              </w:rPr>
              <w:t>单位性质</w:t>
            </w:r>
          </w:p>
        </w:tc>
        <w:tc>
          <w:tcPr>
            <w:tcW w:w="1276" w:type="dxa"/>
            <w:vMerge w:val="restart"/>
            <w:vAlign w:val="center"/>
          </w:tcPr>
          <w:p>
            <w:pPr>
              <w:spacing w:line="300" w:lineRule="exact"/>
              <w:jc w:val="center"/>
              <w:rPr>
                <w:rFonts w:ascii="Times New Roman" w:hAnsi="Times New Roman" w:eastAsia="方正书宋_GBK" w:cs="Times New Roman"/>
                <w:b/>
                <w:szCs w:val="24"/>
              </w:rPr>
            </w:pPr>
            <w:r>
              <w:rPr>
                <w:rFonts w:hint="eastAsia" w:ascii="Times New Roman" w:hAnsi="Times New Roman" w:eastAsia="方正书宋_GBK" w:cs="Times New Roman"/>
                <w:b/>
                <w:szCs w:val="24"/>
              </w:rPr>
              <w:t>单位规格</w:t>
            </w:r>
          </w:p>
        </w:tc>
        <w:tc>
          <w:tcPr>
            <w:tcW w:w="2902" w:type="dxa"/>
            <w:vMerge w:val="restart"/>
            <w:vAlign w:val="center"/>
          </w:tcPr>
          <w:p>
            <w:pPr>
              <w:spacing w:line="300" w:lineRule="exact"/>
              <w:jc w:val="center"/>
              <w:rPr>
                <w:rFonts w:ascii="Times New Roman" w:hAnsi="Times New Roman" w:eastAsia="方正书宋_GBK" w:cs="Times New Roman"/>
                <w:b/>
                <w:szCs w:val="24"/>
              </w:rPr>
            </w:pPr>
            <w:r>
              <w:rPr>
                <w:rFonts w:hint="eastAsia" w:ascii="Times New Roman" w:hAnsi="Times New Roman" w:eastAsia="方正书宋_GBK"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4443" w:type="dxa"/>
            <w:vMerge w:val="continue"/>
            <w:vAlign w:val="center"/>
          </w:tcPr>
          <w:p>
            <w:pPr>
              <w:spacing w:line="300" w:lineRule="exact"/>
              <w:jc w:val="left"/>
              <w:outlineLvl w:val="0"/>
              <w:rPr>
                <w:rFonts w:ascii="Times New Roman" w:hAnsi="Times New Roman" w:cs="Times New Roman"/>
                <w:szCs w:val="24"/>
              </w:rPr>
            </w:pPr>
          </w:p>
        </w:tc>
        <w:tc>
          <w:tcPr>
            <w:tcW w:w="1134" w:type="dxa"/>
            <w:vMerge w:val="continue"/>
            <w:vAlign w:val="center"/>
          </w:tcPr>
          <w:p>
            <w:pPr>
              <w:spacing w:line="300" w:lineRule="exact"/>
              <w:jc w:val="left"/>
              <w:outlineLvl w:val="0"/>
              <w:rPr>
                <w:rFonts w:ascii="Times New Roman" w:hAnsi="Times New Roman" w:cs="Times New Roman"/>
                <w:szCs w:val="24"/>
              </w:rPr>
            </w:pPr>
          </w:p>
        </w:tc>
        <w:tc>
          <w:tcPr>
            <w:tcW w:w="1276" w:type="dxa"/>
            <w:vMerge w:val="continue"/>
            <w:vAlign w:val="center"/>
          </w:tcPr>
          <w:p>
            <w:pPr>
              <w:spacing w:line="300" w:lineRule="exact"/>
              <w:jc w:val="left"/>
              <w:outlineLvl w:val="0"/>
              <w:rPr>
                <w:rFonts w:ascii="Times New Roman" w:hAnsi="Times New Roman" w:cs="Times New Roman"/>
                <w:szCs w:val="24"/>
              </w:rPr>
            </w:pPr>
          </w:p>
        </w:tc>
        <w:tc>
          <w:tcPr>
            <w:tcW w:w="2902" w:type="dxa"/>
            <w:vMerge w:val="continue"/>
            <w:vAlign w:val="center"/>
          </w:tcPr>
          <w:p>
            <w:pPr>
              <w:spacing w:line="300" w:lineRule="exact"/>
              <w:jc w:val="left"/>
              <w:outlineLvl w:val="0"/>
              <w:rPr>
                <w:rFonts w:ascii="Times New Roman" w:hAnsi="Times New Roman"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vAlign w:val="center"/>
          </w:tcPr>
          <w:p>
            <w:pPr>
              <w:spacing w:line="300" w:lineRule="exact"/>
              <w:jc w:val="left"/>
              <w:rPr>
                <w:rFonts w:ascii="Times New Roman" w:hAnsi="Times New Roman" w:eastAsia="方正书宋_GBK" w:cs="Times New Roman"/>
                <w:szCs w:val="24"/>
              </w:rPr>
            </w:pPr>
            <w:r>
              <w:rPr>
                <w:rFonts w:hint="eastAsia" w:ascii="Times New Roman" w:hAnsi="Times New Roman" w:eastAsia="方正书宋_GBK" w:cs="Times New Roman"/>
                <w:szCs w:val="24"/>
              </w:rPr>
              <w:t>大城县国土资源局</w:t>
            </w:r>
          </w:p>
        </w:tc>
        <w:tc>
          <w:tcPr>
            <w:tcW w:w="1134" w:type="dxa"/>
            <w:vAlign w:val="center"/>
          </w:tcPr>
          <w:p>
            <w:pPr>
              <w:spacing w:line="300" w:lineRule="exact"/>
              <w:jc w:val="left"/>
              <w:rPr>
                <w:rFonts w:ascii="Times New Roman" w:hAnsi="Times New Roman" w:eastAsia="方正书宋_GBK" w:cs="Times New Roman"/>
                <w:szCs w:val="24"/>
              </w:rPr>
            </w:pPr>
            <w:r>
              <w:rPr>
                <w:rFonts w:hint="eastAsia" w:ascii="Times New Roman" w:hAnsi="Times New Roman" w:eastAsia="方正书宋_GBK" w:cs="Times New Roman"/>
                <w:szCs w:val="24"/>
              </w:rPr>
              <w:t>行政</w:t>
            </w:r>
          </w:p>
        </w:tc>
        <w:tc>
          <w:tcPr>
            <w:tcW w:w="1276" w:type="dxa"/>
            <w:vAlign w:val="center"/>
          </w:tcPr>
          <w:p>
            <w:pPr>
              <w:spacing w:line="300" w:lineRule="exact"/>
              <w:jc w:val="left"/>
              <w:rPr>
                <w:rFonts w:ascii="Times New Roman" w:hAnsi="Times New Roman" w:eastAsia="方正书宋_GBK" w:cs="Times New Roman"/>
                <w:szCs w:val="24"/>
              </w:rPr>
            </w:pPr>
            <w:r>
              <w:rPr>
                <w:rFonts w:hint="eastAsia" w:ascii="Times New Roman" w:hAnsi="Times New Roman" w:eastAsia="方正书宋_GBK" w:cs="Times New Roman"/>
                <w:szCs w:val="24"/>
              </w:rPr>
              <w:t>正科级</w:t>
            </w:r>
          </w:p>
        </w:tc>
        <w:tc>
          <w:tcPr>
            <w:tcW w:w="2902" w:type="dxa"/>
            <w:vAlign w:val="center"/>
          </w:tcPr>
          <w:p>
            <w:pPr>
              <w:spacing w:line="300" w:lineRule="exact"/>
              <w:jc w:val="left"/>
              <w:rPr>
                <w:rFonts w:ascii="Times New Roman" w:hAnsi="Times New Roman" w:eastAsia="方正书宋_GBK" w:cs="Times New Roman"/>
                <w:szCs w:val="24"/>
              </w:rPr>
            </w:pPr>
            <w:r>
              <w:rPr>
                <w:rFonts w:hint="eastAsia" w:ascii="Times New Roman" w:hAnsi="Times New Roman" w:eastAsia="方正书宋_GBK" w:cs="Times New Roman"/>
                <w:szCs w:val="24"/>
              </w:rP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vAlign w:val="center"/>
          </w:tcPr>
          <w:p>
            <w:pPr>
              <w:spacing w:line="300" w:lineRule="exact"/>
              <w:jc w:val="left"/>
              <w:rPr>
                <w:rFonts w:ascii="Times New Roman" w:hAnsi="Times New Roman" w:eastAsia="方正书宋_GBK" w:cs="Times New Roman"/>
                <w:szCs w:val="24"/>
              </w:rPr>
            </w:pPr>
            <w:r>
              <w:rPr>
                <w:rFonts w:hint="eastAsia" w:ascii="Times New Roman" w:hAnsi="Times New Roman" w:eastAsia="方正书宋_GBK" w:cs="Times New Roman"/>
                <w:szCs w:val="24"/>
              </w:rPr>
              <w:t>大城县土地储备供应中心</w:t>
            </w:r>
          </w:p>
        </w:tc>
        <w:tc>
          <w:tcPr>
            <w:tcW w:w="1134" w:type="dxa"/>
            <w:vAlign w:val="center"/>
          </w:tcPr>
          <w:p>
            <w:pPr>
              <w:spacing w:line="300" w:lineRule="exact"/>
              <w:jc w:val="left"/>
              <w:rPr>
                <w:rFonts w:ascii="Times New Roman" w:hAnsi="Times New Roman" w:eastAsia="方正书宋_GBK" w:cs="Times New Roman"/>
                <w:szCs w:val="24"/>
              </w:rPr>
            </w:pPr>
            <w:r>
              <w:rPr>
                <w:rFonts w:hint="eastAsia" w:ascii="Times New Roman" w:hAnsi="Times New Roman" w:eastAsia="方正书宋_GBK" w:cs="Times New Roman"/>
                <w:szCs w:val="24"/>
              </w:rPr>
              <w:t>事业</w:t>
            </w:r>
          </w:p>
        </w:tc>
        <w:tc>
          <w:tcPr>
            <w:tcW w:w="1276" w:type="dxa"/>
            <w:vAlign w:val="center"/>
          </w:tcPr>
          <w:p>
            <w:pPr>
              <w:spacing w:line="300" w:lineRule="exact"/>
              <w:jc w:val="left"/>
              <w:rPr>
                <w:rFonts w:ascii="Times New Roman" w:hAnsi="Times New Roman" w:eastAsia="方正书宋_GBK" w:cs="Times New Roman"/>
                <w:szCs w:val="24"/>
              </w:rPr>
            </w:pPr>
            <w:r>
              <w:rPr>
                <w:rFonts w:hint="eastAsia" w:ascii="Times New Roman" w:hAnsi="Times New Roman" w:eastAsia="方正书宋_GBK" w:cs="Times New Roman"/>
                <w:szCs w:val="24"/>
              </w:rPr>
              <w:t>正股级</w:t>
            </w:r>
          </w:p>
        </w:tc>
        <w:tc>
          <w:tcPr>
            <w:tcW w:w="2902" w:type="dxa"/>
            <w:vAlign w:val="center"/>
          </w:tcPr>
          <w:p>
            <w:pPr>
              <w:spacing w:line="300" w:lineRule="exact"/>
              <w:jc w:val="left"/>
              <w:rPr>
                <w:rFonts w:ascii="Times New Roman" w:hAnsi="Times New Roman" w:eastAsia="方正书宋_GBK" w:cs="Times New Roman"/>
                <w:szCs w:val="24"/>
              </w:rPr>
            </w:pPr>
            <w:r>
              <w:rPr>
                <w:rFonts w:hint="eastAsia" w:ascii="Times New Roman" w:hAnsi="Times New Roman" w:eastAsia="方正书宋_GBK" w:cs="Times New Roman"/>
                <w:szCs w:val="24"/>
              </w:rPr>
              <w:t>财政性资金基本保证</w:t>
            </w:r>
          </w:p>
        </w:tc>
      </w:tr>
    </w:tbl>
    <w:p>
      <w:pPr>
        <w:ind w:firstLine="640" w:firstLineChars="200"/>
        <w:rPr>
          <w:rFonts w:ascii="黑体" w:hAnsi="黑体" w:eastAsia="黑体" w:cs="Times New Roman"/>
          <w:sz w:val="32"/>
          <w:szCs w:val="32"/>
        </w:rPr>
      </w:pPr>
      <w:r>
        <w:rPr>
          <w:rFonts w:hint="eastAsia" w:ascii="黑体" w:hAnsi="黑体" w:eastAsia="黑体" w:cs="黑体"/>
          <w:sz w:val="32"/>
          <w:szCs w:val="32"/>
        </w:rPr>
        <w:t>二、部门决算报表</w:t>
      </w:r>
    </w:p>
    <w:p>
      <w:pPr>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（一）收入支出决算总表</w:t>
      </w:r>
    </w:p>
    <w:p>
      <w:pPr>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（二）收入决算表</w:t>
      </w:r>
    </w:p>
    <w:p>
      <w:pPr>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（三）支出决算表</w:t>
      </w:r>
    </w:p>
    <w:p>
      <w:pPr>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（四）财政拨款收入支出决算总表</w:t>
      </w:r>
    </w:p>
    <w:p>
      <w:pPr>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（五）一般公共预算财政拨款收入支出决算表</w:t>
      </w:r>
    </w:p>
    <w:p>
      <w:pPr>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（六）一般公共预算财政拨款基本支出决算表</w:t>
      </w:r>
    </w:p>
    <w:p>
      <w:pPr>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（七）政府性基金预算财政拨款收入支出决算表</w:t>
      </w:r>
    </w:p>
    <w:p>
      <w:pPr>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（八）国有资本经营预算财政拨款收入支出决算表</w:t>
      </w:r>
    </w:p>
    <w:p>
      <w:pPr>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（九）“三公”经费及相关信息统计表</w:t>
      </w:r>
    </w:p>
    <w:p>
      <w:pPr>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（十）政府采购情况表</w:t>
      </w:r>
    </w:p>
    <w:p>
      <w:pPr>
        <w:widowControl/>
        <w:spacing w:line="360" w:lineRule="auto"/>
        <w:ind w:firstLine="640" w:firstLineChars="200"/>
        <w:jc w:val="left"/>
        <w:rPr>
          <w:rFonts w:ascii="黑体" w:hAnsi="黑体" w:eastAsia="黑体" w:cs="Times New Roman"/>
          <w:kern w:val="0"/>
          <w:sz w:val="32"/>
          <w:szCs w:val="32"/>
        </w:rPr>
      </w:pPr>
      <w:r>
        <w:rPr>
          <w:rFonts w:hint="eastAsia" w:ascii="黑体" w:hAnsi="黑体" w:eastAsia="黑体" w:cs="黑体"/>
          <w:kern w:val="0"/>
          <w:sz w:val="32"/>
          <w:szCs w:val="32"/>
        </w:rPr>
        <w:t>三、</w:t>
      </w:r>
      <w:r>
        <w:rPr>
          <w:rFonts w:ascii="黑体" w:hAnsi="黑体" w:eastAsia="黑体" w:cs="黑体"/>
          <w:kern w:val="0"/>
          <w:sz w:val="32"/>
          <w:szCs w:val="32"/>
        </w:rPr>
        <w:t>2017</w:t>
      </w:r>
      <w:r>
        <w:rPr>
          <w:rFonts w:hint="eastAsia" w:ascii="黑体" w:hAnsi="黑体" w:eastAsia="黑体" w:cs="黑体"/>
          <w:kern w:val="0"/>
          <w:sz w:val="32"/>
          <w:szCs w:val="32"/>
        </w:rPr>
        <w:t>年度部门决算情况说明</w:t>
      </w:r>
    </w:p>
    <w:p>
      <w:pPr>
        <w:snapToGrid w:val="0"/>
        <w:ind w:firstLine="643"/>
        <w:rPr>
          <w:rFonts w:ascii="楷体" w:hAnsi="楷体" w:eastAsia="楷体" w:cs="Times New Roman"/>
          <w:b/>
          <w:bCs/>
          <w:sz w:val="32"/>
          <w:szCs w:val="32"/>
        </w:rPr>
      </w:pPr>
      <w:r>
        <w:rPr>
          <w:rFonts w:hint="eastAsia" w:ascii="楷体" w:hAnsi="楷体" w:eastAsia="楷体" w:cs="楷体"/>
          <w:b/>
          <w:bCs/>
          <w:sz w:val="32"/>
          <w:szCs w:val="32"/>
        </w:rPr>
        <w:t>（一）收入支出决算总体情况说明</w:t>
      </w:r>
    </w:p>
    <w:p>
      <w:pPr>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反映本部门综合收支情况。2017年决算总收入15575.42万元，2016年决算总收入12087.7万元，比去年增加了3487.72万元,增长28.85%，主要原因是</w:t>
      </w:r>
      <w:bookmarkStart w:id="0" w:name="_GoBack"/>
      <w:bookmarkEnd w:id="0"/>
      <w:r>
        <w:rPr>
          <w:rFonts w:hint="eastAsia" w:ascii="仿宋_GB2312" w:hAnsi="仿宋_GB2312" w:eastAsia="仿宋_GB2312" w:cs="仿宋_GB2312"/>
          <w:kern w:val="0"/>
          <w:sz w:val="32"/>
          <w:szCs w:val="32"/>
        </w:rPr>
        <w:t>项目增多人员调资增资；2017年决算总支出14162.18万元，2016年决算总支出9195.4万元，比去年增加了4966.78万元，增长54.01%，主要原因是项目增加，人员增资，支出量增大。</w:t>
      </w:r>
    </w:p>
    <w:p>
      <w:pPr>
        <w:snapToGrid w:val="0"/>
        <w:ind w:firstLine="643"/>
        <w:rPr>
          <w:rFonts w:ascii="楷体" w:hAnsi="楷体" w:eastAsia="楷体" w:cs="Times New Roman"/>
          <w:b/>
          <w:bCs/>
          <w:sz w:val="32"/>
          <w:szCs w:val="32"/>
        </w:rPr>
      </w:pPr>
      <w:r>
        <w:rPr>
          <w:rFonts w:hint="eastAsia" w:ascii="楷体" w:hAnsi="楷体" w:eastAsia="楷体" w:cs="楷体"/>
          <w:b/>
          <w:bCs/>
          <w:sz w:val="32"/>
          <w:szCs w:val="32"/>
        </w:rPr>
        <w:t>（二）收入决算情况说明</w:t>
      </w:r>
    </w:p>
    <w:p>
      <w:pPr>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反映本部门当年总体收入情况。2017年决算收入15575.42万元，其中：一般公共预算收入4005.15万元，占比25.71%，政府性基金预算收入11570.27万元，占比74.29%。</w:t>
      </w:r>
    </w:p>
    <w:p>
      <w:pPr>
        <w:snapToGrid w:val="0"/>
        <w:ind w:firstLine="643"/>
        <w:rPr>
          <w:rFonts w:ascii="楷体" w:hAnsi="楷体" w:eastAsia="楷体" w:cs="Times New Roman"/>
          <w:b/>
          <w:bCs/>
          <w:sz w:val="32"/>
          <w:szCs w:val="32"/>
        </w:rPr>
      </w:pPr>
      <w:r>
        <w:rPr>
          <w:rFonts w:hint="eastAsia" w:ascii="楷体" w:hAnsi="楷体" w:eastAsia="楷体" w:cs="楷体"/>
          <w:b/>
          <w:bCs/>
          <w:sz w:val="32"/>
          <w:szCs w:val="32"/>
        </w:rPr>
        <w:t>（三）支出决算情况说明</w:t>
      </w:r>
    </w:p>
    <w:p>
      <w:pPr>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反映本部门当年总体支出情况。2017年决算支出14162.18万元，其中：基本支出2092.01万元，占比14.77%，包含人员经费支出1918.92万元和日常公用经费支出173.09万元；项目支出12070.16万元，占比85.23%。</w:t>
      </w:r>
    </w:p>
    <w:p>
      <w:pPr>
        <w:snapToGrid w:val="0"/>
        <w:ind w:firstLine="643"/>
        <w:rPr>
          <w:rFonts w:ascii="楷体" w:hAnsi="楷体" w:eastAsia="楷体" w:cs="Times New Roman"/>
          <w:b/>
          <w:bCs/>
          <w:sz w:val="32"/>
          <w:szCs w:val="32"/>
        </w:rPr>
      </w:pPr>
      <w:r>
        <w:rPr>
          <w:rFonts w:hint="eastAsia" w:ascii="楷体" w:hAnsi="楷体" w:eastAsia="楷体" w:cs="楷体"/>
          <w:b/>
          <w:bCs/>
          <w:sz w:val="32"/>
          <w:szCs w:val="32"/>
        </w:rPr>
        <w:t>（四）财政拨款收入支出决算总体情况说明</w:t>
      </w:r>
    </w:p>
    <w:p>
      <w:pPr>
        <w:ind w:firstLine="640" w:firstLineChars="200"/>
        <w:rPr>
          <w:rFonts w:hint="eastAsia" w:ascii="楷体_GB2312" w:hAnsi="楷体_GB2312" w:eastAsia="楷体_GB2312" w:cs="楷体_GB2312"/>
          <w:kern w:val="0"/>
          <w:sz w:val="32"/>
          <w:szCs w:val="32"/>
        </w:rPr>
      </w:pPr>
      <w:r>
        <w:rPr>
          <w:rFonts w:hint="eastAsia" w:ascii="仿宋_GB2312" w:hAnsi="仿宋_GB2312" w:eastAsia="仿宋_GB2312" w:cs="仿宋_GB2312"/>
          <w:kern w:val="0"/>
          <w:sz w:val="32"/>
          <w:szCs w:val="32"/>
        </w:rPr>
        <w:t>反映本部门财政拨款收支情况</w:t>
      </w:r>
      <w:r>
        <w:rPr>
          <w:rFonts w:hint="eastAsia" w:ascii="楷体_GB2312" w:hAnsi="楷体_GB2312" w:eastAsia="楷体_GB2312" w:cs="楷体_GB2312"/>
          <w:kern w:val="0"/>
          <w:sz w:val="32"/>
          <w:szCs w:val="32"/>
        </w:rPr>
        <w:t>。</w:t>
      </w:r>
    </w:p>
    <w:p>
      <w:pPr>
        <w:pStyle w:val="9"/>
        <w:numPr>
          <w:ilvl w:val="0"/>
          <w:numId w:val="1"/>
        </w:numPr>
        <w:rPr>
          <w:rFonts w:ascii="??" w:hAnsi="??" w:eastAsia="Times New Roman"/>
          <w:b/>
          <w:bCs/>
          <w:sz w:val="32"/>
          <w:szCs w:val="32"/>
        </w:rPr>
      </w:pPr>
      <w:r>
        <w:rPr>
          <w:rFonts w:hint="eastAsia" w:ascii="宋体" w:hAnsi="宋体" w:cs="宋体"/>
          <w:b/>
          <w:bCs/>
          <w:sz w:val="32"/>
          <w:szCs w:val="32"/>
        </w:rPr>
        <w:t>财政拨款收支与</w:t>
      </w:r>
      <w:r>
        <w:rPr>
          <w:rFonts w:ascii="??" w:hAnsi="??" w:eastAsia="Times New Roman" w:cs="??"/>
          <w:b/>
          <w:bCs/>
          <w:sz w:val="32"/>
          <w:szCs w:val="32"/>
        </w:rPr>
        <w:t>2016</w:t>
      </w:r>
      <w:r>
        <w:rPr>
          <w:rFonts w:hint="eastAsia" w:ascii="宋体" w:hAnsi="宋体" w:cs="宋体"/>
          <w:b/>
          <w:bCs/>
          <w:sz w:val="32"/>
          <w:szCs w:val="32"/>
        </w:rPr>
        <w:t>年度决算对比情况</w:t>
      </w:r>
    </w:p>
    <w:p>
      <w:pPr>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大城县国土资源局2017年财政拨款收入决算总计15575.42万元，较2016年度决算增加3487.72万元,增长22.39%，主要原因是项目增加，人员调资增资。其中，一般公共预算拨款减少4922.25万元，政府性基金预算财政拨款增加8409.97万元。2017年财政拨款支出决算总计14162.18万元，较2016年度决算增加4966.78万元，增长54.01%，主要原因是一些项目未实施，资金未支出。其中基本支出增加334.87万元，项目支出增加4631.94万元。</w:t>
      </w:r>
    </w:p>
    <w:p>
      <w:pPr>
        <w:pStyle w:val="9"/>
        <w:ind w:firstLine="640" w:firstLineChars="200"/>
        <w:rPr>
          <w:rFonts w:ascii="??" w:hAnsi="??" w:eastAsia="Times New Roman"/>
          <w:b/>
          <w:bCs/>
          <w:sz w:val="32"/>
          <w:szCs w:val="32"/>
        </w:rPr>
      </w:pPr>
      <w:r>
        <w:rPr>
          <w:rFonts w:ascii="??" w:hAnsi="??" w:eastAsia="Times New Roman" w:cs="??"/>
          <w:b/>
          <w:bCs/>
          <w:sz w:val="32"/>
          <w:szCs w:val="32"/>
        </w:rPr>
        <w:t>2</w:t>
      </w:r>
      <w:r>
        <w:rPr>
          <w:rFonts w:hint="eastAsia" w:ascii="宋体" w:hAnsi="宋体" w:cs="宋体"/>
          <w:b/>
          <w:bCs/>
          <w:sz w:val="32"/>
          <w:szCs w:val="32"/>
        </w:rPr>
        <w:t>、财政拨款收支与年初预算数对比情况</w:t>
      </w:r>
    </w:p>
    <w:p>
      <w:pPr>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大城县国土资源局2017年财政拨款收入决算总计15575.42万元，较年初预算减少1692.43万元，减少9.8%，主要原因是项目的增加。其中，一般公共预算拨款减少1812.49万元，政府性基金预算财政拨款减少3504.92万元。2017年财政拨款支出决算总计14162.18万元，较年初预算减少3105.67万元，下降17.99%，主要原因是一些项目未实施，资金未支出 。其中基本支出增加212.25万元，项目支出减少3317.93万元。</w:t>
      </w:r>
    </w:p>
    <w:p>
      <w:pPr>
        <w:snapToGrid w:val="0"/>
        <w:ind w:firstLine="643"/>
        <w:rPr>
          <w:rFonts w:ascii="楷体" w:hAnsi="楷体" w:eastAsia="楷体" w:cs="Times New Roman"/>
          <w:b/>
          <w:bCs/>
          <w:sz w:val="32"/>
          <w:szCs w:val="32"/>
        </w:rPr>
      </w:pPr>
      <w:r>
        <w:rPr>
          <w:rFonts w:hint="eastAsia" w:ascii="楷体" w:hAnsi="楷体" w:eastAsia="楷体" w:cs="楷体"/>
          <w:b/>
          <w:bCs/>
          <w:sz w:val="32"/>
          <w:szCs w:val="32"/>
        </w:rPr>
        <w:t>（五）“三公”经费支出决算情况说明</w:t>
      </w:r>
    </w:p>
    <w:p>
      <w:pPr>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2017年度部门“三公”经费支出18.5万元，与预算持平，比2016年度决算减少7.2万元。原因是公车改革，我单位公务用车数量减少，我单位厉行节约，严控三公经费支出。</w:t>
      </w:r>
    </w:p>
    <w:p>
      <w:pPr>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其中：因公出国（境）费0万元（本单位2017年度组织出国（境）团组0个，因公出国（境）人次数0人），与预算持平，与2016年度决算持平；公务用车购置及运行维护费17.5万元（公务用车购置数量0辆，购置金额0万元，公车运行维护费17.5万元，年末公务用车保有量5辆），比预算持平，比2016年度决算减少7万元，原因是公车改革，我单位公务用车数量减少，我单位厉行节约，严控公车运维支出；公务接待费1万元（2017年度国内公务接待27批次，合计接待129人次），与预算持平，与2016年度决算减少0.2万元，原因是我部门厉行节约严控公务接待费支出。</w:t>
      </w:r>
    </w:p>
    <w:p>
      <w:pPr>
        <w:spacing w:line="580" w:lineRule="atLeast"/>
        <w:ind w:firstLine="643" w:firstLineChars="200"/>
        <w:rPr>
          <w:rFonts w:ascii="楷体" w:hAnsi="楷体" w:eastAsia="楷体" w:cs="Times New Roman"/>
          <w:b/>
          <w:bCs/>
          <w:sz w:val="32"/>
          <w:szCs w:val="32"/>
        </w:rPr>
      </w:pPr>
      <w:r>
        <w:rPr>
          <w:rFonts w:hint="eastAsia" w:ascii="楷体" w:hAnsi="楷体" w:eastAsia="楷体" w:cs="楷体"/>
          <w:b/>
          <w:bCs/>
          <w:sz w:val="32"/>
          <w:szCs w:val="32"/>
        </w:rPr>
        <w:t>（六）预算绩效管理工作开展情况说明</w:t>
      </w:r>
    </w:p>
    <w:p>
      <w:pPr>
        <w:spacing w:line="580" w:lineRule="atLeast"/>
        <w:ind w:firstLine="640" w:firstLineChars="200"/>
        <w:rPr>
          <w:rFonts w:ascii="??" w:hAnsi="??" w:eastAsia="Times New Roman" w:cs="Times New Roman"/>
          <w:b/>
          <w:bCs/>
          <w:sz w:val="32"/>
          <w:szCs w:val="32"/>
        </w:rPr>
      </w:pPr>
      <w:r>
        <w:rPr>
          <w:rFonts w:ascii="??" w:hAnsi="??" w:eastAsia="Times New Roman" w:cs="??"/>
          <w:b/>
          <w:bCs/>
          <w:sz w:val="32"/>
          <w:szCs w:val="32"/>
        </w:rPr>
        <w:t>1</w:t>
      </w:r>
      <w:r>
        <w:rPr>
          <w:rFonts w:hint="eastAsia" w:ascii="宋体" w:hAnsi="宋体" w:cs="宋体"/>
          <w:b/>
          <w:bCs/>
          <w:sz w:val="32"/>
          <w:szCs w:val="32"/>
        </w:rPr>
        <w:t>、预算绩效管理工作开展情况</w:t>
      </w:r>
    </w:p>
    <w:p>
      <w:pPr>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按照大城县财政局关于绩效预算管理工作的文件精神，我部门健全预算管理体系、提升绩效目标指标设置质量、规范编制本部门预算、规范编制项目预算、规范预算管理流程，所有项目纳入财政预算项目库管理并严格执行预算公开管理制度。在预算执行过程中，加快预算执行进度，加强项目绩效监督评价，并严格执行决算公开制度。在2017年实施的项目中设定具体的绩效目标指标和评价标准，确保达到目标可衡量、可审核、可监控、可获取、可评价、可公开。</w:t>
      </w:r>
    </w:p>
    <w:p>
      <w:pPr>
        <w:spacing w:line="580" w:lineRule="atLeast"/>
        <w:ind w:firstLine="640" w:firstLineChars="200"/>
        <w:rPr>
          <w:rFonts w:ascii="??" w:hAnsi="??" w:eastAsia="Times New Roman" w:cs="Times New Roman"/>
          <w:b/>
          <w:bCs/>
          <w:sz w:val="32"/>
          <w:szCs w:val="32"/>
        </w:rPr>
      </w:pPr>
      <w:r>
        <w:rPr>
          <w:rFonts w:ascii="??" w:hAnsi="??" w:eastAsia="Times New Roman" w:cs="??"/>
          <w:b/>
          <w:bCs/>
          <w:sz w:val="32"/>
          <w:szCs w:val="32"/>
        </w:rPr>
        <w:t>2</w:t>
      </w:r>
      <w:r>
        <w:rPr>
          <w:rFonts w:hint="eastAsia" w:ascii="宋体" w:hAnsi="宋体" w:cs="宋体"/>
          <w:b/>
          <w:bCs/>
          <w:sz w:val="32"/>
          <w:szCs w:val="32"/>
        </w:rPr>
        <w:t>、预算项目绩效评价开展情况</w:t>
      </w:r>
    </w:p>
    <w:p>
      <w:pPr>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按照新预算法要求，以绩效为导向，严格执行绩效预算管理。2017年，按照省市文件要求，我单位重新修订了部门职责、工作活动及绩效评价指标，对预算项目执行及工作活动进行了绩效评价，并将绩效评价加过应用到实际工作中，进一步提升了部门预算绩效管理工作水平。评价结果为</w:t>
      </w:r>
      <w:r>
        <w:rPr>
          <w:rFonts w:hint="eastAsia" w:ascii="仿宋_GB2312" w:hAnsi="仿宋_GB2312" w:eastAsia="仿宋_GB2312" w:cs="仿宋_GB2312"/>
          <w:kern w:val="0"/>
          <w:sz w:val="32"/>
          <w:szCs w:val="32"/>
          <w:lang w:eastAsia="zh-CN"/>
        </w:rPr>
        <w:t>良</w:t>
      </w:r>
      <w:r>
        <w:rPr>
          <w:rFonts w:hint="eastAsia" w:ascii="仿宋_GB2312" w:hAnsi="仿宋_GB2312" w:eastAsia="仿宋_GB2312" w:cs="仿宋_GB2312"/>
          <w:kern w:val="0"/>
          <w:sz w:val="32"/>
          <w:szCs w:val="32"/>
        </w:rPr>
        <w:t>，纲要规划成果完成率为9</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%，绩效指标评价为</w:t>
      </w:r>
      <w:r>
        <w:rPr>
          <w:rFonts w:hint="eastAsia" w:ascii="仿宋_GB2312" w:hAnsi="仿宋_GB2312" w:eastAsia="仿宋_GB2312" w:cs="仿宋_GB2312"/>
          <w:kern w:val="0"/>
          <w:sz w:val="32"/>
          <w:szCs w:val="32"/>
          <w:lang w:eastAsia="zh-CN"/>
        </w:rPr>
        <w:t>良</w:t>
      </w:r>
      <w:r>
        <w:rPr>
          <w:rFonts w:hint="eastAsia" w:ascii="仿宋_GB2312" w:hAnsi="仿宋_GB2312" w:eastAsia="仿宋_GB2312" w:cs="仿宋_GB2312"/>
          <w:kern w:val="0"/>
          <w:sz w:val="32"/>
          <w:szCs w:val="32"/>
        </w:rPr>
        <w:t>，综合利用率为90%，绩效指标评价为良。</w:t>
      </w:r>
    </w:p>
    <w:p>
      <w:pPr>
        <w:spacing w:line="580" w:lineRule="atLeast"/>
        <w:ind w:firstLine="643" w:firstLineChars="200"/>
        <w:rPr>
          <w:rFonts w:hint="eastAsia" w:ascii="??" w:hAnsi="??" w:eastAsia="Times New Roman" w:cs="??"/>
          <w:b/>
          <w:bCs/>
          <w:sz w:val="32"/>
          <w:szCs w:val="32"/>
        </w:rPr>
      </w:pPr>
      <w:r>
        <w:rPr>
          <w:rFonts w:hint="eastAsia" w:ascii="??" w:hAnsi="??" w:cs="??"/>
          <w:b/>
          <w:bCs/>
          <w:sz w:val="32"/>
          <w:szCs w:val="32"/>
          <w:lang w:val="en-US" w:eastAsia="zh-CN"/>
        </w:rPr>
        <w:t>3、</w:t>
      </w:r>
      <w:r>
        <w:rPr>
          <w:rFonts w:hint="eastAsia" w:ascii="??" w:hAnsi="??" w:eastAsia="Times New Roman" w:cs="??"/>
          <w:b/>
          <w:bCs/>
          <w:sz w:val="32"/>
          <w:szCs w:val="32"/>
        </w:rPr>
        <w:t>预算项目绩效自评选例</w:t>
      </w:r>
    </w:p>
    <w:p>
      <w:pPr>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大城县土地整治</w:t>
      </w:r>
      <w:r>
        <w:rPr>
          <w:rFonts w:hint="eastAsia" w:ascii="仿宋_GB2312" w:hAnsi="仿宋_GB2312" w:eastAsia="仿宋_GB2312" w:cs="仿宋_GB2312"/>
          <w:kern w:val="0"/>
          <w:sz w:val="32"/>
          <w:szCs w:val="32"/>
        </w:rPr>
        <w:t>项目</w:t>
      </w:r>
      <w:r>
        <w:rPr>
          <w:rFonts w:hint="eastAsia" w:ascii="仿宋_GB2312" w:hAnsi="仿宋_GB2312" w:eastAsia="仿宋_GB2312" w:cs="仿宋_GB2312"/>
          <w:kern w:val="0"/>
          <w:sz w:val="32"/>
          <w:szCs w:val="32"/>
          <w:lang w:eastAsia="zh-CN"/>
        </w:rPr>
        <w:t>其中权村镇东窑头土地整治项目</w:t>
      </w:r>
      <w:r>
        <w:rPr>
          <w:rFonts w:hint="eastAsia" w:ascii="仿宋_GB2312" w:hAnsi="仿宋_GB2312" w:eastAsia="仿宋_GB2312" w:cs="仿宋_GB2312"/>
          <w:kern w:val="0"/>
          <w:sz w:val="32"/>
          <w:szCs w:val="32"/>
        </w:rPr>
        <w:t>，按照财政部要求和项目实施目的，设定该项目产出指标为产出生态效益，达到社会满意度，效果指标为是达到整治标准，通过上级验收。绩效自评等级为“优”。</w:t>
      </w:r>
    </w:p>
    <w:p>
      <w:pPr>
        <w:spacing w:line="580" w:lineRule="atLeast"/>
        <w:ind w:firstLine="643" w:firstLineChars="200"/>
        <w:rPr>
          <w:rFonts w:ascii="楷体" w:hAnsi="楷体" w:eastAsia="楷体" w:cs="Times New Roman"/>
          <w:b/>
          <w:bCs/>
          <w:sz w:val="32"/>
          <w:szCs w:val="32"/>
        </w:rPr>
      </w:pPr>
      <w:r>
        <w:rPr>
          <w:rFonts w:hint="eastAsia" w:ascii="楷体" w:hAnsi="楷体" w:eastAsia="楷体" w:cs="楷体"/>
          <w:b/>
          <w:bCs/>
          <w:sz w:val="32"/>
          <w:szCs w:val="32"/>
        </w:rPr>
        <w:t>（七）其他重要事项的说明</w:t>
      </w:r>
    </w:p>
    <w:p>
      <w:pPr>
        <w:ind w:firstLine="640" w:firstLineChars="200"/>
        <w:rPr>
          <w:rFonts w:hint="eastAsia" w:ascii="仿宋_GB2312" w:hAnsi="仿宋_GB2312" w:eastAsia="仿宋_GB2312" w:cs="仿宋_GB2312"/>
          <w:kern w:val="0"/>
          <w:sz w:val="32"/>
          <w:szCs w:val="32"/>
        </w:rPr>
      </w:pPr>
      <w:r>
        <w:rPr>
          <w:rFonts w:ascii="??" w:hAnsi="??" w:eastAsia="Times New Roman" w:cs="??"/>
          <w:b/>
          <w:bCs/>
          <w:sz w:val="32"/>
          <w:szCs w:val="32"/>
        </w:rPr>
        <w:t>1</w:t>
      </w:r>
      <w:r>
        <w:rPr>
          <w:rFonts w:hint="eastAsia" w:ascii="宋体" w:hAnsi="宋体" w:cs="宋体"/>
          <w:b/>
          <w:bCs/>
          <w:sz w:val="32"/>
          <w:szCs w:val="32"/>
        </w:rPr>
        <w:t>、机关运行经费情况：</w:t>
      </w:r>
      <w:r>
        <w:rPr>
          <w:rFonts w:hint="eastAsia" w:ascii="仿宋_GB2312" w:hAnsi="仿宋_GB2312" w:eastAsia="仿宋_GB2312" w:cs="仿宋_GB2312"/>
          <w:kern w:val="0"/>
          <w:sz w:val="32"/>
          <w:szCs w:val="32"/>
        </w:rPr>
        <w:t>2017年度部门机关运行经费支出123万元，比2016年度减少62.1万元，下降33.55%。主要原因是我部门厉行节约严控办公、印刷、维修等各项费用的支出；其他资本性支出16.65万元，比去年增加0.95万元，同比增加6.05%,其原因是办公设备老化，更新办公设备支出增加。</w:t>
      </w:r>
    </w:p>
    <w:p>
      <w:pPr>
        <w:ind w:firstLine="640" w:firstLineChars="200"/>
        <w:rPr>
          <w:rFonts w:hint="eastAsia" w:ascii="仿宋_GB2312" w:hAnsi="仿宋_GB2312" w:eastAsia="仿宋_GB2312" w:cs="仿宋_GB2312"/>
          <w:kern w:val="0"/>
          <w:sz w:val="32"/>
          <w:szCs w:val="32"/>
          <w:lang w:eastAsia="zh-CN"/>
        </w:rPr>
      </w:pPr>
      <w:r>
        <w:rPr>
          <w:rFonts w:hint="eastAsia" w:ascii="??" w:hAnsi="??" w:eastAsia="Times New Roman" w:cs="??"/>
          <w:b/>
          <w:bCs/>
          <w:sz w:val="32"/>
          <w:szCs w:val="32"/>
          <w:lang w:eastAsia="zh-CN"/>
        </w:rPr>
        <w:t>2、政府采购情况：</w:t>
      </w:r>
      <w:r>
        <w:rPr>
          <w:rFonts w:hint="eastAsia" w:ascii="仿宋_GB2312" w:hAnsi="仿宋_GB2312" w:eastAsia="仿宋_GB2312" w:cs="仿宋_GB2312"/>
          <w:kern w:val="0"/>
          <w:sz w:val="32"/>
          <w:szCs w:val="32"/>
          <w:lang w:eastAsia="zh-CN"/>
        </w:rPr>
        <w:t>2017年度部门政府采购支出843.22万元，其中：政府采购工程支出712.7万元，政府采购服务支出114.98万元。</w:t>
      </w:r>
    </w:p>
    <w:p>
      <w:pPr>
        <w:ind w:firstLine="640" w:firstLineChars="200"/>
        <w:rPr>
          <w:rFonts w:hint="eastAsia" w:ascii="楷体_GB2312" w:hAnsi="楷体_GB2312" w:eastAsia="楷体_GB2312" w:cs="楷体_GB2312"/>
          <w:kern w:val="0"/>
          <w:sz w:val="32"/>
          <w:szCs w:val="32"/>
        </w:rPr>
      </w:pPr>
      <w:r>
        <w:rPr>
          <w:rFonts w:hint="eastAsia" w:ascii="??" w:hAnsi="??" w:eastAsia="Times New Roman" w:cs="??"/>
          <w:b/>
          <w:bCs/>
          <w:sz w:val="32"/>
          <w:szCs w:val="32"/>
          <w:lang w:eastAsia="zh-CN"/>
        </w:rPr>
        <w:t>3、国有资产占用情况：</w:t>
      </w:r>
      <w:r>
        <w:rPr>
          <w:rFonts w:hint="eastAsia" w:ascii="仿宋_GB2312" w:hAnsi="仿宋_GB2312" w:eastAsia="仿宋_GB2312" w:cs="仿宋_GB2312"/>
          <w:kern w:val="0"/>
          <w:sz w:val="32"/>
          <w:szCs w:val="32"/>
          <w:lang w:eastAsia="zh-CN"/>
        </w:rPr>
        <w:t>截至2017年12月31日，本单位共有车辆5辆，其中，一般公务用车1辆，一般执法执勤用车4辆。单位价值50万元以上通用设备0台（套），单价100万元以上专用设备0台（套）。</w:t>
      </w:r>
    </w:p>
    <w:tbl>
      <w:tblPr>
        <w:tblStyle w:val="4"/>
        <w:tblW w:w="8900" w:type="dxa"/>
        <w:jc w:val="center"/>
        <w:tblLayout w:type="fixed"/>
        <w:tblCellMar>
          <w:top w:w="0" w:type="dxa"/>
          <w:left w:w="108" w:type="dxa"/>
          <w:bottom w:w="0" w:type="dxa"/>
          <w:right w:w="108" w:type="dxa"/>
        </w:tblCellMar>
      </w:tblPr>
      <w:tblGrid>
        <w:gridCol w:w="3449"/>
        <w:gridCol w:w="2081"/>
        <w:gridCol w:w="3370"/>
      </w:tblGrid>
      <w:tr>
        <w:tblPrEx>
          <w:tblCellMar>
            <w:top w:w="0" w:type="dxa"/>
            <w:left w:w="108" w:type="dxa"/>
            <w:bottom w:w="0" w:type="dxa"/>
            <w:right w:w="108" w:type="dxa"/>
          </w:tblCellMar>
        </w:tblPrEx>
        <w:trPr>
          <w:trHeight w:val="575" w:hRule="atLeast"/>
          <w:jc w:val="center"/>
        </w:trPr>
        <w:tc>
          <w:tcPr>
            <w:tcW w:w="8900" w:type="dxa"/>
            <w:gridSpan w:val="3"/>
            <w:tcBorders>
              <w:top w:val="nil"/>
              <w:left w:val="nil"/>
              <w:bottom w:val="nil"/>
              <w:right w:val="nil"/>
            </w:tcBorders>
            <w:vAlign w:val="center"/>
          </w:tcPr>
          <w:p>
            <w:pPr>
              <w:widowControl/>
              <w:spacing w:line="560" w:lineRule="exact"/>
              <w:ind w:firstLine="562" w:firstLineChars="200"/>
              <w:jc w:val="center"/>
              <w:rPr>
                <w:rFonts w:ascii="宋体" w:cs="Times New Roman"/>
                <w:b/>
                <w:bCs/>
                <w:kern w:val="0"/>
                <w:sz w:val="28"/>
                <w:szCs w:val="28"/>
              </w:rPr>
            </w:pPr>
            <w:r>
              <w:rPr>
                <w:rFonts w:hint="eastAsia" w:ascii="宋体" w:hAnsi="宋体" w:cs="宋体"/>
                <w:b/>
                <w:bCs/>
                <w:kern w:val="0"/>
                <w:sz w:val="28"/>
                <w:szCs w:val="28"/>
              </w:rPr>
              <w:t>大城县国土资源局固定资产占用情况表</w:t>
            </w:r>
          </w:p>
          <w:p>
            <w:pPr>
              <w:autoSpaceDE w:val="0"/>
              <w:autoSpaceDN w:val="0"/>
              <w:snapToGrid w:val="0"/>
              <w:spacing w:line="560" w:lineRule="exact"/>
              <w:ind w:firstLine="562" w:firstLineChars="200"/>
              <w:jc w:val="center"/>
              <w:rPr>
                <w:rFonts w:ascii="宋体" w:cs="Times New Roman"/>
                <w:b/>
                <w:bCs/>
                <w:kern w:val="0"/>
                <w:sz w:val="28"/>
                <w:szCs w:val="28"/>
              </w:rPr>
            </w:pPr>
          </w:p>
        </w:tc>
      </w:tr>
      <w:tr>
        <w:tblPrEx>
          <w:tblCellMar>
            <w:top w:w="0" w:type="dxa"/>
            <w:left w:w="108" w:type="dxa"/>
            <w:bottom w:w="0" w:type="dxa"/>
            <w:right w:w="108" w:type="dxa"/>
          </w:tblCellMar>
        </w:tblPrEx>
        <w:trPr>
          <w:trHeight w:val="493" w:hRule="atLeast"/>
          <w:jc w:val="center"/>
        </w:trPr>
        <w:tc>
          <w:tcPr>
            <w:tcW w:w="5530" w:type="dxa"/>
            <w:gridSpan w:val="2"/>
            <w:tcBorders>
              <w:top w:val="nil"/>
              <w:left w:val="nil"/>
              <w:bottom w:val="nil"/>
              <w:right w:val="nil"/>
            </w:tcBorders>
            <w:vAlign w:val="center"/>
          </w:tcPr>
          <w:p>
            <w:pPr>
              <w:widowControl/>
              <w:spacing w:line="560" w:lineRule="exact"/>
              <w:ind w:firstLine="440" w:firstLineChars="200"/>
              <w:rPr>
                <w:rFonts w:cs="Times New Roman"/>
                <w:kern w:val="0"/>
                <w:sz w:val="22"/>
                <w:szCs w:val="22"/>
              </w:rPr>
            </w:pPr>
            <w:r>
              <w:rPr>
                <w:rFonts w:hint="eastAsia" w:ascii="宋体" w:hAnsi="宋体" w:cs="宋体"/>
                <w:kern w:val="0"/>
                <w:sz w:val="22"/>
                <w:szCs w:val="22"/>
              </w:rPr>
              <w:t>编制部门：</w:t>
            </w:r>
            <w:r>
              <w:rPr>
                <w:rFonts w:ascii="宋体" w:hAnsi="宋体" w:cs="宋体"/>
                <w:kern w:val="0"/>
                <w:sz w:val="22"/>
                <w:szCs w:val="22"/>
              </w:rPr>
              <w:t>813</w:t>
            </w:r>
            <w:r>
              <w:rPr>
                <w:rFonts w:hint="eastAsia" w:ascii="宋体" w:hAnsi="宋体" w:cs="宋体"/>
                <w:kern w:val="0"/>
                <w:sz w:val="22"/>
                <w:szCs w:val="22"/>
              </w:rPr>
              <w:t>大城县国土资源局</w:t>
            </w:r>
          </w:p>
        </w:tc>
        <w:tc>
          <w:tcPr>
            <w:tcW w:w="3370" w:type="dxa"/>
            <w:tcBorders>
              <w:top w:val="nil"/>
              <w:left w:val="nil"/>
              <w:bottom w:val="nil"/>
              <w:right w:val="nil"/>
            </w:tcBorders>
            <w:vAlign w:val="center"/>
          </w:tcPr>
          <w:p>
            <w:pPr>
              <w:widowControl/>
              <w:spacing w:line="560" w:lineRule="exact"/>
              <w:rPr>
                <w:rFonts w:cs="Times New Roman"/>
                <w:kern w:val="0"/>
                <w:sz w:val="22"/>
                <w:szCs w:val="22"/>
              </w:rPr>
            </w:pPr>
            <w:r>
              <w:rPr>
                <w:rFonts w:hint="eastAsia" w:cs="宋体"/>
                <w:kern w:val="0"/>
                <w:sz w:val="22"/>
                <w:szCs w:val="22"/>
              </w:rPr>
              <w:t>截止时间：</w:t>
            </w:r>
            <w:r>
              <w:rPr>
                <w:kern w:val="0"/>
                <w:sz w:val="22"/>
                <w:szCs w:val="22"/>
              </w:rPr>
              <w:t>2017</w:t>
            </w:r>
            <w:r>
              <w:rPr>
                <w:rFonts w:hint="eastAsia" w:cs="宋体"/>
                <w:kern w:val="0"/>
                <w:sz w:val="22"/>
                <w:szCs w:val="22"/>
              </w:rPr>
              <w:t>年</w:t>
            </w:r>
            <w:r>
              <w:rPr>
                <w:kern w:val="0"/>
                <w:sz w:val="22"/>
                <w:szCs w:val="22"/>
              </w:rPr>
              <w:t>12</w:t>
            </w:r>
            <w:r>
              <w:rPr>
                <w:rFonts w:hint="eastAsia" w:cs="宋体"/>
                <w:kern w:val="0"/>
                <w:sz w:val="22"/>
                <w:szCs w:val="22"/>
              </w:rPr>
              <w:t>月</w:t>
            </w:r>
            <w:r>
              <w:rPr>
                <w:kern w:val="0"/>
                <w:sz w:val="22"/>
                <w:szCs w:val="22"/>
              </w:rPr>
              <w:t>31</w:t>
            </w:r>
            <w:r>
              <w:rPr>
                <w:rFonts w:hint="eastAsia" w:cs="宋体"/>
                <w:kern w:val="0"/>
                <w:sz w:val="22"/>
                <w:szCs w:val="22"/>
              </w:rPr>
              <w:t>日</w:t>
            </w:r>
          </w:p>
        </w:tc>
      </w:tr>
      <w:tr>
        <w:tblPrEx>
          <w:tblCellMar>
            <w:top w:w="0" w:type="dxa"/>
            <w:left w:w="108" w:type="dxa"/>
            <w:bottom w:w="0" w:type="dxa"/>
            <w:right w:w="108" w:type="dxa"/>
          </w:tblCellMar>
        </w:tblPrEx>
        <w:trPr>
          <w:trHeight w:val="571" w:hRule="atLeast"/>
          <w:jc w:val="center"/>
        </w:trPr>
        <w:tc>
          <w:tcPr>
            <w:tcW w:w="3449" w:type="dxa"/>
            <w:tcBorders>
              <w:top w:val="single" w:color="auto" w:sz="4" w:space="0"/>
              <w:left w:val="single" w:color="auto" w:sz="4" w:space="0"/>
              <w:bottom w:val="single" w:color="auto" w:sz="4" w:space="0"/>
              <w:right w:val="single" w:color="auto" w:sz="4" w:space="0"/>
            </w:tcBorders>
            <w:vAlign w:val="center"/>
          </w:tcPr>
          <w:p>
            <w:pPr>
              <w:widowControl/>
              <w:spacing w:line="560" w:lineRule="exact"/>
              <w:ind w:firstLine="442" w:firstLineChars="200"/>
              <w:rPr>
                <w:rFonts w:cs="Times New Roman"/>
                <w:b/>
                <w:bCs/>
                <w:kern w:val="0"/>
                <w:sz w:val="22"/>
                <w:szCs w:val="22"/>
              </w:rPr>
            </w:pPr>
            <w:r>
              <w:rPr>
                <w:rFonts w:hint="eastAsia" w:cs="宋体"/>
                <w:b/>
                <w:bCs/>
                <w:kern w:val="0"/>
                <w:sz w:val="22"/>
                <w:szCs w:val="22"/>
              </w:rPr>
              <w:t>项目</w:t>
            </w:r>
          </w:p>
        </w:tc>
        <w:tc>
          <w:tcPr>
            <w:tcW w:w="2081" w:type="dxa"/>
            <w:tcBorders>
              <w:top w:val="single" w:color="auto" w:sz="4" w:space="0"/>
              <w:left w:val="nil"/>
              <w:bottom w:val="single" w:color="auto" w:sz="4" w:space="0"/>
              <w:right w:val="single" w:color="auto" w:sz="4" w:space="0"/>
            </w:tcBorders>
            <w:vAlign w:val="center"/>
          </w:tcPr>
          <w:p>
            <w:pPr>
              <w:widowControl/>
              <w:spacing w:line="560" w:lineRule="exact"/>
              <w:ind w:firstLine="442" w:firstLineChars="200"/>
              <w:rPr>
                <w:rFonts w:cs="Times New Roman"/>
                <w:b/>
                <w:bCs/>
                <w:kern w:val="0"/>
                <w:sz w:val="22"/>
                <w:szCs w:val="22"/>
              </w:rPr>
            </w:pPr>
            <w:r>
              <w:rPr>
                <w:rFonts w:hint="eastAsia" w:cs="宋体"/>
                <w:b/>
                <w:bCs/>
                <w:kern w:val="0"/>
                <w:sz w:val="22"/>
                <w:szCs w:val="22"/>
              </w:rPr>
              <w:t>数量</w:t>
            </w:r>
          </w:p>
        </w:tc>
        <w:tc>
          <w:tcPr>
            <w:tcW w:w="3370" w:type="dxa"/>
            <w:tcBorders>
              <w:top w:val="single" w:color="auto" w:sz="4" w:space="0"/>
              <w:left w:val="nil"/>
              <w:bottom w:val="single" w:color="auto" w:sz="4" w:space="0"/>
              <w:right w:val="single" w:color="auto" w:sz="4" w:space="0"/>
            </w:tcBorders>
            <w:vAlign w:val="center"/>
          </w:tcPr>
          <w:p>
            <w:pPr>
              <w:widowControl/>
              <w:spacing w:line="560" w:lineRule="exact"/>
              <w:ind w:firstLine="442" w:firstLineChars="200"/>
              <w:rPr>
                <w:rFonts w:cs="Times New Roman"/>
                <w:b/>
                <w:bCs/>
                <w:kern w:val="0"/>
                <w:sz w:val="22"/>
                <w:szCs w:val="22"/>
              </w:rPr>
            </w:pPr>
            <w:r>
              <w:rPr>
                <w:rFonts w:hint="eastAsia" w:cs="宋体"/>
                <w:b/>
                <w:bCs/>
                <w:kern w:val="0"/>
                <w:sz w:val="22"/>
                <w:szCs w:val="22"/>
              </w:rPr>
              <w:t>价值（金额单位：万元）</w:t>
            </w:r>
          </w:p>
        </w:tc>
      </w:tr>
      <w:tr>
        <w:tblPrEx>
          <w:tblCellMar>
            <w:top w:w="0" w:type="dxa"/>
            <w:left w:w="108" w:type="dxa"/>
            <w:bottom w:w="0" w:type="dxa"/>
            <w:right w:w="108" w:type="dxa"/>
          </w:tblCellMar>
        </w:tblPrEx>
        <w:trPr>
          <w:trHeight w:val="571" w:hRule="atLeast"/>
          <w:jc w:val="center"/>
        </w:trPr>
        <w:tc>
          <w:tcPr>
            <w:tcW w:w="3449" w:type="dxa"/>
            <w:tcBorders>
              <w:top w:val="nil"/>
              <w:left w:val="single" w:color="auto" w:sz="4" w:space="0"/>
              <w:bottom w:val="single" w:color="auto" w:sz="4" w:space="0"/>
              <w:right w:val="single" w:color="auto" w:sz="4" w:space="0"/>
            </w:tcBorders>
            <w:vAlign w:val="center"/>
          </w:tcPr>
          <w:p>
            <w:pPr>
              <w:widowControl/>
              <w:spacing w:line="560" w:lineRule="exact"/>
              <w:ind w:firstLine="440" w:firstLineChars="200"/>
              <w:rPr>
                <w:rFonts w:cs="Times New Roman"/>
                <w:kern w:val="0"/>
                <w:sz w:val="22"/>
                <w:szCs w:val="22"/>
              </w:rPr>
            </w:pPr>
            <w:r>
              <w:rPr>
                <w:rFonts w:hint="eastAsia" w:cs="宋体"/>
                <w:kern w:val="0"/>
                <w:sz w:val="22"/>
                <w:szCs w:val="22"/>
              </w:rPr>
              <w:t>资产总额</w:t>
            </w:r>
          </w:p>
        </w:tc>
        <w:tc>
          <w:tcPr>
            <w:tcW w:w="2081" w:type="dxa"/>
            <w:tcBorders>
              <w:top w:val="nil"/>
              <w:left w:val="nil"/>
              <w:bottom w:val="single" w:color="auto" w:sz="4" w:space="0"/>
              <w:right w:val="single" w:color="auto" w:sz="4" w:space="0"/>
            </w:tcBorders>
            <w:vAlign w:val="center"/>
          </w:tcPr>
          <w:p>
            <w:pPr>
              <w:widowControl/>
              <w:spacing w:line="560" w:lineRule="exact"/>
              <w:ind w:firstLine="440" w:firstLineChars="200"/>
              <w:rPr>
                <w:rFonts w:cs="Times New Roman"/>
                <w:kern w:val="0"/>
                <w:sz w:val="22"/>
                <w:szCs w:val="22"/>
              </w:rPr>
            </w:pPr>
            <w:r>
              <w:rPr>
                <w:kern w:val="0"/>
                <w:sz w:val="22"/>
                <w:szCs w:val="22"/>
              </w:rPr>
              <w:t>——</w:t>
            </w:r>
          </w:p>
        </w:tc>
        <w:tc>
          <w:tcPr>
            <w:tcW w:w="3370" w:type="dxa"/>
            <w:tcBorders>
              <w:top w:val="nil"/>
              <w:left w:val="nil"/>
              <w:bottom w:val="single" w:color="auto" w:sz="4" w:space="0"/>
              <w:right w:val="single" w:color="auto" w:sz="4" w:space="0"/>
            </w:tcBorders>
            <w:vAlign w:val="center"/>
          </w:tcPr>
          <w:p>
            <w:pPr>
              <w:widowControl/>
              <w:spacing w:line="560" w:lineRule="exact"/>
              <w:ind w:firstLine="440" w:firstLineChars="200"/>
              <w:rPr>
                <w:rFonts w:cs="Times New Roman"/>
                <w:kern w:val="0"/>
                <w:sz w:val="22"/>
                <w:szCs w:val="22"/>
              </w:rPr>
            </w:pPr>
            <w:r>
              <w:rPr>
                <w:rFonts w:ascii="宋体" w:hAnsi="宋体" w:cs="宋体"/>
                <w:kern w:val="0"/>
                <w:sz w:val="22"/>
              </w:rPr>
              <w:t>922.1058</w:t>
            </w:r>
          </w:p>
        </w:tc>
      </w:tr>
      <w:tr>
        <w:tblPrEx>
          <w:tblCellMar>
            <w:top w:w="0" w:type="dxa"/>
            <w:left w:w="108" w:type="dxa"/>
            <w:bottom w:w="0" w:type="dxa"/>
            <w:right w:w="108" w:type="dxa"/>
          </w:tblCellMar>
        </w:tblPrEx>
        <w:trPr>
          <w:trHeight w:val="571" w:hRule="atLeast"/>
          <w:jc w:val="center"/>
        </w:trPr>
        <w:tc>
          <w:tcPr>
            <w:tcW w:w="3449" w:type="dxa"/>
            <w:tcBorders>
              <w:top w:val="nil"/>
              <w:left w:val="single" w:color="auto" w:sz="4" w:space="0"/>
              <w:bottom w:val="single" w:color="auto" w:sz="4" w:space="0"/>
              <w:right w:val="single" w:color="auto" w:sz="4" w:space="0"/>
            </w:tcBorders>
            <w:vAlign w:val="center"/>
          </w:tcPr>
          <w:p>
            <w:pPr>
              <w:widowControl/>
              <w:spacing w:line="560" w:lineRule="exact"/>
              <w:ind w:firstLine="440" w:firstLineChars="200"/>
              <w:rPr>
                <w:rFonts w:cs="Times New Roman"/>
                <w:kern w:val="0"/>
                <w:sz w:val="22"/>
                <w:szCs w:val="22"/>
              </w:rPr>
            </w:pPr>
            <w:r>
              <w:rPr>
                <w:kern w:val="0"/>
                <w:sz w:val="22"/>
                <w:szCs w:val="22"/>
              </w:rPr>
              <w:t>1</w:t>
            </w:r>
            <w:r>
              <w:rPr>
                <w:rFonts w:hint="eastAsia" w:cs="宋体"/>
                <w:kern w:val="0"/>
                <w:sz w:val="22"/>
                <w:szCs w:val="22"/>
              </w:rPr>
              <w:t>、房屋（平方米）</w:t>
            </w:r>
          </w:p>
        </w:tc>
        <w:tc>
          <w:tcPr>
            <w:tcW w:w="2081" w:type="dxa"/>
            <w:tcBorders>
              <w:top w:val="nil"/>
              <w:left w:val="nil"/>
              <w:bottom w:val="single" w:color="auto" w:sz="4" w:space="0"/>
              <w:right w:val="single" w:color="auto" w:sz="4" w:space="0"/>
            </w:tcBorders>
            <w:vAlign w:val="center"/>
          </w:tcPr>
          <w:p>
            <w:pPr>
              <w:widowControl/>
              <w:spacing w:line="560" w:lineRule="exact"/>
              <w:ind w:firstLine="440" w:firstLineChars="200"/>
              <w:rPr>
                <w:rFonts w:cs="Times New Roman"/>
                <w:kern w:val="0"/>
                <w:sz w:val="22"/>
                <w:szCs w:val="22"/>
              </w:rPr>
            </w:pPr>
            <w:r>
              <w:rPr>
                <w:rFonts w:ascii="宋体" w:hAnsi="宋体" w:cs="宋体"/>
                <w:kern w:val="0"/>
                <w:sz w:val="22"/>
              </w:rPr>
              <w:t>4931.97</w:t>
            </w:r>
          </w:p>
        </w:tc>
        <w:tc>
          <w:tcPr>
            <w:tcW w:w="3370" w:type="dxa"/>
            <w:tcBorders>
              <w:top w:val="nil"/>
              <w:left w:val="nil"/>
              <w:bottom w:val="single" w:color="auto" w:sz="4" w:space="0"/>
              <w:right w:val="single" w:color="auto" w:sz="4" w:space="0"/>
            </w:tcBorders>
            <w:vAlign w:val="center"/>
          </w:tcPr>
          <w:p>
            <w:pPr>
              <w:widowControl/>
              <w:spacing w:line="560" w:lineRule="exact"/>
              <w:ind w:firstLine="440" w:firstLineChars="200"/>
              <w:rPr>
                <w:rFonts w:cs="Times New Roman"/>
                <w:kern w:val="0"/>
                <w:sz w:val="22"/>
                <w:szCs w:val="22"/>
              </w:rPr>
            </w:pPr>
            <w:r>
              <w:rPr>
                <w:rFonts w:ascii="宋体" w:hAnsi="宋体" w:cs="宋体"/>
                <w:kern w:val="0"/>
                <w:sz w:val="22"/>
              </w:rPr>
              <w:t>523.5349</w:t>
            </w:r>
          </w:p>
        </w:tc>
      </w:tr>
      <w:tr>
        <w:tblPrEx>
          <w:tblCellMar>
            <w:top w:w="0" w:type="dxa"/>
            <w:left w:w="108" w:type="dxa"/>
            <w:bottom w:w="0" w:type="dxa"/>
            <w:right w:w="108" w:type="dxa"/>
          </w:tblCellMar>
        </w:tblPrEx>
        <w:trPr>
          <w:trHeight w:val="571" w:hRule="atLeast"/>
          <w:jc w:val="center"/>
        </w:trPr>
        <w:tc>
          <w:tcPr>
            <w:tcW w:w="3449" w:type="dxa"/>
            <w:tcBorders>
              <w:top w:val="nil"/>
              <w:left w:val="single" w:color="auto" w:sz="4" w:space="0"/>
              <w:bottom w:val="single" w:color="auto" w:sz="4" w:space="0"/>
              <w:right w:val="single" w:color="auto" w:sz="4" w:space="0"/>
            </w:tcBorders>
            <w:vAlign w:val="center"/>
          </w:tcPr>
          <w:p>
            <w:pPr>
              <w:widowControl/>
              <w:spacing w:line="560" w:lineRule="exact"/>
              <w:ind w:firstLine="880" w:firstLineChars="400"/>
              <w:rPr>
                <w:rFonts w:cs="Times New Roman"/>
                <w:kern w:val="0"/>
                <w:sz w:val="22"/>
                <w:szCs w:val="22"/>
              </w:rPr>
            </w:pPr>
            <w:r>
              <w:rPr>
                <w:rFonts w:hint="eastAsia" w:cs="宋体"/>
                <w:kern w:val="0"/>
                <w:sz w:val="22"/>
                <w:szCs w:val="22"/>
              </w:rPr>
              <w:t>其中：办公用房（平方米）</w:t>
            </w:r>
          </w:p>
        </w:tc>
        <w:tc>
          <w:tcPr>
            <w:tcW w:w="2081" w:type="dxa"/>
            <w:tcBorders>
              <w:top w:val="nil"/>
              <w:left w:val="nil"/>
              <w:bottom w:val="single" w:color="auto" w:sz="4" w:space="0"/>
              <w:right w:val="single" w:color="auto" w:sz="4" w:space="0"/>
            </w:tcBorders>
            <w:vAlign w:val="center"/>
          </w:tcPr>
          <w:p>
            <w:pPr>
              <w:widowControl/>
              <w:spacing w:line="560" w:lineRule="exact"/>
              <w:ind w:firstLine="440" w:firstLineChars="200"/>
              <w:rPr>
                <w:rFonts w:cs="Times New Roman"/>
                <w:kern w:val="0"/>
                <w:sz w:val="22"/>
                <w:szCs w:val="22"/>
              </w:rPr>
            </w:pPr>
            <w:r>
              <w:rPr>
                <w:rFonts w:ascii="宋体" w:hAnsi="宋体" w:cs="宋体"/>
                <w:kern w:val="0"/>
                <w:sz w:val="22"/>
              </w:rPr>
              <w:t>4601.97</w:t>
            </w:r>
          </w:p>
        </w:tc>
        <w:tc>
          <w:tcPr>
            <w:tcW w:w="3370" w:type="dxa"/>
            <w:tcBorders>
              <w:top w:val="nil"/>
              <w:left w:val="nil"/>
              <w:bottom w:val="single" w:color="auto" w:sz="4" w:space="0"/>
              <w:right w:val="single" w:color="auto" w:sz="4" w:space="0"/>
            </w:tcBorders>
            <w:vAlign w:val="center"/>
          </w:tcPr>
          <w:p>
            <w:pPr>
              <w:widowControl/>
              <w:spacing w:line="560" w:lineRule="exact"/>
              <w:ind w:firstLine="440" w:firstLineChars="200"/>
              <w:rPr>
                <w:rFonts w:cs="Times New Roman"/>
                <w:kern w:val="0"/>
                <w:sz w:val="22"/>
                <w:szCs w:val="22"/>
                <w:highlight w:val="yellow"/>
              </w:rPr>
            </w:pPr>
            <w:r>
              <w:rPr>
                <w:rFonts w:ascii="宋体" w:hAnsi="宋体" w:cs="宋体"/>
                <w:kern w:val="0"/>
                <w:sz w:val="22"/>
              </w:rPr>
              <w:t>507.0349</w:t>
            </w:r>
          </w:p>
        </w:tc>
      </w:tr>
      <w:tr>
        <w:tblPrEx>
          <w:tblCellMar>
            <w:top w:w="0" w:type="dxa"/>
            <w:left w:w="108" w:type="dxa"/>
            <w:bottom w:w="0" w:type="dxa"/>
            <w:right w:w="108" w:type="dxa"/>
          </w:tblCellMar>
        </w:tblPrEx>
        <w:trPr>
          <w:trHeight w:val="571" w:hRule="atLeast"/>
          <w:jc w:val="center"/>
        </w:trPr>
        <w:tc>
          <w:tcPr>
            <w:tcW w:w="3449" w:type="dxa"/>
            <w:tcBorders>
              <w:top w:val="nil"/>
              <w:left w:val="single" w:color="auto" w:sz="4" w:space="0"/>
              <w:bottom w:val="single" w:color="auto" w:sz="4" w:space="0"/>
              <w:right w:val="single" w:color="auto" w:sz="4" w:space="0"/>
            </w:tcBorders>
            <w:vAlign w:val="center"/>
          </w:tcPr>
          <w:p>
            <w:pPr>
              <w:widowControl/>
              <w:spacing w:line="560" w:lineRule="exact"/>
              <w:ind w:firstLine="440" w:firstLineChars="200"/>
              <w:rPr>
                <w:rFonts w:cs="Times New Roman"/>
                <w:kern w:val="0"/>
                <w:sz w:val="22"/>
                <w:szCs w:val="22"/>
              </w:rPr>
            </w:pPr>
            <w:r>
              <w:rPr>
                <w:kern w:val="0"/>
                <w:sz w:val="22"/>
                <w:szCs w:val="22"/>
              </w:rPr>
              <w:t>2</w:t>
            </w:r>
            <w:r>
              <w:rPr>
                <w:rFonts w:hint="eastAsia" w:cs="宋体"/>
                <w:kern w:val="0"/>
                <w:sz w:val="22"/>
                <w:szCs w:val="22"/>
              </w:rPr>
              <w:t>、车辆（台、辆）</w:t>
            </w:r>
          </w:p>
        </w:tc>
        <w:tc>
          <w:tcPr>
            <w:tcW w:w="2081" w:type="dxa"/>
            <w:tcBorders>
              <w:top w:val="nil"/>
              <w:left w:val="nil"/>
              <w:bottom w:val="single" w:color="auto" w:sz="4" w:space="0"/>
              <w:right w:val="single" w:color="auto" w:sz="4" w:space="0"/>
            </w:tcBorders>
            <w:vAlign w:val="center"/>
          </w:tcPr>
          <w:p>
            <w:pPr>
              <w:widowControl/>
              <w:spacing w:line="560" w:lineRule="exact"/>
              <w:ind w:firstLine="440" w:firstLineChars="200"/>
              <w:rPr>
                <w:rFonts w:cs="Times New Roman"/>
                <w:kern w:val="0"/>
                <w:sz w:val="22"/>
                <w:szCs w:val="22"/>
              </w:rPr>
            </w:pPr>
            <w:r>
              <w:rPr>
                <w:rFonts w:cs="Times New Roman"/>
                <w:kern w:val="0"/>
                <w:sz w:val="22"/>
                <w:szCs w:val="22"/>
              </w:rPr>
              <w:t>5</w:t>
            </w:r>
          </w:p>
        </w:tc>
        <w:tc>
          <w:tcPr>
            <w:tcW w:w="3370" w:type="dxa"/>
            <w:tcBorders>
              <w:top w:val="nil"/>
              <w:left w:val="nil"/>
              <w:bottom w:val="single" w:color="auto" w:sz="4" w:space="0"/>
              <w:right w:val="single" w:color="auto" w:sz="4" w:space="0"/>
            </w:tcBorders>
            <w:vAlign w:val="center"/>
          </w:tcPr>
          <w:p>
            <w:pPr>
              <w:widowControl/>
              <w:spacing w:line="560" w:lineRule="exact"/>
              <w:ind w:firstLine="440" w:firstLineChars="200"/>
              <w:rPr>
                <w:rFonts w:cs="Times New Roman"/>
                <w:kern w:val="0"/>
                <w:sz w:val="22"/>
                <w:szCs w:val="22"/>
                <w:highlight w:val="yellow"/>
              </w:rPr>
            </w:pPr>
            <w:r>
              <w:rPr>
                <w:rFonts w:ascii="宋体" w:hAnsi="宋体" w:cs="宋体"/>
                <w:kern w:val="0"/>
                <w:sz w:val="22"/>
              </w:rPr>
              <w:t>64.5091</w:t>
            </w:r>
          </w:p>
        </w:tc>
      </w:tr>
      <w:tr>
        <w:tblPrEx>
          <w:tblCellMar>
            <w:top w:w="0" w:type="dxa"/>
            <w:left w:w="108" w:type="dxa"/>
            <w:bottom w:w="0" w:type="dxa"/>
            <w:right w:w="108" w:type="dxa"/>
          </w:tblCellMar>
        </w:tblPrEx>
        <w:trPr>
          <w:trHeight w:val="571" w:hRule="atLeast"/>
          <w:jc w:val="center"/>
        </w:trPr>
        <w:tc>
          <w:tcPr>
            <w:tcW w:w="3449" w:type="dxa"/>
            <w:tcBorders>
              <w:top w:val="nil"/>
              <w:left w:val="single" w:color="auto" w:sz="4" w:space="0"/>
              <w:bottom w:val="single" w:color="auto" w:sz="4" w:space="0"/>
              <w:right w:val="single" w:color="auto" w:sz="4" w:space="0"/>
            </w:tcBorders>
            <w:vAlign w:val="center"/>
          </w:tcPr>
          <w:p>
            <w:pPr>
              <w:widowControl/>
              <w:spacing w:line="560" w:lineRule="exact"/>
              <w:ind w:firstLine="440" w:firstLineChars="200"/>
              <w:rPr>
                <w:rFonts w:cs="Times New Roman"/>
                <w:kern w:val="0"/>
                <w:sz w:val="22"/>
                <w:szCs w:val="22"/>
              </w:rPr>
            </w:pPr>
            <w:r>
              <w:rPr>
                <w:kern w:val="0"/>
                <w:sz w:val="22"/>
                <w:szCs w:val="22"/>
              </w:rPr>
              <w:t>3</w:t>
            </w:r>
            <w:r>
              <w:rPr>
                <w:rFonts w:hint="eastAsia" w:cs="宋体"/>
                <w:kern w:val="0"/>
                <w:sz w:val="22"/>
                <w:szCs w:val="22"/>
              </w:rPr>
              <w:t>、单价在</w:t>
            </w:r>
            <w:r>
              <w:rPr>
                <w:kern w:val="0"/>
                <w:sz w:val="22"/>
                <w:szCs w:val="22"/>
              </w:rPr>
              <w:t>50</w:t>
            </w:r>
            <w:r>
              <w:rPr>
                <w:rFonts w:hint="eastAsia" w:cs="宋体"/>
                <w:kern w:val="0"/>
                <w:sz w:val="22"/>
                <w:szCs w:val="22"/>
              </w:rPr>
              <w:t>万元以上的设备</w:t>
            </w:r>
          </w:p>
        </w:tc>
        <w:tc>
          <w:tcPr>
            <w:tcW w:w="2081" w:type="dxa"/>
            <w:tcBorders>
              <w:top w:val="nil"/>
              <w:left w:val="nil"/>
              <w:bottom w:val="single" w:color="auto" w:sz="4" w:space="0"/>
              <w:right w:val="single" w:color="auto" w:sz="4" w:space="0"/>
            </w:tcBorders>
            <w:vAlign w:val="center"/>
          </w:tcPr>
          <w:p>
            <w:pPr>
              <w:widowControl/>
              <w:spacing w:line="560" w:lineRule="exact"/>
              <w:ind w:firstLine="440" w:firstLineChars="200"/>
              <w:rPr>
                <w:rFonts w:cs="Times New Roman"/>
                <w:kern w:val="0"/>
                <w:sz w:val="22"/>
                <w:szCs w:val="22"/>
              </w:rPr>
            </w:pPr>
          </w:p>
        </w:tc>
        <w:tc>
          <w:tcPr>
            <w:tcW w:w="3370" w:type="dxa"/>
            <w:tcBorders>
              <w:top w:val="nil"/>
              <w:left w:val="nil"/>
              <w:bottom w:val="single" w:color="auto" w:sz="4" w:space="0"/>
              <w:right w:val="single" w:color="auto" w:sz="4" w:space="0"/>
            </w:tcBorders>
            <w:vAlign w:val="center"/>
          </w:tcPr>
          <w:p>
            <w:pPr>
              <w:widowControl/>
              <w:spacing w:line="560" w:lineRule="exact"/>
              <w:ind w:firstLine="440" w:firstLineChars="200"/>
              <w:rPr>
                <w:rFonts w:cs="Times New Roman"/>
                <w:kern w:val="0"/>
                <w:sz w:val="22"/>
                <w:szCs w:val="22"/>
                <w:highlight w:val="yellow"/>
              </w:rPr>
            </w:pPr>
          </w:p>
        </w:tc>
      </w:tr>
      <w:tr>
        <w:tblPrEx>
          <w:tblCellMar>
            <w:top w:w="0" w:type="dxa"/>
            <w:left w:w="108" w:type="dxa"/>
            <w:bottom w:w="0" w:type="dxa"/>
            <w:right w:w="108" w:type="dxa"/>
          </w:tblCellMar>
        </w:tblPrEx>
        <w:trPr>
          <w:trHeight w:val="613" w:hRule="atLeast"/>
          <w:jc w:val="center"/>
        </w:trPr>
        <w:tc>
          <w:tcPr>
            <w:tcW w:w="3449" w:type="dxa"/>
            <w:tcBorders>
              <w:top w:val="nil"/>
              <w:left w:val="single" w:color="auto" w:sz="4" w:space="0"/>
              <w:bottom w:val="single" w:color="auto" w:sz="4" w:space="0"/>
              <w:right w:val="single" w:color="auto" w:sz="4" w:space="0"/>
            </w:tcBorders>
            <w:vAlign w:val="center"/>
          </w:tcPr>
          <w:p>
            <w:pPr>
              <w:widowControl/>
              <w:spacing w:line="560" w:lineRule="exact"/>
              <w:ind w:firstLine="440" w:firstLineChars="200"/>
              <w:rPr>
                <w:rFonts w:cs="Times New Roman"/>
                <w:kern w:val="0"/>
                <w:sz w:val="22"/>
                <w:szCs w:val="22"/>
              </w:rPr>
            </w:pPr>
            <w:r>
              <w:rPr>
                <w:kern w:val="0"/>
                <w:sz w:val="22"/>
                <w:szCs w:val="22"/>
              </w:rPr>
              <w:t>4</w:t>
            </w:r>
            <w:r>
              <w:rPr>
                <w:rFonts w:hint="eastAsia" w:cs="宋体"/>
                <w:kern w:val="0"/>
                <w:sz w:val="22"/>
                <w:szCs w:val="22"/>
              </w:rPr>
              <w:t>、其他固定资产</w:t>
            </w:r>
          </w:p>
        </w:tc>
        <w:tc>
          <w:tcPr>
            <w:tcW w:w="2081" w:type="dxa"/>
            <w:tcBorders>
              <w:top w:val="nil"/>
              <w:left w:val="nil"/>
              <w:bottom w:val="single" w:color="auto" w:sz="4" w:space="0"/>
              <w:right w:val="single" w:color="auto" w:sz="4" w:space="0"/>
            </w:tcBorders>
            <w:vAlign w:val="center"/>
          </w:tcPr>
          <w:p>
            <w:pPr>
              <w:widowControl/>
              <w:spacing w:line="560" w:lineRule="exact"/>
              <w:ind w:firstLine="440" w:firstLineChars="200"/>
              <w:rPr>
                <w:rFonts w:cs="Times New Roman"/>
                <w:kern w:val="0"/>
                <w:sz w:val="22"/>
                <w:szCs w:val="22"/>
              </w:rPr>
            </w:pPr>
          </w:p>
        </w:tc>
        <w:tc>
          <w:tcPr>
            <w:tcW w:w="3370" w:type="dxa"/>
            <w:tcBorders>
              <w:top w:val="nil"/>
              <w:left w:val="nil"/>
              <w:bottom w:val="single" w:color="auto" w:sz="4" w:space="0"/>
              <w:right w:val="single" w:color="auto" w:sz="4" w:space="0"/>
            </w:tcBorders>
            <w:vAlign w:val="center"/>
          </w:tcPr>
          <w:p>
            <w:pPr>
              <w:widowControl/>
              <w:spacing w:line="560" w:lineRule="exact"/>
              <w:ind w:firstLine="440" w:firstLineChars="200"/>
              <w:rPr>
                <w:rFonts w:cs="Times New Roman"/>
                <w:kern w:val="0"/>
                <w:sz w:val="22"/>
                <w:szCs w:val="22"/>
                <w:highlight w:val="yellow"/>
              </w:rPr>
            </w:pPr>
            <w:r>
              <w:rPr>
                <w:rFonts w:ascii="宋体" w:hAnsi="宋体" w:cs="宋体"/>
                <w:kern w:val="0"/>
                <w:sz w:val="22"/>
              </w:rPr>
              <w:t>315.2318</w:t>
            </w:r>
          </w:p>
        </w:tc>
      </w:tr>
    </w:tbl>
    <w:p>
      <w:pPr>
        <w:snapToGrid w:val="0"/>
        <w:ind w:firstLine="640" w:firstLineChars="200"/>
        <w:rPr>
          <w:rFonts w:ascii="??" w:hAnsi="??" w:eastAsia="Times New Roman" w:cs="Times New Roman"/>
          <w:kern w:val="0"/>
          <w:sz w:val="32"/>
          <w:szCs w:val="32"/>
        </w:rPr>
      </w:pPr>
    </w:p>
    <w:p>
      <w:pPr>
        <w:ind w:firstLine="640" w:firstLineChars="200"/>
        <w:rPr>
          <w:rFonts w:hint="eastAsia" w:ascii="??" w:hAnsi="??" w:eastAsia="Times New Roman" w:cs="??"/>
          <w:b/>
          <w:bCs/>
          <w:sz w:val="32"/>
          <w:szCs w:val="32"/>
          <w:lang w:eastAsia="zh-CN"/>
        </w:rPr>
      </w:pPr>
      <w:r>
        <w:rPr>
          <w:rFonts w:hint="eastAsia" w:ascii="??" w:hAnsi="??" w:eastAsia="Times New Roman" w:cs="??"/>
          <w:b/>
          <w:bCs/>
          <w:sz w:val="32"/>
          <w:szCs w:val="32"/>
          <w:lang w:eastAsia="zh-CN"/>
        </w:rPr>
        <w:t>4、其他需要说明的情况：</w:t>
      </w:r>
      <w:r>
        <w:rPr>
          <w:rFonts w:hint="eastAsia" w:ascii="仿宋_GB2312" w:hAnsi="仿宋_GB2312" w:eastAsia="仿宋_GB2312" w:cs="仿宋_GB2312"/>
          <w:kern w:val="0"/>
          <w:sz w:val="32"/>
          <w:szCs w:val="32"/>
          <w:lang w:eastAsia="zh-CN"/>
        </w:rPr>
        <w:t>由于决算公开表格中金额数值应当保留两位小数，公开数据为四舍五入计算结果，个别数据合计项与分项之和存在小数点后差额，特此说明。</w:t>
      </w:r>
    </w:p>
    <w:p>
      <w:pPr>
        <w:ind w:firstLine="640" w:firstLineChars="200"/>
        <w:rPr>
          <w:rFonts w:hint="eastAsia" w:ascii="??" w:hAnsi="??" w:eastAsia="Times New Roman" w:cs="??"/>
          <w:b/>
          <w:bCs/>
          <w:sz w:val="32"/>
          <w:szCs w:val="32"/>
          <w:lang w:eastAsia="zh-CN"/>
        </w:rPr>
      </w:pPr>
      <w:r>
        <w:rPr>
          <w:rFonts w:hint="eastAsia" w:ascii="??" w:hAnsi="??" w:eastAsia="Times New Roman" w:cs="??"/>
          <w:b/>
          <w:bCs/>
          <w:sz w:val="32"/>
          <w:szCs w:val="32"/>
          <w:lang w:eastAsia="zh-CN"/>
        </w:rPr>
        <w:t>四、名词解释</w:t>
      </w:r>
    </w:p>
    <w:p>
      <w:pPr>
        <w:ind w:firstLine="640" w:firstLineChars="200"/>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eastAsia="zh-CN"/>
        </w:rPr>
        <w:t>（一）财政拨款收入：本年度从本级财政部门取得的财政拨款，包括一般公共预算财政拨款和政府性基金预算财政拨款。</w:t>
      </w:r>
    </w:p>
    <w:p>
      <w:pPr>
        <w:ind w:firstLine="640" w:firstLineChars="200"/>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eastAsia="zh-CN"/>
        </w:rPr>
        <w:t>（二）事业收入：指事业单位开展专业业务活动及辅助活动所取得的收入。</w:t>
      </w:r>
    </w:p>
    <w:p>
      <w:pPr>
        <w:ind w:firstLine="640" w:firstLineChars="200"/>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eastAsia="zh-CN"/>
        </w:rPr>
        <w:t>（三）其他收入：指除上述“财政拨款收入”、“事业收入”、“经营收入”等以外的收入。</w:t>
      </w:r>
    </w:p>
    <w:p>
      <w:pPr>
        <w:ind w:firstLine="640" w:firstLineChars="200"/>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eastAsia="zh-CN"/>
        </w:rPr>
        <w:t>（四）用事业基金弥补收支差额：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pPr>
        <w:ind w:firstLine="640" w:firstLineChars="200"/>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eastAsia="zh-CN"/>
        </w:rPr>
        <w:t>（五）年初结转和结余：指以前年度尚未完成、结转到本年仍按原规定用途继续使用的资金，或项目已完成等产生的结余资金。</w:t>
      </w:r>
    </w:p>
    <w:p>
      <w:pPr>
        <w:ind w:firstLine="640" w:firstLineChars="200"/>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eastAsia="zh-CN"/>
        </w:rPr>
        <w:t>（六）结余分配：指事业单位按照事业单位会计制度的规定从非财政补助结余中分配的事业基金和职工福利基金等。</w:t>
      </w:r>
    </w:p>
    <w:p>
      <w:pPr>
        <w:ind w:firstLine="640" w:firstLineChars="200"/>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eastAsia="zh-CN"/>
        </w:rPr>
        <w:t>（七）年末结转和结余：指单位按有关规定结转到下年或以后年度继续使用的资金，或项目已完成等产生的结余资金。</w:t>
      </w:r>
    </w:p>
    <w:p>
      <w:pPr>
        <w:ind w:firstLine="640" w:firstLineChars="200"/>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eastAsia="zh-CN"/>
        </w:rPr>
        <w:t>（八）基本支出：填列单位为保障机构正常运转、完成日常工作任务而发生的各项支出。</w:t>
      </w:r>
    </w:p>
    <w:p>
      <w:pPr>
        <w:ind w:firstLine="640" w:firstLineChars="200"/>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eastAsia="zh-CN"/>
        </w:rPr>
        <w:t>（九）项目支出：填列单位为完成特定的行政工作任务或事业发展目标，在基本支出之外发生的各项支出。</w:t>
      </w:r>
    </w:p>
    <w:p>
      <w:pPr>
        <w:ind w:firstLine="640" w:firstLineChars="200"/>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eastAsia="zh-CN"/>
        </w:rPr>
        <w:t>（十）基本建设支出：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pPr>
        <w:ind w:firstLine="640" w:firstLineChars="200"/>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eastAsia="zh-CN"/>
        </w:rPr>
        <w:t>（十一）其他资本性支出：填列由各级非发展与改革部门集中安排的用于购置固定资产、战备性和应急性储备、土地和无形资产，以及购建基础设施、大型修缮和财政支持企业更新改造所发生的支出。</w:t>
      </w:r>
    </w:p>
    <w:p>
      <w:pPr>
        <w:ind w:firstLine="640" w:firstLineChars="200"/>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eastAsia="zh-CN"/>
        </w:rPr>
        <w:t>（十二）“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及租用费、燃料费、维修费、过路过桥费、保险费、安全奖励费用等支出；公务接待费反映单位按规定开支的各类公务接待（含外宾接待）支出。</w:t>
      </w:r>
    </w:p>
    <w:p>
      <w:pPr>
        <w:ind w:firstLine="640" w:firstLineChars="200"/>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eastAsia="zh-CN"/>
        </w:rPr>
        <w:t>（十三）其他交通费用：填列单位除公务用车运行维护费以外的其他交通费用。如飞机、船舶等的燃料费、维修费、过桥过路费、保险费、出租车费用、公务交通补贴等。</w:t>
      </w:r>
    </w:p>
    <w:p>
      <w:pPr>
        <w:ind w:firstLine="640" w:firstLineChars="200"/>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eastAsia="zh-CN"/>
        </w:rPr>
        <w:t>（十四）公务用车购置：填列单位公务用车车辆购置支出（含车辆购置税）。</w:t>
      </w:r>
    </w:p>
    <w:p>
      <w:pPr>
        <w:ind w:firstLine="640" w:firstLineChars="200"/>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eastAsia="zh-CN"/>
        </w:rPr>
        <w:t>（十五）其他交通工具购置：填列单位除公务用车外的其他各类交通工具（如船舶、飞机）购置支出（含车辆购置税）。</w:t>
      </w:r>
    </w:p>
    <w:p>
      <w:pPr>
        <w:ind w:firstLine="640" w:firstLineChars="200"/>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eastAsia="zh-CN"/>
        </w:rPr>
        <w:t>（十六）机关运行经费：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pStyle w:val="9"/>
        <w:ind w:firstLine="640" w:firstLineChars="200"/>
        <w:rPr>
          <w:rFonts w:ascii="??" w:hAnsi="??" w:eastAsia="Times New Roman"/>
          <w:sz w:val="32"/>
          <w:szCs w:val="32"/>
        </w:rPr>
      </w:pPr>
    </w:p>
    <w:sectPr>
      <w:headerReference r:id="rId5" w:type="first"/>
      <w:footerReference r:id="rId8" w:type="first"/>
      <w:headerReference r:id="rId3" w:type="default"/>
      <w:footerReference r:id="rId6" w:type="default"/>
      <w:headerReference r:id="rId4" w:type="even"/>
      <w:footerReference r:id="rId7" w:type="even"/>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0000000000000000000"/>
    <w:charset w:val="86"/>
    <w:family w:val="script"/>
    <w:pitch w:val="default"/>
    <w:sig w:usb0="00000000" w:usb1="00000000" w:usb2="0000001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方正小标宋_GBK">
    <w:altName w:val="宋体"/>
    <w:panose1 w:val="00000000000000000000"/>
    <w:charset w:val="86"/>
    <w:family w:val="auto"/>
    <w:pitch w:val="default"/>
    <w:sig w:usb0="00000000" w:usb1="00000000" w:usb2="00000010" w:usb3="00000000" w:csb0="00040000" w:csb1="00000000"/>
  </w:font>
  <w:font w:name="方正书宋_GBK">
    <w:altName w:val="宋体"/>
    <w:panose1 w:val="00000000000000000000"/>
    <w:charset w:val="86"/>
    <w:family w:val="auto"/>
    <w:pitch w:val="default"/>
    <w:sig w:usb0="00000000" w:usb1="00000000" w:usb2="00000010" w:usb3="00000000" w:csb0="00040000" w:csb1="00000000"/>
  </w:font>
  <w:font w:name="??">
    <w:altName w:val="Times New Roman"/>
    <w:panose1 w:val="00000000000000000000"/>
    <w:charset w:val="00"/>
    <w:family w:val="auto"/>
    <w:pitch w:val="default"/>
    <w:sig w:usb0="00000000" w:usb1="00000000" w:usb2="00000000" w:usb3="00000000" w:csb0="0000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08755A2"/>
    <w:multiLevelType w:val="multilevel"/>
    <w:tmpl w:val="308755A2"/>
    <w:lvl w:ilvl="0" w:tentative="0">
      <w:start w:val="1"/>
      <w:numFmt w:val="decimal"/>
      <w:lvlText w:val="%1、"/>
      <w:lvlJc w:val="left"/>
      <w:pPr>
        <w:ind w:left="1360" w:hanging="720"/>
      </w:pPr>
      <w:rPr>
        <w:rFonts w:hint="default" w:cs="Times New Roman"/>
      </w:rPr>
    </w:lvl>
    <w:lvl w:ilvl="1" w:tentative="0">
      <w:start w:val="1"/>
      <w:numFmt w:val="lowerLetter"/>
      <w:lvlText w:val="%2)"/>
      <w:lvlJc w:val="left"/>
      <w:pPr>
        <w:ind w:left="1480" w:hanging="420"/>
      </w:pPr>
      <w:rPr>
        <w:rFonts w:cs="Times New Roman"/>
      </w:rPr>
    </w:lvl>
    <w:lvl w:ilvl="2" w:tentative="0">
      <w:start w:val="1"/>
      <w:numFmt w:val="lowerRoman"/>
      <w:lvlText w:val="%3."/>
      <w:lvlJc w:val="right"/>
      <w:pPr>
        <w:ind w:left="1900" w:hanging="420"/>
      </w:pPr>
      <w:rPr>
        <w:rFonts w:cs="Times New Roman"/>
      </w:rPr>
    </w:lvl>
    <w:lvl w:ilvl="3" w:tentative="0">
      <w:start w:val="1"/>
      <w:numFmt w:val="decimal"/>
      <w:lvlText w:val="%4."/>
      <w:lvlJc w:val="left"/>
      <w:pPr>
        <w:ind w:left="2320" w:hanging="420"/>
      </w:pPr>
      <w:rPr>
        <w:rFonts w:cs="Times New Roman"/>
      </w:rPr>
    </w:lvl>
    <w:lvl w:ilvl="4" w:tentative="0">
      <w:start w:val="1"/>
      <w:numFmt w:val="lowerLetter"/>
      <w:lvlText w:val="%5)"/>
      <w:lvlJc w:val="left"/>
      <w:pPr>
        <w:ind w:left="2740" w:hanging="420"/>
      </w:pPr>
      <w:rPr>
        <w:rFonts w:cs="Times New Roman"/>
      </w:rPr>
    </w:lvl>
    <w:lvl w:ilvl="5" w:tentative="0">
      <w:start w:val="1"/>
      <w:numFmt w:val="lowerRoman"/>
      <w:lvlText w:val="%6."/>
      <w:lvlJc w:val="right"/>
      <w:pPr>
        <w:ind w:left="3160" w:hanging="420"/>
      </w:pPr>
      <w:rPr>
        <w:rFonts w:cs="Times New Roman"/>
      </w:rPr>
    </w:lvl>
    <w:lvl w:ilvl="6" w:tentative="0">
      <w:start w:val="1"/>
      <w:numFmt w:val="decimal"/>
      <w:lvlText w:val="%7."/>
      <w:lvlJc w:val="left"/>
      <w:pPr>
        <w:ind w:left="3580" w:hanging="420"/>
      </w:pPr>
      <w:rPr>
        <w:rFonts w:cs="Times New Roman"/>
      </w:rPr>
    </w:lvl>
    <w:lvl w:ilvl="7" w:tentative="0">
      <w:start w:val="1"/>
      <w:numFmt w:val="lowerLetter"/>
      <w:lvlText w:val="%8)"/>
      <w:lvlJc w:val="left"/>
      <w:pPr>
        <w:ind w:left="4000" w:hanging="420"/>
      </w:pPr>
      <w:rPr>
        <w:rFonts w:cs="Times New Roman"/>
      </w:rPr>
    </w:lvl>
    <w:lvl w:ilvl="8" w:tentative="0">
      <w:start w:val="1"/>
      <w:numFmt w:val="lowerRoman"/>
      <w:lvlText w:val="%9."/>
      <w:lvlJc w:val="right"/>
      <w:pPr>
        <w:ind w:left="442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ZDk4OTE0MTk4NTk4MjE3ZmQ0ODg3NDI3NzQyZWExYmIifQ=="/>
  </w:docVars>
  <w:rsids>
    <w:rsidRoot w:val="002F4CA0"/>
    <w:rsid w:val="00003F2D"/>
    <w:rsid w:val="000153BC"/>
    <w:rsid w:val="00022DD6"/>
    <w:rsid w:val="00027739"/>
    <w:rsid w:val="00027A57"/>
    <w:rsid w:val="00032498"/>
    <w:rsid w:val="00052745"/>
    <w:rsid w:val="000534CB"/>
    <w:rsid w:val="0006234F"/>
    <w:rsid w:val="00074BE6"/>
    <w:rsid w:val="000771E3"/>
    <w:rsid w:val="00083E5C"/>
    <w:rsid w:val="00085243"/>
    <w:rsid w:val="00091E14"/>
    <w:rsid w:val="00092A9E"/>
    <w:rsid w:val="00095C36"/>
    <w:rsid w:val="000966F1"/>
    <w:rsid w:val="000A352F"/>
    <w:rsid w:val="000B7C14"/>
    <w:rsid w:val="000C64E9"/>
    <w:rsid w:val="000D6198"/>
    <w:rsid w:val="000E2BB8"/>
    <w:rsid w:val="000F5796"/>
    <w:rsid w:val="00110E35"/>
    <w:rsid w:val="00121A1C"/>
    <w:rsid w:val="00126274"/>
    <w:rsid w:val="001265AF"/>
    <w:rsid w:val="0013224B"/>
    <w:rsid w:val="00134CFF"/>
    <w:rsid w:val="001373E9"/>
    <w:rsid w:val="001440F7"/>
    <w:rsid w:val="001477F1"/>
    <w:rsid w:val="001538AE"/>
    <w:rsid w:val="001570B6"/>
    <w:rsid w:val="001577CC"/>
    <w:rsid w:val="00182FC3"/>
    <w:rsid w:val="00191290"/>
    <w:rsid w:val="0019413A"/>
    <w:rsid w:val="001C1F63"/>
    <w:rsid w:val="001E1682"/>
    <w:rsid w:val="001E1843"/>
    <w:rsid w:val="001E774A"/>
    <w:rsid w:val="001F3B3E"/>
    <w:rsid w:val="001F3F61"/>
    <w:rsid w:val="00205AEA"/>
    <w:rsid w:val="002074D9"/>
    <w:rsid w:val="002222A2"/>
    <w:rsid w:val="00233117"/>
    <w:rsid w:val="002428F5"/>
    <w:rsid w:val="00244918"/>
    <w:rsid w:val="00265046"/>
    <w:rsid w:val="00267524"/>
    <w:rsid w:val="00272510"/>
    <w:rsid w:val="00291147"/>
    <w:rsid w:val="002926BC"/>
    <w:rsid w:val="00292D94"/>
    <w:rsid w:val="002A1A0C"/>
    <w:rsid w:val="002A6872"/>
    <w:rsid w:val="002C5968"/>
    <w:rsid w:val="002E1E55"/>
    <w:rsid w:val="002F0848"/>
    <w:rsid w:val="002F4CA0"/>
    <w:rsid w:val="00304EF6"/>
    <w:rsid w:val="00311782"/>
    <w:rsid w:val="00316637"/>
    <w:rsid w:val="00351AB1"/>
    <w:rsid w:val="00352428"/>
    <w:rsid w:val="00353CFD"/>
    <w:rsid w:val="00355705"/>
    <w:rsid w:val="003572C2"/>
    <w:rsid w:val="0037249B"/>
    <w:rsid w:val="003731EF"/>
    <w:rsid w:val="00393417"/>
    <w:rsid w:val="003A02BA"/>
    <w:rsid w:val="003A36F6"/>
    <w:rsid w:val="003A3B41"/>
    <w:rsid w:val="003A699A"/>
    <w:rsid w:val="003B0777"/>
    <w:rsid w:val="003E0974"/>
    <w:rsid w:val="003E7550"/>
    <w:rsid w:val="003F6699"/>
    <w:rsid w:val="003F70C2"/>
    <w:rsid w:val="00417558"/>
    <w:rsid w:val="004340D9"/>
    <w:rsid w:val="0046735F"/>
    <w:rsid w:val="00474F51"/>
    <w:rsid w:val="00491E2D"/>
    <w:rsid w:val="004C33B8"/>
    <w:rsid w:val="004C6D35"/>
    <w:rsid w:val="004E73D2"/>
    <w:rsid w:val="0051145F"/>
    <w:rsid w:val="0051488B"/>
    <w:rsid w:val="005160E5"/>
    <w:rsid w:val="005268D7"/>
    <w:rsid w:val="00532955"/>
    <w:rsid w:val="00554373"/>
    <w:rsid w:val="00563D98"/>
    <w:rsid w:val="00564868"/>
    <w:rsid w:val="005649CB"/>
    <w:rsid w:val="005942C7"/>
    <w:rsid w:val="005968A3"/>
    <w:rsid w:val="005B6802"/>
    <w:rsid w:val="005C4801"/>
    <w:rsid w:val="005D70FF"/>
    <w:rsid w:val="005E7ECF"/>
    <w:rsid w:val="006061C8"/>
    <w:rsid w:val="00611718"/>
    <w:rsid w:val="00614450"/>
    <w:rsid w:val="0061608E"/>
    <w:rsid w:val="006208DB"/>
    <w:rsid w:val="00626DEF"/>
    <w:rsid w:val="006445C9"/>
    <w:rsid w:val="006454AF"/>
    <w:rsid w:val="0065304B"/>
    <w:rsid w:val="00657BB5"/>
    <w:rsid w:val="006C3B79"/>
    <w:rsid w:val="006D0976"/>
    <w:rsid w:val="006E5A9E"/>
    <w:rsid w:val="006E6AC3"/>
    <w:rsid w:val="006F4886"/>
    <w:rsid w:val="00701F3C"/>
    <w:rsid w:val="00714407"/>
    <w:rsid w:val="00734941"/>
    <w:rsid w:val="007610A8"/>
    <w:rsid w:val="00763DD8"/>
    <w:rsid w:val="0077044D"/>
    <w:rsid w:val="00773501"/>
    <w:rsid w:val="0078413B"/>
    <w:rsid w:val="0079560A"/>
    <w:rsid w:val="007C2160"/>
    <w:rsid w:val="007D65F7"/>
    <w:rsid w:val="007E1A43"/>
    <w:rsid w:val="007E304D"/>
    <w:rsid w:val="007E5B69"/>
    <w:rsid w:val="007E67C3"/>
    <w:rsid w:val="007F646C"/>
    <w:rsid w:val="00807160"/>
    <w:rsid w:val="0081612F"/>
    <w:rsid w:val="00835CBA"/>
    <w:rsid w:val="008378D0"/>
    <w:rsid w:val="008774EA"/>
    <w:rsid w:val="0088238A"/>
    <w:rsid w:val="008960E5"/>
    <w:rsid w:val="008A5465"/>
    <w:rsid w:val="008B6A8D"/>
    <w:rsid w:val="008D1151"/>
    <w:rsid w:val="008D6683"/>
    <w:rsid w:val="008D6E12"/>
    <w:rsid w:val="008E26DD"/>
    <w:rsid w:val="008F2964"/>
    <w:rsid w:val="008F5F71"/>
    <w:rsid w:val="00906D9F"/>
    <w:rsid w:val="00914E4C"/>
    <w:rsid w:val="00961C51"/>
    <w:rsid w:val="00962145"/>
    <w:rsid w:val="00963750"/>
    <w:rsid w:val="009645C9"/>
    <w:rsid w:val="00973104"/>
    <w:rsid w:val="009756A9"/>
    <w:rsid w:val="00976D2E"/>
    <w:rsid w:val="00981639"/>
    <w:rsid w:val="009937E7"/>
    <w:rsid w:val="009A2C60"/>
    <w:rsid w:val="009C380C"/>
    <w:rsid w:val="009D028C"/>
    <w:rsid w:val="009D2B8F"/>
    <w:rsid w:val="009E1244"/>
    <w:rsid w:val="00A0013E"/>
    <w:rsid w:val="00A259AF"/>
    <w:rsid w:val="00A36988"/>
    <w:rsid w:val="00A52D46"/>
    <w:rsid w:val="00A61F0D"/>
    <w:rsid w:val="00A6663B"/>
    <w:rsid w:val="00A84EA8"/>
    <w:rsid w:val="00A8554E"/>
    <w:rsid w:val="00A96280"/>
    <w:rsid w:val="00AB029F"/>
    <w:rsid w:val="00AD1B3A"/>
    <w:rsid w:val="00AD41F6"/>
    <w:rsid w:val="00AE3F57"/>
    <w:rsid w:val="00AE524C"/>
    <w:rsid w:val="00AE7955"/>
    <w:rsid w:val="00B2238F"/>
    <w:rsid w:val="00B24BDF"/>
    <w:rsid w:val="00B33211"/>
    <w:rsid w:val="00B376D6"/>
    <w:rsid w:val="00B41A9F"/>
    <w:rsid w:val="00B533F2"/>
    <w:rsid w:val="00B72A1F"/>
    <w:rsid w:val="00B74261"/>
    <w:rsid w:val="00B77CF4"/>
    <w:rsid w:val="00B77EF4"/>
    <w:rsid w:val="00B80561"/>
    <w:rsid w:val="00B806FA"/>
    <w:rsid w:val="00B97373"/>
    <w:rsid w:val="00BA0764"/>
    <w:rsid w:val="00BA2841"/>
    <w:rsid w:val="00BB05C9"/>
    <w:rsid w:val="00BC14FF"/>
    <w:rsid w:val="00BD57DE"/>
    <w:rsid w:val="00BF1090"/>
    <w:rsid w:val="00BF2CD8"/>
    <w:rsid w:val="00BF3BE7"/>
    <w:rsid w:val="00C177AE"/>
    <w:rsid w:val="00C31E98"/>
    <w:rsid w:val="00C4436F"/>
    <w:rsid w:val="00C46CF7"/>
    <w:rsid w:val="00C67656"/>
    <w:rsid w:val="00C857B1"/>
    <w:rsid w:val="00C85A60"/>
    <w:rsid w:val="00C86B3A"/>
    <w:rsid w:val="00C92780"/>
    <w:rsid w:val="00C93A36"/>
    <w:rsid w:val="00C978C3"/>
    <w:rsid w:val="00CA1030"/>
    <w:rsid w:val="00CC0B44"/>
    <w:rsid w:val="00CC78B1"/>
    <w:rsid w:val="00CD457F"/>
    <w:rsid w:val="00CE4CBE"/>
    <w:rsid w:val="00D06225"/>
    <w:rsid w:val="00D12A54"/>
    <w:rsid w:val="00D2597A"/>
    <w:rsid w:val="00D31B8B"/>
    <w:rsid w:val="00D33F56"/>
    <w:rsid w:val="00D35124"/>
    <w:rsid w:val="00D40813"/>
    <w:rsid w:val="00D640C9"/>
    <w:rsid w:val="00D65BF3"/>
    <w:rsid w:val="00D66578"/>
    <w:rsid w:val="00D66BA8"/>
    <w:rsid w:val="00D703AD"/>
    <w:rsid w:val="00D720B9"/>
    <w:rsid w:val="00D846FB"/>
    <w:rsid w:val="00D86986"/>
    <w:rsid w:val="00D9174F"/>
    <w:rsid w:val="00D945C7"/>
    <w:rsid w:val="00D96BF5"/>
    <w:rsid w:val="00DA1802"/>
    <w:rsid w:val="00DA3FE2"/>
    <w:rsid w:val="00DB35DC"/>
    <w:rsid w:val="00DB526A"/>
    <w:rsid w:val="00DB67D1"/>
    <w:rsid w:val="00DC2910"/>
    <w:rsid w:val="00DD2373"/>
    <w:rsid w:val="00E075FD"/>
    <w:rsid w:val="00E076D0"/>
    <w:rsid w:val="00E1273B"/>
    <w:rsid w:val="00E176D7"/>
    <w:rsid w:val="00E21E00"/>
    <w:rsid w:val="00E22EAB"/>
    <w:rsid w:val="00E32477"/>
    <w:rsid w:val="00E510CE"/>
    <w:rsid w:val="00E563DF"/>
    <w:rsid w:val="00E734C4"/>
    <w:rsid w:val="00E742C0"/>
    <w:rsid w:val="00E901E4"/>
    <w:rsid w:val="00EA09C3"/>
    <w:rsid w:val="00EA0D0F"/>
    <w:rsid w:val="00EC5FD9"/>
    <w:rsid w:val="00EE0627"/>
    <w:rsid w:val="00EE3F89"/>
    <w:rsid w:val="00EE7A14"/>
    <w:rsid w:val="00EF20A5"/>
    <w:rsid w:val="00EF279F"/>
    <w:rsid w:val="00F035A7"/>
    <w:rsid w:val="00F067C5"/>
    <w:rsid w:val="00F24BD2"/>
    <w:rsid w:val="00F27A71"/>
    <w:rsid w:val="00F4155B"/>
    <w:rsid w:val="00F47C54"/>
    <w:rsid w:val="00F618DC"/>
    <w:rsid w:val="00F632CF"/>
    <w:rsid w:val="00F649CB"/>
    <w:rsid w:val="00F66032"/>
    <w:rsid w:val="00F81BC3"/>
    <w:rsid w:val="00F87EE7"/>
    <w:rsid w:val="00F93068"/>
    <w:rsid w:val="00F94141"/>
    <w:rsid w:val="00FB17E8"/>
    <w:rsid w:val="00FB26D8"/>
    <w:rsid w:val="00FC1D47"/>
    <w:rsid w:val="00FC2FE8"/>
    <w:rsid w:val="00FC4E71"/>
    <w:rsid w:val="00FF230C"/>
    <w:rsid w:val="016A55A1"/>
    <w:rsid w:val="020F7AAB"/>
    <w:rsid w:val="03823E58"/>
    <w:rsid w:val="04BB08A9"/>
    <w:rsid w:val="06161FD5"/>
    <w:rsid w:val="09105E6B"/>
    <w:rsid w:val="0A5963B7"/>
    <w:rsid w:val="0DDA011C"/>
    <w:rsid w:val="0ECE01FE"/>
    <w:rsid w:val="115603E7"/>
    <w:rsid w:val="156E300E"/>
    <w:rsid w:val="1899181E"/>
    <w:rsid w:val="1A6F3E1B"/>
    <w:rsid w:val="1B22576C"/>
    <w:rsid w:val="1C32031E"/>
    <w:rsid w:val="1CA746AB"/>
    <w:rsid w:val="1D2460E9"/>
    <w:rsid w:val="1E310FE5"/>
    <w:rsid w:val="22A343BF"/>
    <w:rsid w:val="24397018"/>
    <w:rsid w:val="26BB6B05"/>
    <w:rsid w:val="28342E96"/>
    <w:rsid w:val="29576795"/>
    <w:rsid w:val="2A5C277F"/>
    <w:rsid w:val="2B134D5F"/>
    <w:rsid w:val="2BE10C26"/>
    <w:rsid w:val="2D9F0A23"/>
    <w:rsid w:val="2E325B3A"/>
    <w:rsid w:val="30121754"/>
    <w:rsid w:val="30636768"/>
    <w:rsid w:val="34E43D9F"/>
    <w:rsid w:val="35661E03"/>
    <w:rsid w:val="36610CD0"/>
    <w:rsid w:val="367F5E6C"/>
    <w:rsid w:val="3C281693"/>
    <w:rsid w:val="3C7A3D3A"/>
    <w:rsid w:val="400D1223"/>
    <w:rsid w:val="4116223C"/>
    <w:rsid w:val="41EE46CD"/>
    <w:rsid w:val="44860AD0"/>
    <w:rsid w:val="477076A3"/>
    <w:rsid w:val="499C0787"/>
    <w:rsid w:val="4A4C3EAB"/>
    <w:rsid w:val="4B6A1DB3"/>
    <w:rsid w:val="4C892D89"/>
    <w:rsid w:val="4CAF65EE"/>
    <w:rsid w:val="4F025B25"/>
    <w:rsid w:val="4FC66DC8"/>
    <w:rsid w:val="5004230D"/>
    <w:rsid w:val="51501480"/>
    <w:rsid w:val="52E1014A"/>
    <w:rsid w:val="54BE7D0D"/>
    <w:rsid w:val="575F2B85"/>
    <w:rsid w:val="58E658DC"/>
    <w:rsid w:val="5A7F6A74"/>
    <w:rsid w:val="5AC31434"/>
    <w:rsid w:val="5BC418DD"/>
    <w:rsid w:val="5C1A6867"/>
    <w:rsid w:val="5C9425A7"/>
    <w:rsid w:val="5C984154"/>
    <w:rsid w:val="60EA1CD9"/>
    <w:rsid w:val="61EE6D78"/>
    <w:rsid w:val="6304433E"/>
    <w:rsid w:val="643367E8"/>
    <w:rsid w:val="643A6FCF"/>
    <w:rsid w:val="664E6229"/>
    <w:rsid w:val="68AB7BE9"/>
    <w:rsid w:val="68BA142A"/>
    <w:rsid w:val="698056DA"/>
    <w:rsid w:val="69DE37F8"/>
    <w:rsid w:val="6B237640"/>
    <w:rsid w:val="6CDD4895"/>
    <w:rsid w:val="74BA34E9"/>
    <w:rsid w:val="75CA0275"/>
    <w:rsid w:val="76134D0C"/>
    <w:rsid w:val="77A03E0A"/>
    <w:rsid w:val="77DF67C5"/>
    <w:rsid w:val="7BF603B2"/>
    <w:rsid w:val="7BF943DD"/>
    <w:rsid w:val="7E136039"/>
    <w:rsid w:val="7FE547DD"/>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5">
    <w:name w:val="Default Paragraph Font"/>
    <w:semiHidden/>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6"/>
    <w:uiPriority w:val="99"/>
    <w:pPr>
      <w:tabs>
        <w:tab w:val="center" w:pos="4153"/>
        <w:tab w:val="right" w:pos="8306"/>
      </w:tabs>
      <w:snapToGrid w:val="0"/>
      <w:jc w:val="left"/>
    </w:pPr>
    <w:rPr>
      <w:kern w:val="0"/>
      <w:sz w:val="18"/>
      <w:szCs w:val="18"/>
    </w:rPr>
  </w:style>
  <w:style w:type="paragraph" w:styleId="3">
    <w:name w:val="header"/>
    <w:basedOn w:val="1"/>
    <w:link w:val="7"/>
    <w:qFormat/>
    <w:uiPriority w:val="99"/>
    <w:pPr>
      <w:pBdr>
        <w:bottom w:val="single" w:color="auto" w:sz="6" w:space="1"/>
      </w:pBdr>
      <w:tabs>
        <w:tab w:val="center" w:pos="4153"/>
        <w:tab w:val="right" w:pos="8306"/>
      </w:tabs>
      <w:snapToGrid w:val="0"/>
      <w:jc w:val="center"/>
    </w:pPr>
    <w:rPr>
      <w:kern w:val="0"/>
      <w:sz w:val="18"/>
      <w:szCs w:val="18"/>
    </w:rPr>
  </w:style>
  <w:style w:type="character" w:customStyle="1" w:styleId="6">
    <w:name w:val="Footer Char"/>
    <w:basedOn w:val="5"/>
    <w:link w:val="2"/>
    <w:autoRedefine/>
    <w:qFormat/>
    <w:locked/>
    <w:uiPriority w:val="99"/>
    <w:rPr>
      <w:rFonts w:cs="Times New Roman"/>
      <w:sz w:val="18"/>
      <w:szCs w:val="18"/>
    </w:rPr>
  </w:style>
  <w:style w:type="character" w:customStyle="1" w:styleId="7">
    <w:name w:val="Header Char"/>
    <w:basedOn w:val="5"/>
    <w:link w:val="3"/>
    <w:qFormat/>
    <w:locked/>
    <w:uiPriority w:val="99"/>
    <w:rPr>
      <w:rFonts w:cs="Times New Roman"/>
      <w:sz w:val="18"/>
      <w:szCs w:val="18"/>
    </w:rPr>
  </w:style>
  <w:style w:type="paragraph" w:customStyle="1" w:styleId="8">
    <w:name w:val="正文1"/>
    <w:basedOn w:val="1"/>
    <w:qFormat/>
    <w:uiPriority w:val="99"/>
    <w:pPr>
      <w:widowControl/>
    </w:pPr>
    <w:rPr>
      <w:kern w:val="0"/>
      <w:lang w:eastAsia="en-US"/>
    </w:rPr>
  </w:style>
  <w:style w:type="paragraph" w:customStyle="1" w:styleId="9">
    <w:name w:val="p0"/>
    <w:basedOn w:val="1"/>
    <w:qFormat/>
    <w:uiPriority w:val="99"/>
    <w:pPr>
      <w:widowControl/>
    </w:pPr>
    <w:rPr>
      <w:rFonts w:ascii="Times New Roman" w:hAnsi="Times New Roman" w:cs="Times New Roman"/>
      <w:kern w:val="0"/>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Normal_Wordconv.dotm</Template>
  <Company>Sky123.Org</Company>
  <Pages>14</Pages>
  <Words>814</Words>
  <Characters>4643</Characters>
  <Lines>0</Lines>
  <Paragraphs>0</Paragraphs>
  <TotalTime>11</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2017-08-30T01:50:00Z</dcterms:created>
  <dc:creator>Sky123.Org</dc:creator>
  <cp:lastModifiedBy>Administrator</cp:lastModifiedBy>
  <dcterms:modified xsi:type="dcterms:W3CDTF">2024-01-18T03:20:49Z</dcterms:modified>
  <cp:revision>343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FBA5462695A744A187A3C3C1A157B54F_12</vt:lpwstr>
  </property>
</Properties>
</file>