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14.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spacing w:after="0" w:line="600" w:lineRule="exact"/>
        <w:jc w:val="center"/>
        <w:rPr>
          <w:b/>
          <w:sz w:val="44"/>
          <w:szCs w:val="44"/>
        </w:rPr>
      </w:pPr>
      <w:r>
        <w:rPr>
          <w:rFonts w:hint="eastAsia"/>
          <w:b/>
          <w:sz w:val="44"/>
          <w:szCs w:val="44"/>
        </w:rPr>
        <w:t>中共廊坊市大城县委宣传部</w:t>
      </w:r>
    </w:p>
    <w:p>
      <w:pPr>
        <w:widowControl/>
        <w:spacing w:after="0" w:line="600" w:lineRule="exact"/>
        <w:ind w:firstLine="4417" w:firstLineChars="1000"/>
        <w:jc w:val="left"/>
        <w:rPr>
          <w:b/>
          <w:sz w:val="44"/>
          <w:szCs w:val="44"/>
        </w:rPr>
      </w:pPr>
    </w:p>
    <w:p>
      <w:pPr>
        <w:widowControl/>
        <w:spacing w:after="0" w:line="600" w:lineRule="exact"/>
        <w:ind w:firstLine="4417" w:firstLineChars="1000"/>
        <w:jc w:val="left"/>
        <w:rPr>
          <w:b/>
          <w:sz w:val="44"/>
          <w:szCs w:val="44"/>
        </w:rPr>
      </w:pPr>
    </w:p>
    <w:p>
      <w:pPr>
        <w:widowControl/>
        <w:spacing w:after="0" w:line="600" w:lineRule="exact"/>
        <w:ind w:firstLine="4417" w:firstLineChars="1000"/>
        <w:jc w:val="left"/>
        <w:rPr>
          <w:b/>
          <w:sz w:val="44"/>
          <w:szCs w:val="44"/>
        </w:rPr>
      </w:pPr>
    </w:p>
    <w:p>
      <w:pPr>
        <w:widowControl/>
        <w:spacing w:after="0" w:line="600" w:lineRule="exact"/>
        <w:ind w:firstLine="4417" w:firstLineChars="1000"/>
        <w:jc w:val="left"/>
        <w:rPr>
          <w:b/>
          <w:sz w:val="44"/>
          <w:szCs w:val="44"/>
        </w:rPr>
      </w:pPr>
    </w:p>
    <w:p>
      <w:pPr>
        <w:widowControl/>
        <w:spacing w:after="0" w:line="600" w:lineRule="exact"/>
        <w:ind w:firstLine="4417" w:firstLineChars="1000"/>
        <w:jc w:val="left"/>
        <w:rPr>
          <w:b/>
          <w:sz w:val="44"/>
          <w:szCs w:val="44"/>
        </w:rPr>
      </w:pPr>
    </w:p>
    <w:p>
      <w:pPr>
        <w:widowControl/>
        <w:spacing w:after="0" w:line="600" w:lineRule="exact"/>
        <w:ind w:firstLine="4417" w:firstLineChars="1000"/>
        <w:jc w:val="left"/>
        <w:rPr>
          <w:b/>
          <w:sz w:val="44"/>
          <w:szCs w:val="44"/>
        </w:rPr>
      </w:pPr>
    </w:p>
    <w:p>
      <w:pPr>
        <w:widowControl/>
        <w:spacing w:after="0" w:line="600" w:lineRule="exact"/>
        <w:ind w:firstLine="4417" w:firstLineChars="1000"/>
        <w:jc w:val="left"/>
        <w:rPr>
          <w:b/>
          <w:sz w:val="44"/>
          <w:szCs w:val="44"/>
        </w:rPr>
      </w:pPr>
    </w:p>
    <w:p>
      <w:pPr>
        <w:widowControl/>
        <w:spacing w:after="0" w:line="600" w:lineRule="exact"/>
        <w:ind w:firstLine="4417" w:firstLineChars="1000"/>
        <w:jc w:val="left"/>
        <w:rPr>
          <w:b/>
          <w:sz w:val="44"/>
          <w:szCs w:val="44"/>
        </w:rPr>
      </w:pPr>
    </w:p>
    <w:p>
      <w:pPr>
        <w:widowControl/>
        <w:spacing w:after="0" w:line="600" w:lineRule="exact"/>
        <w:ind w:firstLine="4417" w:firstLineChars="1000"/>
        <w:jc w:val="left"/>
        <w:rPr>
          <w:b/>
          <w:sz w:val="44"/>
          <w:szCs w:val="44"/>
        </w:rPr>
      </w:pPr>
    </w:p>
    <w:p>
      <w:pPr>
        <w:widowControl/>
        <w:spacing w:after="0" w:line="600" w:lineRule="exact"/>
        <w:ind w:firstLine="4417" w:firstLineChars="1000"/>
        <w:jc w:val="left"/>
        <w:rPr>
          <w:b/>
          <w:sz w:val="44"/>
          <w:szCs w:val="44"/>
        </w:rPr>
      </w:pPr>
    </w:p>
    <w:p>
      <w:pPr>
        <w:widowControl/>
        <w:spacing w:after="0" w:line="6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黑体"/>
          <w:sz w:val="32"/>
          <w:szCs w:val="32"/>
        </w:rPr>
      </w:pPr>
      <w:r>
        <w:rPr>
          <w:rFonts w:eastAsia="黑体"/>
          <w:sz w:val="32"/>
          <w:szCs w:val="32"/>
        </w:rPr>
        <w:t xml:space="preserve">第二部分 </w:t>
      </w:r>
      <w:r>
        <w:rPr>
          <w:rFonts w:hint="eastAsia" w:eastAsia="黑体"/>
          <w:sz w:val="32"/>
          <w:szCs w:val="32"/>
        </w:rPr>
        <w:t>中共廊坊市大城县委宣传部</w:t>
      </w:r>
      <w:r>
        <w:rPr>
          <w:rFonts w:eastAsia="黑体"/>
          <w:sz w:val="32"/>
          <w:szCs w:val="32"/>
        </w:rPr>
        <w:t>201</w:t>
      </w:r>
      <w:r>
        <w:rPr>
          <w:rFonts w:hint="eastAsia" w:eastAsia="黑体"/>
          <w:sz w:val="32"/>
          <w:szCs w:val="32"/>
        </w:rPr>
        <w:t>8</w:t>
      </w:r>
      <w:r>
        <w:rPr>
          <w:rFonts w:eastAsia="黑体"/>
          <w:sz w:val="32"/>
          <w:szCs w:val="32"/>
        </w:rPr>
        <w:t>年度部门决算</w:t>
      </w:r>
    </w:p>
    <w:p>
      <w:pPr>
        <w:widowControl/>
        <w:spacing w:line="580" w:lineRule="exact"/>
        <w:ind w:firstLine="640" w:firstLineChars="200"/>
        <w:rPr>
          <w:rFonts w:eastAsia="仿宋_GB2312"/>
          <w:sz w:val="20"/>
          <w:szCs w:val="32"/>
        </w:rPr>
      </w:pPr>
      <w:r>
        <w:rPr>
          <w:rFonts w:eastAsia="黑体"/>
          <w:sz w:val="32"/>
          <w:szCs w:val="32"/>
        </w:rPr>
        <w:t>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中共廊坊市大城县委宣传部</w:t>
      </w:r>
      <w:r>
        <w:rPr>
          <w:rFonts w:eastAsia="黑体"/>
          <w:sz w:val="32"/>
          <w:szCs w:val="32"/>
        </w:rPr>
        <w:t>201</w:t>
      </w:r>
      <w:r>
        <w:rPr>
          <w:rFonts w:hint="eastAsia" w:eastAsia="黑体"/>
          <w:sz w:val="32"/>
          <w:szCs w:val="32"/>
        </w:rPr>
        <w:t>8</w:t>
      </w:r>
      <w:r>
        <w:rPr>
          <w:rFonts w:eastAsia="黑体"/>
          <w:sz w:val="32"/>
          <w:szCs w:val="32"/>
        </w:rPr>
        <w:t>年部门决算情</w:t>
      </w:r>
    </w:p>
    <w:p>
      <w:pPr>
        <w:widowControl/>
        <w:spacing w:line="580" w:lineRule="exact"/>
        <w:ind w:firstLine="640" w:firstLineChars="200"/>
        <w:rPr>
          <w:rFonts w:eastAsia="黑体"/>
          <w:sz w:val="32"/>
          <w:szCs w:val="32"/>
        </w:rPr>
      </w:pPr>
      <w:r>
        <w:rPr>
          <w:rFonts w:eastAsia="黑体"/>
          <w:sz w:val="32"/>
          <w:szCs w:val="32"/>
        </w:rPr>
        <w:t>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numPr>
          <w:ilvl w:val="0"/>
          <w:numId w:val="1"/>
        </w:numPr>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部门职责</w:t>
      </w:r>
    </w:p>
    <w:p>
      <w:pPr>
        <w:widowControl/>
        <w:autoSpaceDE w:val="0"/>
        <w:spacing w:line="580" w:lineRule="exact"/>
        <w:ind w:firstLine="640" w:firstLineChars="200"/>
      </w:pPr>
      <w:r>
        <w:rPr>
          <w:rFonts w:hint="eastAsia" w:ascii="仿宋_GB2312" w:hAnsi="仿宋_GB2312" w:eastAsia="仿宋_GB2312"/>
          <w:sz w:val="32"/>
          <w:szCs w:val="32"/>
        </w:rPr>
        <w:t>宣传部是县委在意识形态方面的综合职能部门。主要任务是：负责指导全县理论研究、理论学习、理论宣传工作。负责县委理论学习中心组学习的有关工作；负责引导社会舆论，对县电视台的工作实施政治方向和方针、政策指导；负责从宏观上指导全县精神产品生产和文化市场管理；负责规划、部署全县思想政治工作任务，组织对全县性先进典型的学习推广，负责基层党员教育工作，负责全县爱国主义教育基地的建设、管理、使用；负责网络舆情的监测与信息管理；根据大办发【2004】44号文件要求，会同县委组织部管理县直宣传文化系统副科级以上干部，并负责股级干部管理工作；制定全县宣传文化系统股级以上干部和业务骨干的培训规划并组织实施；负责全县政工职称评定、管理工作；负责指导、组织、协调全县对外宣传工作和对外文化交流联络工作；研究提出有关全县精神文明建设的政策和意见，规划、部署全县精神文明建设工作，组织指导全县群众性精神文明创建活动；按照县委的规定，管理县国防教育领导小组办公室的工作；团结和动员全县广大文学艺术工作者，深入生活，创作有中国特色社会主义文化精品，“以优秀的作品鼓舞人”，促进先进文化的发展；及时把县委、县政府工作思路、工作特点、重大典型宣传到广大干部群众当中，及时反馈社会关注的热点、难点、焦点问题，为领导谋思路、作决策提供参考。同时，统一思想，凝聚人心，鼓励发展，团结一致，把人们思想统一到县委、县政府中心工作上来，为完成全县工作目标营造社会文化氛围，用社会主义思想占领农村文化阵地；完成县委和市委宣传部交办的其它任务。</w:t>
      </w:r>
    </w:p>
    <w:p>
      <w:pPr>
        <w:pStyle w:val="2"/>
        <w:spacing w:before="0" w:after="0" w:line="600" w:lineRule="exact"/>
        <w:jc w:val="left"/>
        <w:rPr>
          <w:rFonts w:ascii="黑体" w:eastAsia="黑体" w:cs="黑体" w:hAnsiTheme="minorHAnsi"/>
          <w:b w:val="0"/>
          <w:bCs w:val="0"/>
          <w:kern w:val="0"/>
          <w:sz w:val="32"/>
          <w:szCs w:val="32"/>
        </w:rPr>
      </w:pPr>
    </w:p>
    <w:p>
      <w:pPr>
        <w:pStyle w:val="2"/>
        <w:spacing w:before="0" w:after="0" w:line="600" w:lineRule="exact"/>
        <w:jc w:val="left"/>
        <w:rPr>
          <w:rFonts w:ascii="黑体" w:eastAsia="黑体" w:cs="黑体" w:hAnsiTheme="minorHAnsi"/>
          <w:b w:val="0"/>
          <w:bCs w:val="0"/>
          <w:kern w:val="0"/>
          <w:sz w:val="32"/>
          <w:szCs w:val="32"/>
        </w:rPr>
      </w:pPr>
    </w:p>
    <w:p>
      <w:pPr>
        <w:pStyle w:val="2"/>
        <w:spacing w:before="0" w:after="0" w:line="600" w:lineRule="exact"/>
        <w:jc w:val="left"/>
        <w:rPr>
          <w:rFonts w:ascii="黑体" w:eastAsia="黑体" w:cs="黑体" w:hAnsiTheme="minorHAnsi"/>
          <w:b w:val="0"/>
          <w:bCs w:val="0"/>
          <w:kern w:val="0"/>
          <w:sz w:val="32"/>
          <w:szCs w:val="32"/>
        </w:rPr>
      </w:pP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年度本部门决算汇编范围的独立核算单位（以下简称“单位”）共1个，具体情况如下：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510"/>
        <w:gridCol w:w="2268"/>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4510"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268"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1817"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4510"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中共河北省大城县委宣传部(本级)</w:t>
            </w:r>
          </w:p>
        </w:tc>
        <w:tc>
          <w:tcPr>
            <w:tcW w:w="2268"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行政单位</w:t>
            </w:r>
          </w:p>
        </w:tc>
        <w:tc>
          <w:tcPr>
            <w:tcW w:w="1817"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4510" w:type="dxa"/>
          </w:tcPr>
          <w:p>
            <w:pPr>
              <w:spacing w:after="0" w:line="560" w:lineRule="exact"/>
              <w:rPr>
                <w:rFonts w:ascii="仿宋_GB2312" w:eastAsia="仿宋_GB2312" w:cs="ArialUnicodeMS" w:hAnsiTheme="minorHAnsi"/>
                <w:kern w:val="0"/>
                <w:sz w:val="28"/>
                <w:szCs w:val="28"/>
              </w:rPr>
            </w:pPr>
          </w:p>
        </w:tc>
        <w:tc>
          <w:tcPr>
            <w:tcW w:w="2268" w:type="dxa"/>
          </w:tcPr>
          <w:p>
            <w:pPr>
              <w:spacing w:after="0" w:line="560" w:lineRule="exact"/>
              <w:jc w:val="center"/>
              <w:rPr>
                <w:rFonts w:ascii="仿宋_GB2312" w:eastAsia="仿宋_GB2312" w:cs="ArialUnicodeMS" w:hAnsiTheme="minorHAnsi"/>
                <w:kern w:val="0"/>
                <w:sz w:val="28"/>
                <w:szCs w:val="28"/>
              </w:rPr>
            </w:pPr>
          </w:p>
        </w:tc>
        <w:tc>
          <w:tcPr>
            <w:tcW w:w="1817"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3</w:t>
            </w:r>
          </w:p>
        </w:tc>
        <w:tc>
          <w:tcPr>
            <w:tcW w:w="4510" w:type="dxa"/>
          </w:tcPr>
          <w:p>
            <w:pPr>
              <w:spacing w:after="0" w:line="560" w:lineRule="exact"/>
              <w:rPr>
                <w:rFonts w:ascii="仿宋_GB2312" w:eastAsia="仿宋_GB2312" w:cs="ArialUnicodeMS" w:hAnsiTheme="minorHAnsi"/>
                <w:kern w:val="0"/>
                <w:sz w:val="28"/>
                <w:szCs w:val="28"/>
              </w:rPr>
            </w:pPr>
          </w:p>
        </w:tc>
        <w:tc>
          <w:tcPr>
            <w:tcW w:w="2268" w:type="dxa"/>
          </w:tcPr>
          <w:p>
            <w:pPr>
              <w:spacing w:after="0" w:line="560" w:lineRule="exact"/>
              <w:jc w:val="center"/>
              <w:rPr>
                <w:rFonts w:ascii="仿宋_GB2312" w:eastAsia="仿宋_GB2312" w:cs="ArialUnicodeMS" w:hAnsiTheme="minorHAnsi"/>
                <w:kern w:val="0"/>
                <w:sz w:val="28"/>
                <w:szCs w:val="28"/>
              </w:rPr>
            </w:pPr>
          </w:p>
        </w:tc>
        <w:tc>
          <w:tcPr>
            <w:tcW w:w="1817"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4510" w:type="dxa"/>
            <w:tcBorders>
              <w:bottom w:val="single" w:color="auto" w:sz="4" w:space="0"/>
            </w:tcBorders>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2268"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c>
          <w:tcPr>
            <w:tcW w:w="1817"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r>
    </w:tbl>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1200" w:lineRule="exact"/>
        <w:jc w:val="center"/>
        <w:rPr>
          <w:rFonts w:eastAsiaTheme="minorEastAsia"/>
          <w:color w:val="000000" w:themeColor="text1"/>
          <w:sz w:val="72"/>
          <w:szCs w:val="96"/>
        </w:rPr>
      </w:pPr>
      <w:r>
        <w:rPr>
          <w:rFonts w:hint="eastAsia" w:hAnsi="宋体" w:asciiTheme="minorEastAsia" w:eastAsiaTheme="minorEastAsia"/>
          <w:color w:val="000000" w:themeColor="text1"/>
          <w:sz w:val="72"/>
          <w:szCs w:val="96"/>
        </w:rPr>
        <w:t>(见附表）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本部门2018年度收入总计（含结转和结余）966.11万元。与2017年度决算相比，收入增加2.41万元，增长0.25%，主要是人员经费调整。2018年度支出总计966.11万元，支出增加2.41万元，增长0.25%，主要是人员经费调整。</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本部门2018年度本年收入合计880.91万元，其中：财政拨款收入765.91万元，占86.95%；其他收入115万元，占13.05%。如图所示：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jc w:val="center"/>
        <w:rPr>
          <w:rFonts w:ascii="黑体" w:eastAsia="黑体" w:hAnsiTheme="majorHAnsi" w:cstheme="majorBidi"/>
          <w:sz w:val="32"/>
          <w:szCs w:val="32"/>
        </w:rPr>
      </w:pPr>
      <w:r>
        <w:rPr>
          <w:rFonts w:hint="eastAsia" w:ascii="黑体" w:eastAsia="黑体" w:hAnsiTheme="majorHAnsi" w:cstheme="majorBidi"/>
          <w:sz w:val="32"/>
          <w:szCs w:val="32"/>
        </w:rPr>
        <w:drawing>
          <wp:inline distT="0" distB="0" distL="114300" distR="114300">
            <wp:extent cx="3718560" cy="2524125"/>
            <wp:effectExtent l="4445" t="4445" r="10795"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本部门2018年度本年支出合计803.73万元，其中：基本支出226.03万元，占28.12%；项目支出577.69万元，占71.88%。如图所示：</w:t>
      </w:r>
    </w:p>
    <w:p>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图2：支出决算结构饼状图</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251659264" behindDoc="0" locked="0" layoutInCell="1" allowOverlap="1">
            <wp:simplePos x="0" y="0"/>
            <wp:positionH relativeFrom="column">
              <wp:posOffset>390525</wp:posOffset>
            </wp:positionH>
            <wp:positionV relativeFrom="paragraph">
              <wp:posOffset>76835</wp:posOffset>
            </wp:positionV>
            <wp:extent cx="5080000" cy="3810000"/>
            <wp:effectExtent l="0" t="0" r="6350"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jc w:val="center"/>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765.91万元,比2017年度减少85.29万元，降低9.73%，主要是项目调整；本年支出765.91万元，减少85.29万元，降低9.73%，主要是项目资金调整。</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图3：财政拨款收支情况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251660288" behindDoc="0" locked="0" layoutInCell="1" allowOverlap="1">
            <wp:simplePos x="0" y="0"/>
            <wp:positionH relativeFrom="column">
              <wp:posOffset>715645</wp:posOffset>
            </wp:positionH>
            <wp:positionV relativeFrom="paragraph">
              <wp:posOffset>229235</wp:posOffset>
            </wp:positionV>
            <wp:extent cx="4328160" cy="2628900"/>
            <wp:effectExtent l="4445" t="4445" r="10795" b="1460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jc w:val="center"/>
        <w:rPr>
          <w:rFonts w:ascii="仿宋_GB2312" w:eastAsia="仿宋_GB2312" w:cs="DengXian-Regular"/>
          <w:sz w:val="32"/>
          <w:szCs w:val="32"/>
        </w:rPr>
      </w:pPr>
    </w:p>
    <w:p>
      <w:pPr>
        <w:adjustRightInd w:val="0"/>
        <w:snapToGrid w:val="0"/>
        <w:spacing w:after="0" w:line="580" w:lineRule="exact"/>
        <w:ind w:firstLine="640" w:firstLineChars="200"/>
        <w:jc w:val="center"/>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765.91万元，完成年初预算的159.77%,比年初预算增加286.52万元，决算数大于预算数主要是人员增资，项目调整；本年支出765.91万元，完成年初预算的159.77%,比年初预算增加286.52万元，决算数大于预算数主要是人员增资，项目调整。</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图4：财政拨款收支预决算对比情况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highlight w:val="yellow"/>
        </w:rPr>
        <w:drawing>
          <wp:anchor distT="0" distB="0" distL="114300" distR="114300" simplePos="0" relativeHeight="251661312" behindDoc="0" locked="0" layoutInCell="1" allowOverlap="1">
            <wp:simplePos x="0" y="0"/>
            <wp:positionH relativeFrom="column">
              <wp:posOffset>714375</wp:posOffset>
            </wp:positionH>
            <wp:positionV relativeFrom="paragraph">
              <wp:posOffset>111760</wp:posOffset>
            </wp:positionV>
            <wp:extent cx="4432935" cy="3077210"/>
            <wp:effectExtent l="4445" t="4445" r="20320" b="2349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jc w:val="center"/>
        <w:rPr>
          <w:rFonts w:ascii="仿宋_GB2312" w:eastAsia="仿宋_GB2312" w:cs="DengXian-Regular"/>
          <w:sz w:val="32"/>
          <w:szCs w:val="32"/>
          <w:highlight w:val="yellow"/>
        </w:rPr>
      </w:pPr>
    </w:p>
    <w:p>
      <w:pPr>
        <w:numPr>
          <w:ilvl w:val="0"/>
          <w:numId w:val="2"/>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年度财政拨款支出xx万元，主要用于以下方面一般公共服务（类）支出233.56万元，占26.51%；文化体育与传媒（类）支出614万元，占69.7%；；社会保障和就业（类）支出 22.37万元，占2.54%；医疗卫生与计划生育（类）支出9.99万元，占1.13%;资源勘探信息等（类）支出1，占0.11%。</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251662336" behindDoc="0" locked="0" layoutInCell="1" allowOverlap="1">
            <wp:simplePos x="0" y="0"/>
            <wp:positionH relativeFrom="column">
              <wp:posOffset>730250</wp:posOffset>
            </wp:positionH>
            <wp:positionV relativeFrom="paragraph">
              <wp:posOffset>35560</wp:posOffset>
            </wp:positionV>
            <wp:extent cx="4289425" cy="3258185"/>
            <wp:effectExtent l="0" t="0" r="15875" b="1841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jc w:val="center"/>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年度一般公共预算财政拨款基本支出226.03万元，其中：人员经费 210.9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15.13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rPr>
        <w:t>7.19</w:t>
      </w:r>
      <w:r>
        <w:rPr>
          <w:rFonts w:eastAsia="仿宋_GB2312"/>
          <w:sz w:val="32"/>
          <w:szCs w:val="32"/>
        </w:rPr>
        <w:t>万元，</w:t>
      </w:r>
      <w:r>
        <w:rPr>
          <w:rFonts w:hint="eastAsia" w:eastAsia="仿宋_GB2312"/>
          <w:sz w:val="32"/>
          <w:szCs w:val="32"/>
        </w:rPr>
        <w:t>比</w:t>
      </w:r>
      <w:r>
        <w:rPr>
          <w:rFonts w:eastAsia="仿宋_GB2312"/>
          <w:sz w:val="32"/>
          <w:szCs w:val="32"/>
        </w:rPr>
        <w:t>年初预算增减少</w:t>
      </w:r>
      <w:r>
        <w:rPr>
          <w:rFonts w:hint="eastAsia" w:eastAsia="仿宋_GB2312"/>
          <w:sz w:val="32"/>
          <w:szCs w:val="32"/>
        </w:rPr>
        <w:t>0.81</w:t>
      </w:r>
      <w:r>
        <w:rPr>
          <w:rFonts w:eastAsia="仿宋_GB2312"/>
          <w:sz w:val="32"/>
          <w:szCs w:val="32"/>
        </w:rPr>
        <w:t>万元，降低</w:t>
      </w:r>
      <w:r>
        <w:rPr>
          <w:rFonts w:hint="eastAsia" w:eastAsia="仿宋_GB2312"/>
          <w:sz w:val="32"/>
          <w:szCs w:val="32"/>
        </w:rPr>
        <w:t>10.13</w:t>
      </w:r>
      <w:r>
        <w:rPr>
          <w:rFonts w:eastAsia="仿宋_GB2312"/>
          <w:sz w:val="32"/>
          <w:szCs w:val="32"/>
        </w:rPr>
        <w:t>%，主要是</w:t>
      </w:r>
      <w:r>
        <w:rPr>
          <w:rFonts w:hint="eastAsia" w:eastAsia="仿宋_GB2312"/>
          <w:sz w:val="32"/>
          <w:szCs w:val="32"/>
        </w:rPr>
        <w:t>厉行节约，减少三公经费支出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rPr>
        <w:t>3.77</w:t>
      </w:r>
      <w:r>
        <w:rPr>
          <w:rFonts w:eastAsia="仿宋_GB2312"/>
          <w:sz w:val="32"/>
          <w:szCs w:val="32"/>
        </w:rPr>
        <w:t>万元，降低</w:t>
      </w:r>
      <w:r>
        <w:rPr>
          <w:rFonts w:hint="eastAsia" w:eastAsia="仿宋_GB2312"/>
          <w:sz w:val="32"/>
          <w:szCs w:val="32"/>
        </w:rPr>
        <w:t>34.4</w:t>
      </w:r>
      <w:r>
        <w:rPr>
          <w:rFonts w:eastAsia="仿宋_GB2312"/>
          <w:sz w:val="32"/>
          <w:szCs w:val="32"/>
        </w:rPr>
        <w:t>%，主要是</w:t>
      </w:r>
      <w:r>
        <w:rPr>
          <w:rFonts w:hint="eastAsia" w:eastAsia="仿宋_GB2312"/>
          <w:sz w:val="32"/>
          <w:szCs w:val="32"/>
        </w:rPr>
        <w:t>厉行节约，减少三公经费支出</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eastAsia="仿宋_GB2312"/>
          <w:color w:val="000000"/>
          <w:sz w:val="32"/>
          <w:szCs w:val="32"/>
        </w:rPr>
        <w:t>较年初预算无增减变化</w:t>
      </w:r>
      <w:r>
        <w:rPr>
          <w:rFonts w:hint="eastAsia" w:eastAsia="仿宋_GB2312"/>
          <w:color w:val="000000"/>
          <w:sz w:val="32"/>
          <w:szCs w:val="32"/>
        </w:rPr>
        <w:t>，</w:t>
      </w:r>
      <w:r>
        <w:rPr>
          <w:rFonts w:eastAsia="仿宋_GB2312"/>
          <w:color w:val="000000"/>
          <w:sz w:val="32"/>
          <w:szCs w:val="32"/>
        </w:rPr>
        <w:t>较201</w:t>
      </w:r>
      <w:r>
        <w:rPr>
          <w:rFonts w:hint="eastAsia" w:eastAsia="仿宋_GB2312"/>
          <w:color w:val="000000"/>
          <w:sz w:val="32"/>
          <w:szCs w:val="32"/>
        </w:rPr>
        <w:t>7</w:t>
      </w:r>
      <w:r>
        <w:rPr>
          <w:rFonts w:eastAsia="仿宋_GB2312"/>
          <w:color w:val="000000"/>
          <w:sz w:val="32"/>
          <w:szCs w:val="32"/>
        </w:rPr>
        <w:t>年度决算无增减变化</w:t>
      </w:r>
      <w:r>
        <w:rPr>
          <w:rFonts w:hint="eastAsia" w:eastAsia="仿宋_GB2312"/>
          <w:color w:val="000000"/>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7.19</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rPr>
        <w:t>0.81</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rPr>
        <w:t>10.13</w:t>
      </w:r>
      <w:r>
        <w:rPr>
          <w:rFonts w:eastAsia="仿宋_GB2312"/>
          <w:sz w:val="32"/>
          <w:szCs w:val="32"/>
        </w:rPr>
        <w:t>%</w:t>
      </w:r>
      <w:r>
        <w:rPr>
          <w:rFonts w:hint="eastAsia" w:ascii="仿宋_GB2312" w:eastAsia="仿宋_GB2312" w:cs="DengXian-Regular"/>
          <w:sz w:val="32"/>
          <w:szCs w:val="32"/>
        </w:rPr>
        <w:t>,主要是</w:t>
      </w:r>
      <w:r>
        <w:rPr>
          <w:rFonts w:hint="eastAsia" w:eastAsia="仿宋_GB2312"/>
          <w:sz w:val="32"/>
          <w:szCs w:val="32"/>
        </w:rPr>
        <w:t>厉行节约，减少三公经费支出</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rPr>
        <w:t>3.77</w:t>
      </w:r>
      <w:r>
        <w:rPr>
          <w:rFonts w:eastAsia="仿宋_GB2312"/>
          <w:sz w:val="32"/>
          <w:szCs w:val="32"/>
        </w:rPr>
        <w:t>万元，降低</w:t>
      </w:r>
      <w:r>
        <w:rPr>
          <w:rFonts w:hint="eastAsia" w:eastAsia="仿宋_GB2312"/>
          <w:sz w:val="32"/>
          <w:szCs w:val="32"/>
        </w:rPr>
        <w:t>34.4</w:t>
      </w:r>
      <w:r>
        <w:rPr>
          <w:rFonts w:eastAsia="仿宋_GB2312"/>
          <w:sz w:val="32"/>
          <w:szCs w:val="32"/>
        </w:rPr>
        <w:t>%，主要是</w:t>
      </w:r>
      <w:r>
        <w:rPr>
          <w:rFonts w:hint="eastAsia" w:eastAsia="仿宋_GB2312"/>
          <w:sz w:val="32"/>
          <w:szCs w:val="32"/>
        </w:rPr>
        <w:t>厉行节约，减少三公经费支出</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rPr>
        <w:t>0</w:t>
      </w:r>
      <w:r>
        <w:rPr>
          <w:rFonts w:eastAsia="仿宋_GB2312"/>
          <w:sz w:val="32"/>
          <w:szCs w:val="32"/>
        </w:rPr>
        <w:t>辆。公务用车购置费支出</w:t>
      </w:r>
      <w:r>
        <w:rPr>
          <w:rFonts w:eastAsia="仿宋_GB2312"/>
          <w:color w:val="000000"/>
          <w:sz w:val="32"/>
          <w:szCs w:val="32"/>
        </w:rPr>
        <w:t>较年初预算无增减变化</w:t>
      </w:r>
      <w:r>
        <w:rPr>
          <w:rFonts w:hint="eastAsia" w:eastAsia="仿宋_GB2312"/>
          <w:color w:val="000000"/>
          <w:sz w:val="32"/>
          <w:szCs w:val="32"/>
        </w:rPr>
        <w:t>，</w:t>
      </w:r>
      <w:r>
        <w:rPr>
          <w:rFonts w:eastAsia="仿宋_GB2312"/>
          <w:color w:val="000000"/>
          <w:sz w:val="32"/>
          <w:szCs w:val="32"/>
        </w:rPr>
        <w:t>较201</w:t>
      </w:r>
      <w:r>
        <w:rPr>
          <w:rFonts w:hint="eastAsia" w:eastAsia="仿宋_GB2312"/>
          <w:color w:val="000000"/>
          <w:sz w:val="32"/>
          <w:szCs w:val="32"/>
        </w:rPr>
        <w:t>7</w:t>
      </w:r>
      <w:r>
        <w:rPr>
          <w:rFonts w:eastAsia="仿宋_GB2312"/>
          <w:color w:val="000000"/>
          <w:sz w:val="32"/>
          <w:szCs w:val="32"/>
        </w:rPr>
        <w:t>年度决算无增减变化</w:t>
      </w:r>
      <w:r>
        <w:rPr>
          <w:rFonts w:hint="eastAsia" w:eastAsia="仿宋_GB2312"/>
          <w:color w:val="000000"/>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rPr>
        <w:t>7.19</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rPr>
        <w:t>1</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rPr>
        <w:t>0.81</w:t>
      </w:r>
      <w:r>
        <w:rPr>
          <w:rFonts w:eastAsia="仿宋_GB2312"/>
          <w:sz w:val="32"/>
          <w:szCs w:val="32"/>
        </w:rPr>
        <w:t>万元，降低</w:t>
      </w:r>
      <w:r>
        <w:rPr>
          <w:rFonts w:hint="eastAsia" w:eastAsia="仿宋_GB2312"/>
          <w:sz w:val="32"/>
          <w:szCs w:val="32"/>
        </w:rPr>
        <w:t>10.13</w:t>
      </w:r>
      <w:r>
        <w:rPr>
          <w:rFonts w:eastAsia="仿宋_GB2312"/>
          <w:sz w:val="32"/>
          <w:szCs w:val="32"/>
        </w:rPr>
        <w:t>%，主要是</w:t>
      </w:r>
      <w:r>
        <w:rPr>
          <w:rFonts w:hint="eastAsia" w:eastAsia="仿宋_GB2312"/>
          <w:sz w:val="32"/>
          <w:szCs w:val="32"/>
        </w:rPr>
        <w:t>厉行节约，减少三公经费支出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rPr>
        <w:t>3.77</w:t>
      </w:r>
      <w:r>
        <w:rPr>
          <w:rFonts w:eastAsia="仿宋_GB2312"/>
          <w:sz w:val="32"/>
          <w:szCs w:val="32"/>
        </w:rPr>
        <w:t>万元，降低</w:t>
      </w:r>
      <w:r>
        <w:rPr>
          <w:rFonts w:hint="eastAsia" w:eastAsia="仿宋_GB2312"/>
          <w:sz w:val="32"/>
          <w:szCs w:val="32"/>
        </w:rPr>
        <w:t>34.4</w:t>
      </w:r>
      <w:r>
        <w:rPr>
          <w:rFonts w:eastAsia="仿宋_GB2312"/>
          <w:sz w:val="32"/>
          <w:szCs w:val="32"/>
        </w:rPr>
        <w:t>%，主要是</w:t>
      </w:r>
      <w:r>
        <w:rPr>
          <w:rFonts w:hint="eastAsia" w:eastAsia="仿宋_GB2312"/>
          <w:sz w:val="32"/>
          <w:szCs w:val="32"/>
        </w:rPr>
        <w:t>厉行节约，减少三公经费支出</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楷体_GB2312"/>
          <w:b/>
          <w:bCs/>
          <w:sz w:val="32"/>
          <w:szCs w:val="32"/>
        </w:rPr>
        <w:t>（三）公务接待费支出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rPr>
        <w:t>0</w:t>
      </w:r>
      <w:r>
        <w:rPr>
          <w:rFonts w:eastAsia="仿宋_GB2312"/>
          <w:sz w:val="32"/>
          <w:szCs w:val="32"/>
        </w:rPr>
        <w:t>批次、</w:t>
      </w:r>
      <w:r>
        <w:rPr>
          <w:rFonts w:hint="eastAsia" w:eastAsia="仿宋_GB2312"/>
          <w:sz w:val="32"/>
          <w:szCs w:val="32"/>
        </w:rPr>
        <w:t>0</w:t>
      </w:r>
      <w:r>
        <w:rPr>
          <w:rFonts w:eastAsia="仿宋_GB2312"/>
          <w:sz w:val="32"/>
          <w:szCs w:val="32"/>
        </w:rPr>
        <w:t>人次。公务接待费支出</w:t>
      </w:r>
      <w:r>
        <w:rPr>
          <w:rFonts w:eastAsia="仿宋_GB2312"/>
          <w:color w:val="000000"/>
          <w:sz w:val="32"/>
          <w:szCs w:val="32"/>
        </w:rPr>
        <w:t>较年初预算无增减变化</w:t>
      </w:r>
      <w:r>
        <w:rPr>
          <w:rFonts w:hint="eastAsia" w:eastAsia="仿宋_GB2312"/>
          <w:color w:val="000000"/>
          <w:sz w:val="32"/>
          <w:szCs w:val="32"/>
        </w:rPr>
        <w:t>，</w:t>
      </w:r>
      <w:r>
        <w:rPr>
          <w:rFonts w:eastAsia="仿宋_GB2312"/>
          <w:color w:val="000000"/>
          <w:sz w:val="32"/>
          <w:szCs w:val="32"/>
        </w:rPr>
        <w:t>较201</w:t>
      </w:r>
      <w:r>
        <w:rPr>
          <w:rFonts w:hint="eastAsia" w:eastAsia="仿宋_GB2312"/>
          <w:color w:val="000000"/>
          <w:sz w:val="32"/>
          <w:szCs w:val="32"/>
        </w:rPr>
        <w:t>7</w:t>
      </w:r>
      <w:r>
        <w:rPr>
          <w:rFonts w:eastAsia="仿宋_GB2312"/>
          <w:color w:val="000000"/>
          <w:sz w:val="32"/>
          <w:szCs w:val="32"/>
        </w:rPr>
        <w:t>年度决算无增减变化</w:t>
      </w:r>
      <w:r>
        <w:rPr>
          <w:rFonts w:hint="eastAsia" w:eastAsia="仿宋_GB2312"/>
          <w:color w:val="000000"/>
          <w:sz w:val="32"/>
          <w:szCs w:val="32"/>
        </w:rPr>
        <w:t>。</w:t>
      </w:r>
    </w:p>
    <w:p>
      <w:pPr>
        <w:adjustRightInd w:val="0"/>
        <w:snapToGrid w:val="0"/>
        <w:spacing w:line="584" w:lineRule="exact"/>
        <w:ind w:firstLine="640" w:firstLineChars="200"/>
        <w:rPr>
          <w:rFonts w:eastAsia="仿宋_GB2312"/>
          <w:sz w:val="32"/>
          <w:szCs w:val="32"/>
          <w:highlight w:val="yellow"/>
        </w:rPr>
      </w:pP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spacing w:line="500" w:lineRule="exact"/>
        <w:ind w:firstLine="560"/>
        <w:rPr>
          <w:rFonts w:ascii="方正仿宋_GBK" w:eastAsia="方正仿宋_GBK"/>
          <w:sz w:val="28"/>
        </w:rPr>
      </w:pPr>
      <w:r>
        <w:rPr>
          <w:rFonts w:ascii="方正仿宋_GBK" w:eastAsia="方正仿宋_GBK"/>
          <w:sz w:val="28"/>
        </w:rPr>
        <w:t>1、县委理论中心组学习不少于12次。2、有效管控和监督网络舆情。3、加强和改进我县对外宣传力度，将我县好经验、好做法及时传递出去。3、从宏观上对我县广大党员干部、群众进行社会主义核心</w:t>
      </w:r>
      <w:r>
        <w:rPr>
          <w:rFonts w:hint="eastAsia" w:ascii="方正仿宋_GBK" w:eastAsia="方正仿宋_GBK"/>
          <w:sz w:val="28"/>
          <w:lang w:eastAsia="zh-CN"/>
        </w:rPr>
        <w:t>价值</w:t>
      </w:r>
      <w:bookmarkStart w:id="0" w:name="_GoBack"/>
      <w:bookmarkEnd w:id="0"/>
      <w:r>
        <w:rPr>
          <w:rFonts w:ascii="方正仿宋_GBK" w:eastAsia="方正仿宋_GBK"/>
          <w:sz w:val="28"/>
        </w:rPr>
        <w:t>观教育引导。</w:t>
      </w:r>
    </w:p>
    <w:p>
      <w:pPr>
        <w:jc w:val="left"/>
        <w:rPr>
          <w:rFonts w:ascii="方正楷体_GBK" w:eastAsia="方正楷体_GBK"/>
          <w:b/>
          <w:sz w:val="28"/>
        </w:rPr>
      </w:pPr>
      <w:r>
        <w:rPr>
          <w:rFonts w:hint="eastAsia" w:ascii="方正楷体_GBK" w:eastAsia="方正楷体_GBK"/>
          <w:b/>
          <w:sz w:val="28"/>
        </w:rPr>
        <w:t xml:space="preserve">    职责分类绩效目标：</w:t>
      </w:r>
    </w:p>
    <w:p>
      <w:pPr>
        <w:spacing w:line="500" w:lineRule="exact"/>
        <w:ind w:firstLine="560"/>
        <w:rPr>
          <w:rFonts w:ascii="方正仿宋_GBK" w:eastAsia="方正仿宋_GBK"/>
          <w:sz w:val="28"/>
        </w:rPr>
      </w:pPr>
      <w:r>
        <w:rPr>
          <w:rFonts w:ascii="方正仿宋_GBK" w:eastAsia="方正仿宋_GBK"/>
          <w:sz w:val="28"/>
        </w:rPr>
        <w:t>职责分类绩效目标：</w:t>
      </w:r>
    </w:p>
    <w:p>
      <w:pPr>
        <w:spacing w:line="500" w:lineRule="exact"/>
        <w:ind w:firstLine="560"/>
        <w:rPr>
          <w:rFonts w:ascii="方正仿宋_GBK" w:eastAsia="方正仿宋_GBK"/>
          <w:sz w:val="28"/>
        </w:rPr>
      </w:pPr>
      <w:r>
        <w:rPr>
          <w:rFonts w:ascii="方正仿宋_GBK" w:eastAsia="方正仿宋_GBK"/>
          <w:sz w:val="28"/>
        </w:rPr>
        <w:t>县委理论中心组学习不少于12次；有效管控网络舆情；加大对外宣传和对外文化交流；适时举办相关活动，在广大干部群众中实施社会主义核心价值观教育引导活动。</w:t>
      </w:r>
    </w:p>
    <w:p>
      <w:pPr>
        <w:jc w:val="left"/>
        <w:rPr>
          <w:rFonts w:ascii="方正黑体_GBK" w:eastAsia="方正黑体_GBK"/>
          <w:sz w:val="28"/>
        </w:rPr>
      </w:pPr>
      <w:r>
        <w:rPr>
          <w:rFonts w:hint="eastAsia" w:ascii="方正楷体_GBK" w:eastAsia="方正楷体_GBK"/>
          <w:b/>
          <w:sz w:val="28"/>
        </w:rPr>
        <w:t>二、实现年度发展规划目标的保障措施</w:t>
      </w:r>
    </w:p>
    <w:p>
      <w:pPr>
        <w:spacing w:line="500" w:lineRule="exact"/>
        <w:ind w:firstLine="560"/>
        <w:rPr>
          <w:rFonts w:ascii="方正仿宋_GBK" w:eastAsia="方正仿宋_GBK"/>
          <w:sz w:val="28"/>
        </w:rPr>
      </w:pPr>
      <w:r>
        <w:rPr>
          <w:rFonts w:ascii="方正仿宋_GBK" w:eastAsia="方正仿宋_GBK"/>
          <w:sz w:val="28"/>
        </w:rPr>
        <w:t>年度发展规划目标的保障措施：</w:t>
      </w:r>
    </w:p>
    <w:p>
      <w:pPr>
        <w:adjustRightInd w:val="0"/>
        <w:snapToGrid w:val="0"/>
        <w:spacing w:after="0" w:line="580" w:lineRule="exact"/>
        <w:ind w:firstLine="560" w:firstLineChars="200"/>
        <w:rPr>
          <w:rFonts w:ascii="仿宋_GB2312" w:eastAsia="仿宋_GB2312" w:cs="DengXian-Regular"/>
          <w:sz w:val="32"/>
          <w:szCs w:val="32"/>
        </w:rPr>
      </w:pPr>
      <w:r>
        <w:rPr>
          <w:rFonts w:ascii="方正仿宋_GBK" w:eastAsia="方正仿宋_GBK"/>
          <w:sz w:val="28"/>
        </w:rPr>
        <w:t>年初制定全县理论中心组学习方案；出台我县对外宣传工作方案；加大我县对文化产业的扶持力度。</w:t>
      </w:r>
      <w:r>
        <w:rPr>
          <w:rFonts w:hint="eastAsia" w:ascii="仿宋_GB2312" w:eastAsia="仿宋_GB2312" w:cs="DengXian-Regular"/>
          <w:sz w:val="32"/>
          <w:szCs w:val="32"/>
        </w:rPr>
        <w:t>（二）项目绩效自评结果。</w:t>
      </w:r>
    </w:p>
    <w:p>
      <w:pPr>
        <w:adjustRightInd w:val="0"/>
        <w:snapToGrid w:val="0"/>
        <w:spacing w:line="584" w:lineRule="exact"/>
        <w:ind w:left="420" w:leftChars="200"/>
        <w:rPr>
          <w:rFonts w:eastAsia="仿宋_GB2312"/>
          <w:sz w:val="32"/>
          <w:szCs w:val="32"/>
        </w:rPr>
      </w:pPr>
      <w:r>
        <w:rPr>
          <w:rFonts w:hint="eastAsia" w:eastAsia="仿宋_GB2312"/>
          <w:sz w:val="32"/>
          <w:szCs w:val="32"/>
        </w:rPr>
        <w:t>2018年中共大城县委宣传部对重大支出政策或重大项目开展了财政重点绩效评价，评价资金量 765余万元。各专项资金安排符合县委县政府决策部署，符合当前经济社会发展需要，各专项经费的使用为宣传文化事业发展起到了很好的推动作用。自我评价为优。</w:t>
      </w:r>
    </w:p>
    <w:p>
      <w:pPr>
        <w:adjustRightInd w:val="0"/>
        <w:snapToGrid w:val="0"/>
        <w:spacing w:after="0" w:line="580" w:lineRule="exact"/>
        <w:ind w:firstLine="640" w:firstLineChars="200"/>
        <w:rPr>
          <w:rFonts w:ascii="仿宋_GB2312" w:eastAsia="仿宋_GB2312" w:cs="DengXian-Regular"/>
          <w:sz w:val="32"/>
          <w:szCs w:val="32"/>
        </w:rPr>
      </w:pPr>
    </w:p>
    <w:p>
      <w:pPr>
        <w:numPr>
          <w:ilvl w:val="0"/>
          <w:numId w:val="2"/>
        </w:numPr>
        <w:adjustRightInd w:val="0"/>
        <w:snapToGrid w:val="0"/>
        <w:spacing w:after="0" w:line="580" w:lineRule="exact"/>
        <w:ind w:left="420" w:leftChars="200"/>
        <w:rPr>
          <w:rFonts w:ascii="仿宋_GB2312" w:eastAsia="仿宋_GB2312" w:cs="DengXian-Regular"/>
          <w:sz w:val="32"/>
          <w:szCs w:val="32"/>
        </w:rPr>
      </w:pPr>
      <w:r>
        <w:rPr>
          <w:rFonts w:hint="eastAsia" w:ascii="仿宋_GB2312" w:eastAsia="仿宋_GB2312" w:cs="DengXian-Regular"/>
          <w:sz w:val="32"/>
          <w:szCs w:val="32"/>
        </w:rPr>
        <w:t>重点项目绩效评价结果。</w:t>
      </w:r>
    </w:p>
    <w:tbl>
      <w:tblPr>
        <w:tblStyle w:val="12"/>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2"/>
        <w:gridCol w:w="830"/>
        <w:gridCol w:w="1935"/>
        <w:gridCol w:w="1935"/>
        <w:gridCol w:w="921"/>
        <w:gridCol w:w="479"/>
        <w:gridCol w:w="479"/>
        <w:gridCol w:w="480"/>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7143"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211</w:t>
            </w:r>
            <w:r>
              <w:rPr>
                <w:rFonts w:hint="eastAsia" w:ascii="方正小标宋_GBK" w:eastAsia="方正小标宋_GBK"/>
                <w:sz w:val="24"/>
              </w:rPr>
              <w:t>中共大城县委宣传部</w:t>
            </w:r>
          </w:p>
        </w:tc>
        <w:tc>
          <w:tcPr>
            <w:tcW w:w="1917"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522"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830"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1935"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1935"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21"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1917" w:type="dxa"/>
            <w:gridSpan w:val="4"/>
            <w:vAlign w:val="center"/>
          </w:tcPr>
          <w:p>
            <w:pPr>
              <w:spacing w:line="300" w:lineRule="exact"/>
              <w:jc w:val="center"/>
              <w:rPr>
                <w:rFonts w:ascii="方正书宋_GBK" w:eastAsia="方正书宋_GBK"/>
                <w:b/>
              </w:rPr>
            </w:pPr>
            <w:r>
              <w:rPr>
                <w:rFonts w:hint="eastAsia" w:ascii="方正书宋_GBK" w:eastAsia="方正书宋_GBK"/>
                <w:b/>
              </w:rPr>
              <w:t>评价结果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522" w:type="dxa"/>
            <w:vMerge w:val="continue"/>
            <w:vAlign w:val="center"/>
          </w:tcPr>
          <w:p>
            <w:pPr>
              <w:spacing w:line="300" w:lineRule="exact"/>
              <w:jc w:val="left"/>
              <w:outlineLvl w:val="0"/>
            </w:pPr>
          </w:p>
        </w:tc>
        <w:tc>
          <w:tcPr>
            <w:tcW w:w="830" w:type="dxa"/>
            <w:vMerge w:val="continue"/>
            <w:vAlign w:val="center"/>
          </w:tcPr>
          <w:p>
            <w:pPr>
              <w:spacing w:line="300" w:lineRule="exact"/>
              <w:jc w:val="left"/>
              <w:outlineLvl w:val="0"/>
            </w:pPr>
          </w:p>
        </w:tc>
        <w:tc>
          <w:tcPr>
            <w:tcW w:w="1935" w:type="dxa"/>
            <w:vMerge w:val="continue"/>
            <w:vAlign w:val="center"/>
          </w:tcPr>
          <w:p>
            <w:pPr>
              <w:spacing w:line="300" w:lineRule="exact"/>
              <w:jc w:val="left"/>
              <w:outlineLvl w:val="0"/>
            </w:pPr>
          </w:p>
        </w:tc>
        <w:tc>
          <w:tcPr>
            <w:tcW w:w="1935" w:type="dxa"/>
            <w:vMerge w:val="continue"/>
            <w:vAlign w:val="center"/>
          </w:tcPr>
          <w:p>
            <w:pPr>
              <w:spacing w:line="300" w:lineRule="exact"/>
              <w:jc w:val="left"/>
              <w:outlineLvl w:val="0"/>
            </w:pPr>
          </w:p>
        </w:tc>
        <w:tc>
          <w:tcPr>
            <w:tcW w:w="921" w:type="dxa"/>
            <w:vMerge w:val="continue"/>
            <w:vAlign w:val="center"/>
          </w:tcPr>
          <w:p>
            <w:pPr>
              <w:spacing w:line="300" w:lineRule="exact"/>
              <w:jc w:val="left"/>
              <w:outlineLvl w:val="0"/>
            </w:pPr>
          </w:p>
        </w:tc>
        <w:tc>
          <w:tcPr>
            <w:tcW w:w="479"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479"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480"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479"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22" w:type="dxa"/>
            <w:vAlign w:val="center"/>
          </w:tcPr>
          <w:p>
            <w:pPr>
              <w:spacing w:line="300" w:lineRule="exact"/>
              <w:jc w:val="left"/>
              <w:rPr>
                <w:rFonts w:ascii="方正书宋_GBK" w:eastAsia="方正书宋_GBK"/>
                <w:b/>
              </w:rPr>
            </w:pPr>
            <w:r>
              <w:rPr>
                <w:rFonts w:hint="eastAsia" w:ascii="方正书宋_GBK" w:eastAsia="方正书宋_GBK"/>
                <w:b/>
              </w:rPr>
              <w:t>一、宣传思想工作</w:t>
            </w:r>
          </w:p>
        </w:tc>
        <w:tc>
          <w:tcPr>
            <w:tcW w:w="830" w:type="dxa"/>
            <w:vAlign w:val="center"/>
          </w:tcPr>
          <w:p>
            <w:pPr>
              <w:spacing w:line="300" w:lineRule="exact"/>
              <w:jc w:val="left"/>
              <w:rPr>
                <w:rFonts w:ascii="方正书宋_GBK" w:eastAsia="方正书宋_GBK"/>
              </w:rPr>
            </w:pPr>
            <w:r>
              <w:rPr>
                <w:rFonts w:ascii="方正书宋_GBK" w:eastAsia="方正书宋_GBK"/>
              </w:rPr>
              <w:t>235.00</w:t>
            </w:r>
          </w:p>
        </w:tc>
        <w:tc>
          <w:tcPr>
            <w:tcW w:w="1935" w:type="dxa"/>
            <w:vAlign w:val="center"/>
          </w:tcPr>
          <w:p>
            <w:pPr>
              <w:spacing w:line="300" w:lineRule="exact"/>
              <w:jc w:val="left"/>
              <w:rPr>
                <w:rFonts w:ascii="方正书宋_GBK" w:eastAsia="方正书宋_GBK"/>
              </w:rPr>
            </w:pPr>
            <w:r>
              <w:rPr>
                <w:rFonts w:hint="eastAsia" w:ascii="方正书宋_GBK" w:eastAsia="方正书宋_GBK"/>
              </w:rPr>
              <w:t>指导全县理论研究、理论学习、理论宣传工作；宏观指导精神产品创作生产；规划组织思想政治工作；指导协调宣传思想文化事业发展；加强舆论舆情引导管理；宏观指导协调互联网宣传和信息内容管理；加强精神文明建设。</w:t>
            </w:r>
          </w:p>
        </w:tc>
        <w:tc>
          <w:tcPr>
            <w:tcW w:w="1935" w:type="dxa"/>
            <w:vAlign w:val="center"/>
          </w:tcPr>
          <w:p>
            <w:pPr>
              <w:spacing w:line="300" w:lineRule="exact"/>
              <w:jc w:val="left"/>
              <w:rPr>
                <w:rFonts w:ascii="方正书宋_GBK" w:eastAsia="方正书宋_GBK"/>
              </w:rPr>
            </w:pPr>
            <w:r>
              <w:rPr>
                <w:rFonts w:hint="eastAsia" w:ascii="方正书宋_GBK" w:eastAsia="方正书宋_GBK"/>
              </w:rPr>
              <w:t>牢牢掌握意识形态工作领导权、管理权、话语权，弘扬主旋律，汇聚正能量，为全县经济社会发展提供有力的思想保证、精神动力、舆论支持。</w:t>
            </w:r>
          </w:p>
        </w:tc>
        <w:tc>
          <w:tcPr>
            <w:tcW w:w="921" w:type="dxa"/>
            <w:vAlign w:val="center"/>
          </w:tcPr>
          <w:p>
            <w:pPr>
              <w:spacing w:line="300" w:lineRule="exact"/>
              <w:jc w:val="left"/>
              <w:rPr>
                <w:rFonts w:ascii="方正书宋_GBK" w:eastAsia="方正书宋_GBK"/>
              </w:rPr>
            </w:pPr>
          </w:p>
        </w:tc>
        <w:tc>
          <w:tcPr>
            <w:tcW w:w="479"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479" w:type="dxa"/>
            <w:vAlign w:val="center"/>
          </w:tcPr>
          <w:p>
            <w:pPr>
              <w:spacing w:line="300" w:lineRule="exact"/>
              <w:jc w:val="center"/>
              <w:rPr>
                <w:rFonts w:ascii="方正书宋_GBK" w:eastAsia="方正书宋_GBK"/>
              </w:rPr>
            </w:pPr>
          </w:p>
        </w:tc>
        <w:tc>
          <w:tcPr>
            <w:tcW w:w="480" w:type="dxa"/>
            <w:vAlign w:val="center"/>
          </w:tcPr>
          <w:p>
            <w:pPr>
              <w:spacing w:line="300" w:lineRule="exact"/>
              <w:jc w:val="center"/>
              <w:rPr>
                <w:rFonts w:ascii="方正书宋_GBK" w:eastAsia="方正书宋_GBK"/>
              </w:rPr>
            </w:pPr>
          </w:p>
        </w:tc>
        <w:tc>
          <w:tcPr>
            <w:tcW w:w="479"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22"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、思想理论建设</w:t>
            </w:r>
          </w:p>
        </w:tc>
        <w:tc>
          <w:tcPr>
            <w:tcW w:w="830" w:type="dxa"/>
            <w:vMerge w:val="restart"/>
            <w:vAlign w:val="center"/>
          </w:tcPr>
          <w:p>
            <w:pPr>
              <w:spacing w:line="300" w:lineRule="exact"/>
              <w:jc w:val="left"/>
              <w:rPr>
                <w:rFonts w:ascii="方正书宋_GBK" w:eastAsia="方正书宋_GBK"/>
              </w:rPr>
            </w:pPr>
            <w:r>
              <w:rPr>
                <w:rFonts w:ascii="方正书宋_GBK" w:eastAsia="方正书宋_GBK"/>
              </w:rPr>
              <w:t>10.00</w:t>
            </w:r>
          </w:p>
        </w:tc>
        <w:tc>
          <w:tcPr>
            <w:tcW w:w="1935" w:type="dxa"/>
            <w:vMerge w:val="restart"/>
            <w:vAlign w:val="center"/>
          </w:tcPr>
          <w:p>
            <w:pPr>
              <w:spacing w:line="300" w:lineRule="exact"/>
              <w:jc w:val="left"/>
              <w:rPr>
                <w:rFonts w:ascii="方正书宋_GBK" w:eastAsia="方正书宋_GBK"/>
              </w:rPr>
            </w:pPr>
            <w:r>
              <w:rPr>
                <w:rFonts w:hint="eastAsia" w:ascii="方正书宋_GBK" w:eastAsia="方正书宋_GBK"/>
              </w:rPr>
              <w:t>深入实施马克思主义理论研究和建设工程，深化中国特色社会主义和中国梦研究；深入学习宣传习近平总书记系列重要讲话；广泛开展理论宣传活动。</w:t>
            </w:r>
          </w:p>
        </w:tc>
        <w:tc>
          <w:tcPr>
            <w:tcW w:w="1935" w:type="dxa"/>
            <w:vMerge w:val="restart"/>
            <w:vAlign w:val="center"/>
          </w:tcPr>
          <w:p>
            <w:pPr>
              <w:spacing w:line="300" w:lineRule="exact"/>
              <w:jc w:val="left"/>
              <w:rPr>
                <w:rFonts w:ascii="方正书宋_GBK" w:eastAsia="方正书宋_GBK"/>
              </w:rPr>
            </w:pPr>
            <w:r>
              <w:rPr>
                <w:rFonts w:hint="eastAsia" w:ascii="方正书宋_GBK" w:eastAsia="方正书宋_GBK"/>
              </w:rPr>
              <w:t>提升理论研究水平，为全县经济社会发展提供理论支持；提高干部群众运用科学理论解决实际问题能力；增强广大干部群众理论自信、道路自信、制度自信，不断巩固全县人民团结奋斗的共同思想基础。</w:t>
            </w:r>
          </w:p>
        </w:tc>
        <w:tc>
          <w:tcPr>
            <w:tcW w:w="921" w:type="dxa"/>
            <w:vAlign w:val="center"/>
          </w:tcPr>
          <w:p>
            <w:pPr>
              <w:spacing w:line="300" w:lineRule="exact"/>
              <w:jc w:val="left"/>
              <w:rPr>
                <w:rFonts w:ascii="方正书宋_GBK" w:eastAsia="方正书宋_GBK"/>
              </w:rPr>
            </w:pPr>
            <w:r>
              <w:rPr>
                <w:rFonts w:hint="eastAsia" w:ascii="方正书宋_GBK" w:eastAsia="方正书宋_GBK"/>
              </w:rPr>
              <w:t>在新闻媒体开办理论宣传专栏9次</w:t>
            </w:r>
          </w:p>
        </w:tc>
        <w:tc>
          <w:tcPr>
            <w:tcW w:w="479"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479" w:type="dxa"/>
            <w:vAlign w:val="center"/>
          </w:tcPr>
          <w:p>
            <w:pPr>
              <w:spacing w:line="300" w:lineRule="exact"/>
              <w:jc w:val="center"/>
              <w:rPr>
                <w:rFonts w:ascii="方正书宋_GBK" w:eastAsia="方正书宋_GBK"/>
              </w:rPr>
            </w:pPr>
          </w:p>
        </w:tc>
        <w:tc>
          <w:tcPr>
            <w:tcW w:w="480" w:type="dxa"/>
            <w:vAlign w:val="center"/>
          </w:tcPr>
          <w:p>
            <w:pPr>
              <w:spacing w:line="300" w:lineRule="exact"/>
              <w:jc w:val="center"/>
              <w:rPr>
                <w:rFonts w:ascii="方正书宋_GBK" w:eastAsia="方正书宋_GBK"/>
              </w:rPr>
            </w:pPr>
          </w:p>
        </w:tc>
        <w:tc>
          <w:tcPr>
            <w:tcW w:w="479"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22" w:type="dxa"/>
            <w:vMerge w:val="continue"/>
            <w:vAlign w:val="center"/>
          </w:tcPr>
          <w:p>
            <w:pPr>
              <w:spacing w:line="300" w:lineRule="exact"/>
              <w:jc w:val="left"/>
              <w:rPr>
                <w:rFonts w:ascii="方正书宋_GBK" w:eastAsia="方正书宋_GBK"/>
                <w:b/>
              </w:rPr>
            </w:pPr>
          </w:p>
        </w:tc>
        <w:tc>
          <w:tcPr>
            <w:tcW w:w="830" w:type="dxa"/>
            <w:vMerge w:val="continue"/>
            <w:vAlign w:val="center"/>
          </w:tcPr>
          <w:p>
            <w:pPr>
              <w:spacing w:line="300" w:lineRule="exact"/>
              <w:jc w:val="left"/>
              <w:rPr>
                <w:rFonts w:ascii="方正书宋_GBK" w:eastAsia="方正书宋_GBK"/>
              </w:rPr>
            </w:pPr>
          </w:p>
        </w:tc>
        <w:tc>
          <w:tcPr>
            <w:tcW w:w="1935" w:type="dxa"/>
            <w:vMerge w:val="continue"/>
            <w:vAlign w:val="center"/>
          </w:tcPr>
          <w:p>
            <w:pPr>
              <w:spacing w:line="300" w:lineRule="exact"/>
              <w:jc w:val="left"/>
              <w:rPr>
                <w:rFonts w:ascii="方正书宋_GBK" w:eastAsia="方正书宋_GBK"/>
              </w:rPr>
            </w:pPr>
          </w:p>
        </w:tc>
        <w:tc>
          <w:tcPr>
            <w:tcW w:w="1935" w:type="dxa"/>
            <w:vMerge w:val="continue"/>
            <w:vAlign w:val="center"/>
          </w:tcPr>
          <w:p>
            <w:pPr>
              <w:spacing w:line="300" w:lineRule="exact"/>
              <w:jc w:val="left"/>
              <w:rPr>
                <w:rFonts w:ascii="方正书宋_GBK" w:eastAsia="方正书宋_GBK"/>
              </w:rPr>
            </w:pPr>
          </w:p>
        </w:tc>
        <w:tc>
          <w:tcPr>
            <w:tcW w:w="921" w:type="dxa"/>
            <w:vAlign w:val="center"/>
          </w:tcPr>
          <w:p>
            <w:pPr>
              <w:spacing w:line="300" w:lineRule="exact"/>
              <w:jc w:val="left"/>
              <w:rPr>
                <w:rFonts w:ascii="方正书宋_GBK" w:eastAsia="方正书宋_GBK"/>
              </w:rPr>
            </w:pPr>
            <w:r>
              <w:rPr>
                <w:rFonts w:hint="eastAsia" w:ascii="方正书宋_GBK" w:eastAsia="方正书宋_GBK"/>
              </w:rPr>
              <w:t>组织中心组学习20次</w:t>
            </w:r>
          </w:p>
        </w:tc>
        <w:tc>
          <w:tcPr>
            <w:tcW w:w="479"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479" w:type="dxa"/>
            <w:vAlign w:val="center"/>
          </w:tcPr>
          <w:p>
            <w:pPr>
              <w:spacing w:line="300" w:lineRule="exact"/>
              <w:jc w:val="center"/>
              <w:rPr>
                <w:rFonts w:ascii="方正书宋_GBK" w:eastAsia="方正书宋_GBK"/>
              </w:rPr>
            </w:pPr>
          </w:p>
        </w:tc>
        <w:tc>
          <w:tcPr>
            <w:tcW w:w="480" w:type="dxa"/>
            <w:vAlign w:val="center"/>
          </w:tcPr>
          <w:p>
            <w:pPr>
              <w:spacing w:line="300" w:lineRule="exact"/>
              <w:jc w:val="center"/>
              <w:rPr>
                <w:rFonts w:ascii="方正书宋_GBK" w:eastAsia="方正书宋_GBK"/>
              </w:rPr>
            </w:pPr>
          </w:p>
        </w:tc>
        <w:tc>
          <w:tcPr>
            <w:tcW w:w="479"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22"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、思想政治工作</w:t>
            </w:r>
          </w:p>
        </w:tc>
        <w:tc>
          <w:tcPr>
            <w:tcW w:w="830" w:type="dxa"/>
            <w:vMerge w:val="restart"/>
            <w:vAlign w:val="center"/>
          </w:tcPr>
          <w:p>
            <w:pPr>
              <w:spacing w:line="300" w:lineRule="exact"/>
              <w:jc w:val="left"/>
              <w:rPr>
                <w:rFonts w:ascii="方正书宋_GBK" w:eastAsia="方正书宋_GBK"/>
              </w:rPr>
            </w:pPr>
          </w:p>
        </w:tc>
        <w:tc>
          <w:tcPr>
            <w:tcW w:w="1935" w:type="dxa"/>
            <w:vMerge w:val="restart"/>
            <w:vAlign w:val="center"/>
          </w:tcPr>
          <w:p>
            <w:pPr>
              <w:spacing w:line="300" w:lineRule="exact"/>
              <w:jc w:val="left"/>
              <w:rPr>
                <w:rFonts w:ascii="方正书宋_GBK" w:eastAsia="方正书宋_GBK"/>
              </w:rPr>
            </w:pPr>
            <w:r>
              <w:rPr>
                <w:rFonts w:hint="eastAsia" w:ascii="方正书宋_GBK" w:eastAsia="方正书宋_GBK"/>
              </w:rPr>
              <w:t>规划、部署全县思想政治工作任务，培育和践行社会主义核心价值观，宣传推广全县性先进典型，加强爱国主义教育基地建设和全民国防教育，加强基层党员教育，组织开展系列宣传教育活动。</w:t>
            </w:r>
          </w:p>
        </w:tc>
        <w:tc>
          <w:tcPr>
            <w:tcW w:w="1935" w:type="dxa"/>
            <w:vMerge w:val="restart"/>
            <w:vAlign w:val="center"/>
          </w:tcPr>
          <w:p>
            <w:pPr>
              <w:spacing w:line="300" w:lineRule="exact"/>
              <w:jc w:val="left"/>
              <w:rPr>
                <w:rFonts w:ascii="方正书宋_GBK" w:eastAsia="方正书宋_GBK"/>
              </w:rPr>
            </w:pPr>
            <w:r>
              <w:rPr>
                <w:rFonts w:hint="eastAsia" w:ascii="方正书宋_GBK" w:eastAsia="方正书宋_GBK"/>
              </w:rPr>
              <w:t>完成思想政治工作重大任务，推进社会主义核心价值观落地生根。</w:t>
            </w:r>
          </w:p>
        </w:tc>
        <w:tc>
          <w:tcPr>
            <w:tcW w:w="921" w:type="dxa"/>
            <w:vAlign w:val="center"/>
          </w:tcPr>
          <w:p>
            <w:pPr>
              <w:spacing w:line="300" w:lineRule="exact"/>
              <w:jc w:val="left"/>
              <w:rPr>
                <w:rFonts w:ascii="方正书宋_GBK" w:eastAsia="方正书宋_GBK"/>
              </w:rPr>
            </w:pPr>
            <w:r>
              <w:rPr>
                <w:rFonts w:hint="eastAsia" w:ascii="方正书宋_GBK" w:eastAsia="方正书宋_GBK"/>
              </w:rPr>
              <w:t>社会主义核心价值观内容普及率90%</w:t>
            </w:r>
          </w:p>
        </w:tc>
        <w:tc>
          <w:tcPr>
            <w:tcW w:w="479"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479" w:type="dxa"/>
            <w:vAlign w:val="center"/>
          </w:tcPr>
          <w:p>
            <w:pPr>
              <w:spacing w:line="300" w:lineRule="exact"/>
              <w:jc w:val="center"/>
              <w:rPr>
                <w:rFonts w:ascii="方正书宋_GBK" w:eastAsia="方正书宋_GBK"/>
              </w:rPr>
            </w:pPr>
          </w:p>
        </w:tc>
        <w:tc>
          <w:tcPr>
            <w:tcW w:w="480" w:type="dxa"/>
            <w:vAlign w:val="center"/>
          </w:tcPr>
          <w:p>
            <w:pPr>
              <w:spacing w:line="300" w:lineRule="exact"/>
              <w:jc w:val="center"/>
              <w:rPr>
                <w:rFonts w:ascii="方正书宋_GBK" w:eastAsia="方正书宋_GBK"/>
              </w:rPr>
            </w:pPr>
          </w:p>
        </w:tc>
        <w:tc>
          <w:tcPr>
            <w:tcW w:w="479"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22" w:type="dxa"/>
            <w:vMerge w:val="continue"/>
            <w:vAlign w:val="center"/>
          </w:tcPr>
          <w:p>
            <w:pPr>
              <w:spacing w:line="300" w:lineRule="exact"/>
              <w:jc w:val="left"/>
              <w:rPr>
                <w:rFonts w:ascii="方正书宋_GBK" w:eastAsia="方正书宋_GBK"/>
                <w:b/>
              </w:rPr>
            </w:pPr>
          </w:p>
        </w:tc>
        <w:tc>
          <w:tcPr>
            <w:tcW w:w="830" w:type="dxa"/>
            <w:vMerge w:val="continue"/>
            <w:vAlign w:val="center"/>
          </w:tcPr>
          <w:p>
            <w:pPr>
              <w:spacing w:line="300" w:lineRule="exact"/>
              <w:jc w:val="left"/>
              <w:rPr>
                <w:rFonts w:ascii="方正书宋_GBK" w:eastAsia="方正书宋_GBK"/>
              </w:rPr>
            </w:pPr>
          </w:p>
        </w:tc>
        <w:tc>
          <w:tcPr>
            <w:tcW w:w="1935" w:type="dxa"/>
            <w:vMerge w:val="continue"/>
            <w:vAlign w:val="center"/>
          </w:tcPr>
          <w:p>
            <w:pPr>
              <w:spacing w:line="300" w:lineRule="exact"/>
              <w:jc w:val="left"/>
              <w:rPr>
                <w:rFonts w:ascii="方正书宋_GBK" w:eastAsia="方正书宋_GBK"/>
              </w:rPr>
            </w:pPr>
          </w:p>
        </w:tc>
        <w:tc>
          <w:tcPr>
            <w:tcW w:w="1935" w:type="dxa"/>
            <w:vMerge w:val="continue"/>
            <w:vAlign w:val="center"/>
          </w:tcPr>
          <w:p>
            <w:pPr>
              <w:spacing w:line="300" w:lineRule="exact"/>
              <w:jc w:val="left"/>
              <w:rPr>
                <w:rFonts w:ascii="方正书宋_GBK" w:eastAsia="方正书宋_GBK"/>
              </w:rPr>
            </w:pPr>
          </w:p>
        </w:tc>
        <w:tc>
          <w:tcPr>
            <w:tcW w:w="921" w:type="dxa"/>
            <w:vAlign w:val="center"/>
          </w:tcPr>
          <w:p>
            <w:pPr>
              <w:spacing w:line="300" w:lineRule="exact"/>
              <w:jc w:val="left"/>
              <w:rPr>
                <w:rFonts w:ascii="方正书宋_GBK" w:eastAsia="方正书宋_GBK"/>
              </w:rPr>
            </w:pPr>
            <w:r>
              <w:rPr>
                <w:rFonts w:hint="eastAsia" w:ascii="方正书宋_GBK" w:eastAsia="方正书宋_GBK"/>
              </w:rPr>
              <w:t>组织开展主题宣传教育活动10次</w:t>
            </w:r>
          </w:p>
        </w:tc>
        <w:tc>
          <w:tcPr>
            <w:tcW w:w="479"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479" w:type="dxa"/>
            <w:vAlign w:val="center"/>
          </w:tcPr>
          <w:p>
            <w:pPr>
              <w:spacing w:line="300" w:lineRule="exact"/>
              <w:jc w:val="center"/>
              <w:rPr>
                <w:rFonts w:ascii="方正书宋_GBK" w:eastAsia="方正书宋_GBK"/>
              </w:rPr>
            </w:pPr>
          </w:p>
        </w:tc>
        <w:tc>
          <w:tcPr>
            <w:tcW w:w="480" w:type="dxa"/>
            <w:vAlign w:val="center"/>
          </w:tcPr>
          <w:p>
            <w:pPr>
              <w:spacing w:line="300" w:lineRule="exact"/>
              <w:jc w:val="center"/>
              <w:rPr>
                <w:rFonts w:ascii="方正书宋_GBK" w:eastAsia="方正书宋_GBK"/>
              </w:rPr>
            </w:pPr>
          </w:p>
        </w:tc>
        <w:tc>
          <w:tcPr>
            <w:tcW w:w="479"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22"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、对外宣传事业</w:t>
            </w:r>
          </w:p>
        </w:tc>
        <w:tc>
          <w:tcPr>
            <w:tcW w:w="830" w:type="dxa"/>
            <w:vAlign w:val="center"/>
          </w:tcPr>
          <w:p>
            <w:pPr>
              <w:spacing w:line="300" w:lineRule="exact"/>
              <w:jc w:val="left"/>
              <w:rPr>
                <w:rFonts w:ascii="方正书宋_GBK" w:eastAsia="方正书宋_GBK"/>
              </w:rPr>
            </w:pPr>
            <w:r>
              <w:rPr>
                <w:rFonts w:ascii="方正书宋_GBK" w:eastAsia="方正书宋_GBK"/>
              </w:rPr>
              <w:t>160.00</w:t>
            </w:r>
          </w:p>
        </w:tc>
        <w:tc>
          <w:tcPr>
            <w:tcW w:w="1935" w:type="dxa"/>
            <w:vAlign w:val="center"/>
          </w:tcPr>
          <w:p>
            <w:pPr>
              <w:spacing w:line="300" w:lineRule="exact"/>
              <w:jc w:val="left"/>
              <w:rPr>
                <w:rFonts w:ascii="方正书宋_GBK" w:eastAsia="方正书宋_GBK"/>
              </w:rPr>
            </w:pPr>
            <w:r>
              <w:rPr>
                <w:rFonts w:hint="eastAsia" w:ascii="方正书宋_GBK" w:eastAsia="方正书宋_GBK"/>
              </w:rPr>
              <w:t>制订对外宣传事业发展规划，加强和改进新闻发布工作，扩大对外宣传，深化文化交流合作，开展多种形式的文化交流活动。</w:t>
            </w:r>
          </w:p>
        </w:tc>
        <w:tc>
          <w:tcPr>
            <w:tcW w:w="1935" w:type="dxa"/>
            <w:vAlign w:val="center"/>
          </w:tcPr>
          <w:p>
            <w:pPr>
              <w:spacing w:line="300" w:lineRule="exact"/>
              <w:jc w:val="left"/>
              <w:rPr>
                <w:rFonts w:ascii="方正书宋_GBK" w:eastAsia="方正书宋_GBK"/>
              </w:rPr>
            </w:pPr>
            <w:r>
              <w:rPr>
                <w:rFonts w:hint="eastAsia" w:ascii="方正书宋_GBK" w:eastAsia="方正书宋_GBK"/>
              </w:rPr>
              <w:t>充分展示本县良好形象，不断提高知名度、美誉度。</w:t>
            </w:r>
          </w:p>
        </w:tc>
        <w:tc>
          <w:tcPr>
            <w:tcW w:w="921" w:type="dxa"/>
            <w:vAlign w:val="center"/>
          </w:tcPr>
          <w:p>
            <w:pPr>
              <w:spacing w:line="300" w:lineRule="exact"/>
              <w:jc w:val="left"/>
              <w:rPr>
                <w:rFonts w:ascii="方正书宋_GBK" w:eastAsia="方正书宋_GBK"/>
              </w:rPr>
            </w:pPr>
            <w:r>
              <w:rPr>
                <w:rFonts w:hint="eastAsia" w:ascii="方正书宋_GBK" w:eastAsia="方正书宋_GBK"/>
              </w:rPr>
              <w:t>组织省市媒体采访、宣传9次</w:t>
            </w:r>
          </w:p>
        </w:tc>
        <w:tc>
          <w:tcPr>
            <w:tcW w:w="479"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479" w:type="dxa"/>
            <w:vAlign w:val="center"/>
          </w:tcPr>
          <w:p>
            <w:pPr>
              <w:spacing w:line="300" w:lineRule="exact"/>
              <w:jc w:val="center"/>
              <w:rPr>
                <w:rFonts w:ascii="方正书宋_GBK" w:eastAsia="方正书宋_GBK"/>
              </w:rPr>
            </w:pPr>
          </w:p>
        </w:tc>
        <w:tc>
          <w:tcPr>
            <w:tcW w:w="480" w:type="dxa"/>
            <w:vAlign w:val="center"/>
          </w:tcPr>
          <w:p>
            <w:pPr>
              <w:spacing w:line="300" w:lineRule="exact"/>
              <w:jc w:val="center"/>
              <w:rPr>
                <w:rFonts w:ascii="方正书宋_GBK" w:eastAsia="方正书宋_GBK"/>
              </w:rPr>
            </w:pPr>
          </w:p>
        </w:tc>
        <w:tc>
          <w:tcPr>
            <w:tcW w:w="479"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22"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、舆论舆情引导管理</w:t>
            </w:r>
          </w:p>
        </w:tc>
        <w:tc>
          <w:tcPr>
            <w:tcW w:w="830" w:type="dxa"/>
            <w:vMerge w:val="restart"/>
            <w:vAlign w:val="center"/>
          </w:tcPr>
          <w:p>
            <w:pPr>
              <w:spacing w:line="300" w:lineRule="exact"/>
              <w:jc w:val="left"/>
              <w:rPr>
                <w:rFonts w:ascii="方正书宋_GBK" w:eastAsia="方正书宋_GBK"/>
              </w:rPr>
            </w:pPr>
            <w:r>
              <w:rPr>
                <w:rFonts w:ascii="方正书宋_GBK" w:eastAsia="方正书宋_GBK"/>
              </w:rPr>
              <w:t>30.00</w:t>
            </w:r>
          </w:p>
        </w:tc>
        <w:tc>
          <w:tcPr>
            <w:tcW w:w="1935" w:type="dxa"/>
            <w:vMerge w:val="restart"/>
            <w:vAlign w:val="center"/>
          </w:tcPr>
          <w:p>
            <w:pPr>
              <w:spacing w:line="300" w:lineRule="exact"/>
              <w:jc w:val="left"/>
              <w:rPr>
                <w:rFonts w:ascii="方正书宋_GBK" w:eastAsia="方正书宋_GBK"/>
              </w:rPr>
            </w:pPr>
            <w:r>
              <w:rPr>
                <w:rFonts w:hint="eastAsia" w:ascii="方正书宋_GBK" w:eastAsia="方正书宋_GBK"/>
              </w:rPr>
              <w:t>指导协调新闻舆论工作，组织系列主题新闻宣传，开展新闻业务调研评议；抓好新闻管理制度和措施落实；围绕社会热点敏感问题、突发事件，正确引导社会心态；组织开展舆情信息收集、分析、研判。</w:t>
            </w:r>
          </w:p>
        </w:tc>
        <w:tc>
          <w:tcPr>
            <w:tcW w:w="1935" w:type="dxa"/>
            <w:vMerge w:val="restart"/>
            <w:vAlign w:val="center"/>
          </w:tcPr>
          <w:p>
            <w:pPr>
              <w:spacing w:line="300" w:lineRule="exact"/>
              <w:jc w:val="left"/>
              <w:rPr>
                <w:rFonts w:ascii="方正书宋_GBK" w:eastAsia="方正书宋_GBK"/>
              </w:rPr>
            </w:pPr>
            <w:r>
              <w:rPr>
                <w:rFonts w:hint="eastAsia" w:ascii="方正书宋_GBK" w:eastAsia="方正书宋_GBK"/>
              </w:rPr>
              <w:t>牢牢把握正确导向，为全县经济社会发展提供有力的舆论支持；提升新闻工作者的政治意识、责任意识和职业素养；提高舆情研判能力和信息服务水平，及时化解、妥善处理有关负面舆情。</w:t>
            </w:r>
          </w:p>
        </w:tc>
        <w:tc>
          <w:tcPr>
            <w:tcW w:w="921" w:type="dxa"/>
            <w:vAlign w:val="center"/>
          </w:tcPr>
          <w:p>
            <w:pPr>
              <w:spacing w:line="300" w:lineRule="exact"/>
              <w:jc w:val="left"/>
              <w:rPr>
                <w:rFonts w:ascii="方正书宋_GBK" w:eastAsia="方正书宋_GBK"/>
              </w:rPr>
            </w:pPr>
            <w:r>
              <w:rPr>
                <w:rFonts w:hint="eastAsia" w:ascii="方正书宋_GBK" w:eastAsia="方正书宋_GBK"/>
              </w:rPr>
              <w:t>突发事件新闻处置完成率100%</w:t>
            </w:r>
          </w:p>
        </w:tc>
        <w:tc>
          <w:tcPr>
            <w:tcW w:w="479"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479" w:type="dxa"/>
            <w:vAlign w:val="center"/>
          </w:tcPr>
          <w:p>
            <w:pPr>
              <w:spacing w:line="300" w:lineRule="exact"/>
              <w:jc w:val="center"/>
              <w:rPr>
                <w:rFonts w:ascii="方正书宋_GBK" w:eastAsia="方正书宋_GBK"/>
              </w:rPr>
            </w:pPr>
          </w:p>
        </w:tc>
        <w:tc>
          <w:tcPr>
            <w:tcW w:w="480" w:type="dxa"/>
            <w:vAlign w:val="center"/>
          </w:tcPr>
          <w:p>
            <w:pPr>
              <w:spacing w:line="300" w:lineRule="exact"/>
              <w:jc w:val="center"/>
              <w:rPr>
                <w:rFonts w:ascii="方正书宋_GBK" w:eastAsia="方正书宋_GBK"/>
              </w:rPr>
            </w:pPr>
          </w:p>
        </w:tc>
        <w:tc>
          <w:tcPr>
            <w:tcW w:w="479"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22" w:type="dxa"/>
            <w:vMerge w:val="continue"/>
            <w:vAlign w:val="center"/>
          </w:tcPr>
          <w:p>
            <w:pPr>
              <w:spacing w:line="300" w:lineRule="exact"/>
              <w:jc w:val="left"/>
              <w:rPr>
                <w:rFonts w:ascii="方正书宋_GBK" w:eastAsia="方正书宋_GBK"/>
                <w:b/>
              </w:rPr>
            </w:pPr>
          </w:p>
        </w:tc>
        <w:tc>
          <w:tcPr>
            <w:tcW w:w="830" w:type="dxa"/>
            <w:vMerge w:val="continue"/>
            <w:vAlign w:val="center"/>
          </w:tcPr>
          <w:p>
            <w:pPr>
              <w:spacing w:line="300" w:lineRule="exact"/>
              <w:jc w:val="left"/>
              <w:rPr>
                <w:rFonts w:ascii="方正书宋_GBK" w:eastAsia="方正书宋_GBK"/>
              </w:rPr>
            </w:pPr>
          </w:p>
        </w:tc>
        <w:tc>
          <w:tcPr>
            <w:tcW w:w="1935" w:type="dxa"/>
            <w:vMerge w:val="continue"/>
            <w:vAlign w:val="center"/>
          </w:tcPr>
          <w:p>
            <w:pPr>
              <w:spacing w:line="300" w:lineRule="exact"/>
              <w:jc w:val="left"/>
              <w:rPr>
                <w:rFonts w:ascii="方正书宋_GBK" w:eastAsia="方正书宋_GBK"/>
              </w:rPr>
            </w:pPr>
          </w:p>
        </w:tc>
        <w:tc>
          <w:tcPr>
            <w:tcW w:w="1935" w:type="dxa"/>
            <w:vMerge w:val="continue"/>
            <w:vAlign w:val="center"/>
          </w:tcPr>
          <w:p>
            <w:pPr>
              <w:spacing w:line="300" w:lineRule="exact"/>
              <w:jc w:val="left"/>
              <w:rPr>
                <w:rFonts w:ascii="方正书宋_GBK" w:eastAsia="方正书宋_GBK"/>
              </w:rPr>
            </w:pPr>
          </w:p>
        </w:tc>
        <w:tc>
          <w:tcPr>
            <w:tcW w:w="921" w:type="dxa"/>
            <w:vAlign w:val="center"/>
          </w:tcPr>
          <w:p>
            <w:pPr>
              <w:spacing w:line="300" w:lineRule="exact"/>
              <w:jc w:val="left"/>
              <w:rPr>
                <w:rFonts w:ascii="方正书宋_GBK" w:eastAsia="方正书宋_GBK"/>
              </w:rPr>
            </w:pPr>
            <w:r>
              <w:rPr>
                <w:rFonts w:hint="eastAsia" w:ascii="方正书宋_GBK" w:eastAsia="方正书宋_GBK"/>
              </w:rPr>
              <w:t>在市级以上媒体播发宣传本县稿件篇数11篇。</w:t>
            </w:r>
          </w:p>
        </w:tc>
        <w:tc>
          <w:tcPr>
            <w:tcW w:w="479"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479" w:type="dxa"/>
            <w:vAlign w:val="center"/>
          </w:tcPr>
          <w:p>
            <w:pPr>
              <w:spacing w:line="300" w:lineRule="exact"/>
              <w:jc w:val="center"/>
              <w:rPr>
                <w:rFonts w:ascii="方正书宋_GBK" w:eastAsia="方正书宋_GBK"/>
              </w:rPr>
            </w:pPr>
          </w:p>
        </w:tc>
        <w:tc>
          <w:tcPr>
            <w:tcW w:w="480" w:type="dxa"/>
            <w:vAlign w:val="center"/>
          </w:tcPr>
          <w:p>
            <w:pPr>
              <w:spacing w:line="300" w:lineRule="exact"/>
              <w:jc w:val="center"/>
              <w:rPr>
                <w:rFonts w:ascii="方正书宋_GBK" w:eastAsia="方正书宋_GBK"/>
              </w:rPr>
            </w:pPr>
          </w:p>
        </w:tc>
        <w:tc>
          <w:tcPr>
            <w:tcW w:w="479"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22"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、互联网宣传和信息内容管理</w:t>
            </w:r>
          </w:p>
        </w:tc>
        <w:tc>
          <w:tcPr>
            <w:tcW w:w="830" w:type="dxa"/>
            <w:vMerge w:val="restart"/>
            <w:vAlign w:val="center"/>
          </w:tcPr>
          <w:p>
            <w:pPr>
              <w:spacing w:line="300" w:lineRule="exact"/>
              <w:jc w:val="left"/>
              <w:rPr>
                <w:rFonts w:ascii="方正书宋_GBK" w:eastAsia="方正书宋_GBK"/>
              </w:rPr>
            </w:pPr>
          </w:p>
        </w:tc>
        <w:tc>
          <w:tcPr>
            <w:tcW w:w="1935" w:type="dxa"/>
            <w:vMerge w:val="restart"/>
            <w:vAlign w:val="center"/>
          </w:tcPr>
          <w:p>
            <w:pPr>
              <w:spacing w:line="300" w:lineRule="exact"/>
              <w:jc w:val="left"/>
              <w:rPr>
                <w:rFonts w:ascii="方正书宋_GBK" w:eastAsia="方正书宋_GBK"/>
              </w:rPr>
            </w:pPr>
            <w:r>
              <w:rPr>
                <w:rFonts w:hint="eastAsia" w:ascii="方正书宋_GBK" w:eastAsia="方正书宋_GBK"/>
              </w:rPr>
              <w:t>加强网络安全和信息化工作，加强互联网宣传和信息内容管理，加强网络文化建设。</w:t>
            </w:r>
          </w:p>
        </w:tc>
        <w:tc>
          <w:tcPr>
            <w:tcW w:w="1935" w:type="dxa"/>
            <w:vMerge w:val="restart"/>
            <w:vAlign w:val="center"/>
          </w:tcPr>
          <w:p>
            <w:pPr>
              <w:spacing w:line="300" w:lineRule="exact"/>
              <w:jc w:val="left"/>
              <w:rPr>
                <w:rFonts w:ascii="方正书宋_GBK" w:eastAsia="方正书宋_GBK"/>
              </w:rPr>
            </w:pPr>
            <w:r>
              <w:rPr>
                <w:rFonts w:hint="eastAsia" w:ascii="方正书宋_GBK" w:eastAsia="方正书宋_GBK"/>
              </w:rPr>
              <w:t>完善互联网管理领导体制，加强网上舆论引导，营造良好网络舆论氛围，发展健康向上网络文化。</w:t>
            </w:r>
          </w:p>
        </w:tc>
        <w:tc>
          <w:tcPr>
            <w:tcW w:w="921" w:type="dxa"/>
            <w:vAlign w:val="center"/>
          </w:tcPr>
          <w:p>
            <w:pPr>
              <w:spacing w:line="300" w:lineRule="exact"/>
              <w:jc w:val="left"/>
              <w:rPr>
                <w:rFonts w:ascii="方正书宋_GBK" w:eastAsia="方正书宋_GBK"/>
              </w:rPr>
            </w:pPr>
            <w:r>
              <w:rPr>
                <w:rFonts w:hint="eastAsia" w:ascii="方正书宋_GBK" w:eastAsia="方正书宋_GBK"/>
              </w:rPr>
              <w:t>组织开展网络宣传活动比率98%</w:t>
            </w:r>
          </w:p>
        </w:tc>
        <w:tc>
          <w:tcPr>
            <w:tcW w:w="479"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479" w:type="dxa"/>
            <w:vAlign w:val="center"/>
          </w:tcPr>
          <w:p>
            <w:pPr>
              <w:spacing w:line="300" w:lineRule="exact"/>
              <w:jc w:val="center"/>
              <w:rPr>
                <w:rFonts w:ascii="方正书宋_GBK" w:eastAsia="方正书宋_GBK"/>
              </w:rPr>
            </w:pPr>
          </w:p>
        </w:tc>
        <w:tc>
          <w:tcPr>
            <w:tcW w:w="480" w:type="dxa"/>
            <w:vAlign w:val="center"/>
          </w:tcPr>
          <w:p>
            <w:pPr>
              <w:spacing w:line="300" w:lineRule="exact"/>
              <w:jc w:val="center"/>
              <w:rPr>
                <w:rFonts w:ascii="方正书宋_GBK" w:eastAsia="方正书宋_GBK"/>
              </w:rPr>
            </w:pPr>
          </w:p>
        </w:tc>
        <w:tc>
          <w:tcPr>
            <w:tcW w:w="479"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22" w:type="dxa"/>
            <w:vMerge w:val="continue"/>
            <w:vAlign w:val="center"/>
          </w:tcPr>
          <w:p>
            <w:pPr>
              <w:spacing w:line="300" w:lineRule="exact"/>
              <w:jc w:val="left"/>
              <w:rPr>
                <w:rFonts w:ascii="方正书宋_GBK" w:eastAsia="方正书宋_GBK"/>
                <w:b/>
              </w:rPr>
            </w:pPr>
          </w:p>
        </w:tc>
        <w:tc>
          <w:tcPr>
            <w:tcW w:w="830" w:type="dxa"/>
            <w:vMerge w:val="continue"/>
            <w:vAlign w:val="center"/>
          </w:tcPr>
          <w:p>
            <w:pPr>
              <w:spacing w:line="300" w:lineRule="exact"/>
              <w:jc w:val="left"/>
              <w:rPr>
                <w:rFonts w:ascii="方正书宋_GBK" w:eastAsia="方正书宋_GBK"/>
              </w:rPr>
            </w:pPr>
          </w:p>
        </w:tc>
        <w:tc>
          <w:tcPr>
            <w:tcW w:w="1935" w:type="dxa"/>
            <w:vMerge w:val="continue"/>
            <w:vAlign w:val="center"/>
          </w:tcPr>
          <w:p>
            <w:pPr>
              <w:spacing w:line="300" w:lineRule="exact"/>
              <w:jc w:val="left"/>
              <w:rPr>
                <w:rFonts w:ascii="方正书宋_GBK" w:eastAsia="方正书宋_GBK"/>
              </w:rPr>
            </w:pPr>
          </w:p>
        </w:tc>
        <w:tc>
          <w:tcPr>
            <w:tcW w:w="1935" w:type="dxa"/>
            <w:vMerge w:val="continue"/>
            <w:vAlign w:val="center"/>
          </w:tcPr>
          <w:p>
            <w:pPr>
              <w:spacing w:line="300" w:lineRule="exact"/>
              <w:jc w:val="left"/>
              <w:rPr>
                <w:rFonts w:ascii="方正书宋_GBK" w:eastAsia="方正书宋_GBK"/>
              </w:rPr>
            </w:pPr>
          </w:p>
        </w:tc>
        <w:tc>
          <w:tcPr>
            <w:tcW w:w="921" w:type="dxa"/>
            <w:vAlign w:val="center"/>
          </w:tcPr>
          <w:p>
            <w:pPr>
              <w:spacing w:line="300" w:lineRule="exact"/>
              <w:jc w:val="left"/>
              <w:rPr>
                <w:rFonts w:ascii="方正书宋_GBK" w:eastAsia="方正书宋_GBK"/>
              </w:rPr>
            </w:pPr>
            <w:r>
              <w:rPr>
                <w:rFonts w:hint="eastAsia" w:ascii="方正书宋_GBK" w:eastAsia="方正书宋_GBK"/>
              </w:rPr>
              <w:t>互联网重大突发事件应急处置率93%</w:t>
            </w:r>
          </w:p>
        </w:tc>
        <w:tc>
          <w:tcPr>
            <w:tcW w:w="479"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479" w:type="dxa"/>
            <w:vAlign w:val="center"/>
          </w:tcPr>
          <w:p>
            <w:pPr>
              <w:spacing w:line="300" w:lineRule="exact"/>
              <w:jc w:val="center"/>
              <w:rPr>
                <w:rFonts w:ascii="方正书宋_GBK" w:eastAsia="方正书宋_GBK"/>
              </w:rPr>
            </w:pPr>
          </w:p>
        </w:tc>
        <w:tc>
          <w:tcPr>
            <w:tcW w:w="480" w:type="dxa"/>
            <w:vAlign w:val="center"/>
          </w:tcPr>
          <w:p>
            <w:pPr>
              <w:spacing w:line="300" w:lineRule="exact"/>
              <w:jc w:val="center"/>
              <w:rPr>
                <w:rFonts w:ascii="方正书宋_GBK" w:eastAsia="方正书宋_GBK"/>
              </w:rPr>
            </w:pPr>
          </w:p>
        </w:tc>
        <w:tc>
          <w:tcPr>
            <w:tcW w:w="479"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22"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、精神文明建设</w:t>
            </w:r>
          </w:p>
        </w:tc>
        <w:tc>
          <w:tcPr>
            <w:tcW w:w="830" w:type="dxa"/>
            <w:vAlign w:val="center"/>
          </w:tcPr>
          <w:p>
            <w:pPr>
              <w:spacing w:line="300" w:lineRule="exact"/>
              <w:jc w:val="left"/>
              <w:rPr>
                <w:rFonts w:ascii="方正书宋_GBK" w:eastAsia="方正书宋_GBK"/>
              </w:rPr>
            </w:pPr>
            <w:r>
              <w:rPr>
                <w:rFonts w:ascii="方正书宋_GBK" w:eastAsia="方正书宋_GBK"/>
              </w:rPr>
              <w:t>35.00</w:t>
            </w:r>
          </w:p>
        </w:tc>
        <w:tc>
          <w:tcPr>
            <w:tcW w:w="1935" w:type="dxa"/>
            <w:vAlign w:val="center"/>
          </w:tcPr>
          <w:p>
            <w:pPr>
              <w:spacing w:line="300" w:lineRule="exact"/>
              <w:jc w:val="left"/>
              <w:rPr>
                <w:rFonts w:ascii="方正书宋_GBK" w:eastAsia="方正书宋_GBK"/>
              </w:rPr>
            </w:pPr>
            <w:r>
              <w:rPr>
                <w:rFonts w:hint="eastAsia" w:ascii="方正书宋_GBK" w:eastAsia="方正书宋_GBK"/>
              </w:rPr>
              <w:t>规划部署全县精神文明创建工作，组织指导全县群众性精神文明创建活动。</w:t>
            </w:r>
          </w:p>
        </w:tc>
        <w:tc>
          <w:tcPr>
            <w:tcW w:w="1935" w:type="dxa"/>
            <w:vAlign w:val="center"/>
          </w:tcPr>
          <w:p>
            <w:pPr>
              <w:spacing w:line="300" w:lineRule="exact"/>
              <w:jc w:val="left"/>
              <w:rPr>
                <w:rFonts w:ascii="方正书宋_GBK" w:eastAsia="方正书宋_GBK"/>
              </w:rPr>
            </w:pPr>
            <w:r>
              <w:rPr>
                <w:rFonts w:hint="eastAsia" w:ascii="方正书宋_GBK" w:eastAsia="方正书宋_GBK"/>
              </w:rPr>
              <w:t>全县城乡文明程度显著提升，和谐向善的社会风气逐步形成。</w:t>
            </w:r>
          </w:p>
        </w:tc>
        <w:tc>
          <w:tcPr>
            <w:tcW w:w="921" w:type="dxa"/>
            <w:vAlign w:val="center"/>
          </w:tcPr>
          <w:p>
            <w:pPr>
              <w:spacing w:line="300" w:lineRule="exact"/>
              <w:jc w:val="left"/>
              <w:rPr>
                <w:rFonts w:ascii="方正书宋_GBK" w:eastAsia="方正书宋_GBK"/>
              </w:rPr>
            </w:pPr>
            <w:r>
              <w:rPr>
                <w:rFonts w:hint="eastAsia" w:ascii="方正书宋_GBK" w:eastAsia="方正书宋_GBK"/>
              </w:rPr>
              <w:t>组织开展精神文明创建活动次15次</w:t>
            </w:r>
          </w:p>
        </w:tc>
        <w:tc>
          <w:tcPr>
            <w:tcW w:w="479"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479" w:type="dxa"/>
            <w:vAlign w:val="center"/>
          </w:tcPr>
          <w:p>
            <w:pPr>
              <w:spacing w:line="300" w:lineRule="exact"/>
              <w:jc w:val="center"/>
              <w:rPr>
                <w:rFonts w:ascii="方正书宋_GBK" w:eastAsia="方正书宋_GBK"/>
              </w:rPr>
            </w:pPr>
          </w:p>
        </w:tc>
        <w:tc>
          <w:tcPr>
            <w:tcW w:w="480" w:type="dxa"/>
            <w:vAlign w:val="center"/>
          </w:tcPr>
          <w:p>
            <w:pPr>
              <w:spacing w:line="300" w:lineRule="exact"/>
              <w:jc w:val="center"/>
              <w:rPr>
                <w:rFonts w:ascii="方正书宋_GBK" w:eastAsia="方正书宋_GBK"/>
              </w:rPr>
            </w:pPr>
          </w:p>
        </w:tc>
        <w:tc>
          <w:tcPr>
            <w:tcW w:w="479"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22" w:type="dxa"/>
            <w:vAlign w:val="center"/>
          </w:tcPr>
          <w:p>
            <w:pPr>
              <w:spacing w:line="300" w:lineRule="exact"/>
              <w:jc w:val="left"/>
              <w:rPr>
                <w:rFonts w:ascii="方正书宋_GBK" w:eastAsia="方正书宋_GBK"/>
                <w:b/>
              </w:rPr>
            </w:pPr>
            <w:r>
              <w:rPr>
                <w:rFonts w:hint="eastAsia" w:ascii="方正书宋_GBK" w:eastAsia="方正书宋_GBK"/>
                <w:b/>
              </w:rPr>
              <w:t>二、推动文化发展</w:t>
            </w:r>
          </w:p>
        </w:tc>
        <w:tc>
          <w:tcPr>
            <w:tcW w:w="830" w:type="dxa"/>
            <w:vAlign w:val="center"/>
          </w:tcPr>
          <w:p>
            <w:pPr>
              <w:spacing w:line="300" w:lineRule="exact"/>
              <w:jc w:val="left"/>
              <w:rPr>
                <w:rFonts w:ascii="方正书宋_GBK" w:eastAsia="方正书宋_GBK"/>
              </w:rPr>
            </w:pPr>
          </w:p>
        </w:tc>
        <w:tc>
          <w:tcPr>
            <w:tcW w:w="1935" w:type="dxa"/>
            <w:vAlign w:val="center"/>
          </w:tcPr>
          <w:p>
            <w:pPr>
              <w:spacing w:line="300" w:lineRule="exact"/>
              <w:jc w:val="left"/>
              <w:rPr>
                <w:rFonts w:ascii="方正书宋_GBK" w:eastAsia="方正书宋_GBK"/>
              </w:rPr>
            </w:pPr>
            <w:r>
              <w:rPr>
                <w:rFonts w:hint="eastAsia" w:ascii="方正书宋_GBK" w:eastAsia="方正书宋_GBK"/>
              </w:rPr>
              <w:t>深化文化体制改革，构建现代公共文化服务体系；加强精神文化产品创作生产。</w:t>
            </w:r>
          </w:p>
        </w:tc>
        <w:tc>
          <w:tcPr>
            <w:tcW w:w="1935" w:type="dxa"/>
            <w:vAlign w:val="center"/>
          </w:tcPr>
          <w:p>
            <w:pPr>
              <w:spacing w:line="300" w:lineRule="exact"/>
              <w:jc w:val="left"/>
              <w:rPr>
                <w:rFonts w:ascii="方正书宋_GBK" w:eastAsia="方正书宋_GBK"/>
              </w:rPr>
            </w:pPr>
            <w:r>
              <w:rPr>
                <w:rFonts w:hint="eastAsia" w:ascii="方正书宋_GBK" w:eastAsia="方正书宋_GBK"/>
              </w:rPr>
              <w:t>进一步解放和发展文化生产力，推动全县文化事业和文化产业健康发展。</w:t>
            </w:r>
          </w:p>
        </w:tc>
        <w:tc>
          <w:tcPr>
            <w:tcW w:w="921" w:type="dxa"/>
            <w:vAlign w:val="center"/>
          </w:tcPr>
          <w:p>
            <w:pPr>
              <w:spacing w:line="300" w:lineRule="exact"/>
              <w:jc w:val="left"/>
              <w:rPr>
                <w:rFonts w:ascii="方正书宋_GBK" w:eastAsia="方正书宋_GBK"/>
              </w:rPr>
            </w:pPr>
          </w:p>
        </w:tc>
        <w:tc>
          <w:tcPr>
            <w:tcW w:w="479"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479" w:type="dxa"/>
            <w:vAlign w:val="center"/>
          </w:tcPr>
          <w:p>
            <w:pPr>
              <w:spacing w:line="300" w:lineRule="exact"/>
              <w:jc w:val="center"/>
              <w:rPr>
                <w:rFonts w:ascii="方正书宋_GBK" w:eastAsia="方正书宋_GBK"/>
              </w:rPr>
            </w:pPr>
          </w:p>
        </w:tc>
        <w:tc>
          <w:tcPr>
            <w:tcW w:w="480" w:type="dxa"/>
            <w:vAlign w:val="center"/>
          </w:tcPr>
          <w:p>
            <w:pPr>
              <w:spacing w:line="300" w:lineRule="exact"/>
              <w:jc w:val="center"/>
              <w:rPr>
                <w:rFonts w:ascii="方正书宋_GBK" w:eastAsia="方正书宋_GBK"/>
              </w:rPr>
            </w:pPr>
          </w:p>
        </w:tc>
        <w:tc>
          <w:tcPr>
            <w:tcW w:w="479"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22"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、文化事业产业发展</w:t>
            </w:r>
          </w:p>
        </w:tc>
        <w:tc>
          <w:tcPr>
            <w:tcW w:w="830" w:type="dxa"/>
            <w:vAlign w:val="center"/>
          </w:tcPr>
          <w:p>
            <w:pPr>
              <w:spacing w:line="300" w:lineRule="exact"/>
              <w:jc w:val="left"/>
              <w:rPr>
                <w:rFonts w:ascii="方正书宋_GBK" w:eastAsia="方正书宋_GBK"/>
              </w:rPr>
            </w:pPr>
          </w:p>
        </w:tc>
        <w:tc>
          <w:tcPr>
            <w:tcW w:w="1935" w:type="dxa"/>
            <w:vAlign w:val="center"/>
          </w:tcPr>
          <w:p>
            <w:pPr>
              <w:spacing w:line="300" w:lineRule="exact"/>
              <w:jc w:val="left"/>
              <w:rPr>
                <w:rFonts w:ascii="方正书宋_GBK" w:eastAsia="方正书宋_GBK"/>
              </w:rPr>
            </w:pPr>
            <w:r>
              <w:rPr>
                <w:rFonts w:hint="eastAsia" w:ascii="方正书宋_GBK" w:eastAsia="方正书宋_GBK"/>
              </w:rPr>
              <w:t>研究制定全县文化发展方针政策，管理县级各类文化发展专项资金和基金，支持重点文化项目建设，加强文化招商，推动文化事业产业健康发展。</w:t>
            </w:r>
          </w:p>
        </w:tc>
        <w:tc>
          <w:tcPr>
            <w:tcW w:w="1935" w:type="dxa"/>
            <w:vAlign w:val="center"/>
          </w:tcPr>
          <w:p>
            <w:pPr>
              <w:spacing w:line="300" w:lineRule="exact"/>
              <w:jc w:val="left"/>
              <w:rPr>
                <w:rFonts w:ascii="方正书宋_GBK" w:eastAsia="方正书宋_GBK"/>
              </w:rPr>
            </w:pPr>
            <w:r>
              <w:rPr>
                <w:rFonts w:hint="eastAsia" w:ascii="方正书宋_GBK" w:eastAsia="方正书宋_GBK"/>
              </w:rPr>
              <w:t>推动文化事业繁荣和文化产业快速发展。</w:t>
            </w:r>
          </w:p>
        </w:tc>
        <w:tc>
          <w:tcPr>
            <w:tcW w:w="921" w:type="dxa"/>
            <w:vAlign w:val="center"/>
          </w:tcPr>
          <w:p>
            <w:pPr>
              <w:spacing w:line="300" w:lineRule="exact"/>
              <w:jc w:val="left"/>
              <w:rPr>
                <w:rFonts w:ascii="方正书宋_GBK" w:eastAsia="方正书宋_GBK"/>
              </w:rPr>
            </w:pPr>
            <w:r>
              <w:rPr>
                <w:rFonts w:hint="eastAsia" w:ascii="方正书宋_GBK" w:eastAsia="方正书宋_GBK"/>
              </w:rPr>
              <w:t>全县文化产业增加值年增速80%</w:t>
            </w:r>
          </w:p>
        </w:tc>
        <w:tc>
          <w:tcPr>
            <w:tcW w:w="479"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479" w:type="dxa"/>
            <w:vAlign w:val="center"/>
          </w:tcPr>
          <w:p>
            <w:pPr>
              <w:spacing w:line="300" w:lineRule="exact"/>
              <w:jc w:val="center"/>
              <w:rPr>
                <w:rFonts w:ascii="方正书宋_GBK" w:eastAsia="方正书宋_GBK"/>
              </w:rPr>
            </w:pPr>
          </w:p>
        </w:tc>
        <w:tc>
          <w:tcPr>
            <w:tcW w:w="480" w:type="dxa"/>
            <w:vAlign w:val="center"/>
          </w:tcPr>
          <w:p>
            <w:pPr>
              <w:spacing w:line="300" w:lineRule="exact"/>
              <w:jc w:val="center"/>
              <w:rPr>
                <w:rFonts w:ascii="方正书宋_GBK" w:eastAsia="方正书宋_GBK"/>
              </w:rPr>
            </w:pPr>
          </w:p>
        </w:tc>
        <w:tc>
          <w:tcPr>
            <w:tcW w:w="479"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22"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、文化艺术发展</w:t>
            </w:r>
          </w:p>
        </w:tc>
        <w:tc>
          <w:tcPr>
            <w:tcW w:w="830" w:type="dxa"/>
            <w:vAlign w:val="center"/>
          </w:tcPr>
          <w:p>
            <w:pPr>
              <w:spacing w:line="300" w:lineRule="exact"/>
              <w:jc w:val="left"/>
              <w:rPr>
                <w:rFonts w:ascii="方正书宋_GBK" w:eastAsia="方正书宋_GBK"/>
              </w:rPr>
            </w:pPr>
          </w:p>
        </w:tc>
        <w:tc>
          <w:tcPr>
            <w:tcW w:w="1935" w:type="dxa"/>
            <w:vAlign w:val="center"/>
          </w:tcPr>
          <w:p>
            <w:pPr>
              <w:spacing w:line="300" w:lineRule="exact"/>
              <w:jc w:val="left"/>
              <w:rPr>
                <w:rFonts w:ascii="方正书宋_GBK" w:eastAsia="方正书宋_GBK"/>
              </w:rPr>
            </w:pPr>
            <w:r>
              <w:rPr>
                <w:rFonts w:hint="eastAsia" w:ascii="方正书宋_GBK" w:eastAsia="方正书宋_GBK"/>
              </w:rPr>
              <w:t>研究制定全县文化艺术发展的指导方针，构建现代公共文化服务体系，加强精神文化产品创作生产，传承和保护优秀传统文化，推动文化艺术健康发展。</w:t>
            </w:r>
          </w:p>
        </w:tc>
        <w:tc>
          <w:tcPr>
            <w:tcW w:w="1935" w:type="dxa"/>
            <w:vAlign w:val="center"/>
          </w:tcPr>
          <w:p>
            <w:pPr>
              <w:spacing w:line="300" w:lineRule="exact"/>
              <w:jc w:val="left"/>
              <w:rPr>
                <w:rFonts w:ascii="方正书宋_GBK" w:eastAsia="方正书宋_GBK"/>
              </w:rPr>
            </w:pPr>
            <w:r>
              <w:rPr>
                <w:rFonts w:hint="eastAsia" w:ascii="方正书宋_GBK" w:eastAsia="方正书宋_GBK"/>
              </w:rPr>
              <w:t>推动全县文化艺术健康发展。</w:t>
            </w:r>
          </w:p>
        </w:tc>
        <w:tc>
          <w:tcPr>
            <w:tcW w:w="921" w:type="dxa"/>
            <w:vAlign w:val="center"/>
          </w:tcPr>
          <w:p>
            <w:pPr>
              <w:spacing w:line="300" w:lineRule="exact"/>
              <w:jc w:val="left"/>
              <w:rPr>
                <w:rFonts w:ascii="方正书宋_GBK" w:eastAsia="方正书宋_GBK"/>
              </w:rPr>
            </w:pPr>
            <w:r>
              <w:rPr>
                <w:rFonts w:hint="eastAsia" w:ascii="方正书宋_GBK" w:eastAsia="方正书宋_GBK"/>
              </w:rPr>
              <w:t>组织系列文化活动数量9（次）</w:t>
            </w:r>
          </w:p>
        </w:tc>
        <w:tc>
          <w:tcPr>
            <w:tcW w:w="479"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479" w:type="dxa"/>
            <w:vAlign w:val="center"/>
          </w:tcPr>
          <w:p>
            <w:pPr>
              <w:spacing w:line="300" w:lineRule="exact"/>
              <w:jc w:val="center"/>
              <w:rPr>
                <w:rFonts w:ascii="方正书宋_GBK" w:eastAsia="方正书宋_GBK"/>
              </w:rPr>
            </w:pPr>
          </w:p>
        </w:tc>
        <w:tc>
          <w:tcPr>
            <w:tcW w:w="480" w:type="dxa"/>
            <w:vAlign w:val="center"/>
          </w:tcPr>
          <w:p>
            <w:pPr>
              <w:spacing w:line="300" w:lineRule="exact"/>
              <w:jc w:val="center"/>
              <w:rPr>
                <w:rFonts w:ascii="方正书宋_GBK" w:eastAsia="方正书宋_GBK"/>
              </w:rPr>
            </w:pPr>
          </w:p>
        </w:tc>
        <w:tc>
          <w:tcPr>
            <w:tcW w:w="479"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22" w:type="dxa"/>
            <w:vAlign w:val="center"/>
          </w:tcPr>
          <w:p>
            <w:pPr>
              <w:spacing w:line="300" w:lineRule="exact"/>
              <w:jc w:val="left"/>
              <w:rPr>
                <w:rFonts w:ascii="方正书宋_GBK" w:eastAsia="方正书宋_GBK"/>
                <w:b/>
              </w:rPr>
            </w:pPr>
            <w:r>
              <w:rPr>
                <w:rFonts w:hint="eastAsia" w:ascii="方正书宋_GBK" w:eastAsia="方正书宋_GBK"/>
                <w:b/>
              </w:rPr>
              <w:t>三、宣传事务管理</w:t>
            </w:r>
          </w:p>
        </w:tc>
        <w:tc>
          <w:tcPr>
            <w:tcW w:w="830" w:type="dxa"/>
            <w:vAlign w:val="center"/>
          </w:tcPr>
          <w:p>
            <w:pPr>
              <w:spacing w:line="300" w:lineRule="exact"/>
              <w:jc w:val="left"/>
              <w:rPr>
                <w:rFonts w:ascii="方正书宋_GBK" w:eastAsia="方正书宋_GBK"/>
              </w:rPr>
            </w:pPr>
            <w:r>
              <w:rPr>
                <w:rFonts w:ascii="方正书宋_GBK" w:eastAsia="方正书宋_GBK"/>
              </w:rPr>
              <w:t>94.00</w:t>
            </w:r>
          </w:p>
        </w:tc>
        <w:tc>
          <w:tcPr>
            <w:tcW w:w="1935" w:type="dxa"/>
            <w:vAlign w:val="center"/>
          </w:tcPr>
          <w:p>
            <w:pPr>
              <w:spacing w:line="300" w:lineRule="exact"/>
              <w:jc w:val="left"/>
              <w:rPr>
                <w:rFonts w:ascii="方正书宋_GBK" w:eastAsia="方正书宋_GBK"/>
              </w:rPr>
            </w:pPr>
            <w:r>
              <w:rPr>
                <w:rFonts w:hint="eastAsia" w:ascii="方正书宋_GBK" w:eastAsia="方正书宋_GBK"/>
              </w:rPr>
              <w:t>负责系统综合业务管理和机关综合事务管理。</w:t>
            </w:r>
          </w:p>
        </w:tc>
        <w:tc>
          <w:tcPr>
            <w:tcW w:w="1935" w:type="dxa"/>
            <w:vAlign w:val="center"/>
          </w:tcPr>
          <w:p>
            <w:pPr>
              <w:spacing w:line="300" w:lineRule="exact"/>
              <w:jc w:val="left"/>
              <w:rPr>
                <w:rFonts w:ascii="方正书宋_GBK" w:eastAsia="方正书宋_GBK"/>
              </w:rPr>
            </w:pPr>
            <w:r>
              <w:rPr>
                <w:rFonts w:hint="eastAsia" w:ascii="方正书宋_GBK" w:eastAsia="方正书宋_GBK"/>
              </w:rPr>
              <w:t>确保各项业务工作谋划到位、顺利开展。保障机关工作正常高效运转。</w:t>
            </w:r>
          </w:p>
        </w:tc>
        <w:tc>
          <w:tcPr>
            <w:tcW w:w="921" w:type="dxa"/>
            <w:vAlign w:val="center"/>
          </w:tcPr>
          <w:p>
            <w:pPr>
              <w:spacing w:line="300" w:lineRule="exact"/>
              <w:jc w:val="left"/>
              <w:rPr>
                <w:rFonts w:ascii="方正书宋_GBK" w:eastAsia="方正书宋_GBK"/>
              </w:rPr>
            </w:pPr>
          </w:p>
        </w:tc>
        <w:tc>
          <w:tcPr>
            <w:tcW w:w="479"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479" w:type="dxa"/>
            <w:vAlign w:val="center"/>
          </w:tcPr>
          <w:p>
            <w:pPr>
              <w:spacing w:line="300" w:lineRule="exact"/>
              <w:jc w:val="center"/>
              <w:rPr>
                <w:rFonts w:ascii="方正书宋_GBK" w:eastAsia="方正书宋_GBK"/>
              </w:rPr>
            </w:pPr>
          </w:p>
        </w:tc>
        <w:tc>
          <w:tcPr>
            <w:tcW w:w="480" w:type="dxa"/>
            <w:vAlign w:val="center"/>
          </w:tcPr>
          <w:p>
            <w:pPr>
              <w:spacing w:line="300" w:lineRule="exact"/>
              <w:jc w:val="center"/>
              <w:rPr>
                <w:rFonts w:ascii="方正书宋_GBK" w:eastAsia="方正书宋_GBK"/>
              </w:rPr>
            </w:pPr>
          </w:p>
        </w:tc>
        <w:tc>
          <w:tcPr>
            <w:tcW w:w="479"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22"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830" w:type="dxa"/>
            <w:vMerge w:val="restart"/>
            <w:vAlign w:val="center"/>
          </w:tcPr>
          <w:p>
            <w:pPr>
              <w:spacing w:line="300" w:lineRule="exact"/>
              <w:jc w:val="left"/>
              <w:rPr>
                <w:rFonts w:ascii="方正书宋_GBK" w:eastAsia="方正书宋_GBK"/>
              </w:rPr>
            </w:pPr>
            <w:r>
              <w:rPr>
                <w:rFonts w:ascii="方正书宋_GBK" w:eastAsia="方正书宋_GBK"/>
              </w:rPr>
              <w:t>56.00</w:t>
            </w:r>
          </w:p>
        </w:tc>
        <w:tc>
          <w:tcPr>
            <w:tcW w:w="1935" w:type="dxa"/>
            <w:vMerge w:val="restart"/>
            <w:vAlign w:val="center"/>
          </w:tcPr>
          <w:p>
            <w:pPr>
              <w:spacing w:line="300" w:lineRule="exact"/>
              <w:jc w:val="left"/>
              <w:rPr>
                <w:rFonts w:ascii="方正书宋_GBK" w:eastAsia="方正书宋_GBK"/>
              </w:rPr>
            </w:pPr>
            <w:r>
              <w:rPr>
                <w:rFonts w:hint="eastAsia" w:ascii="方正书宋_GBK" w:eastAsia="方正书宋_GBK"/>
              </w:rPr>
              <w:t>制定全县宣传思想文化发展规划和政策制度并组织实施，开展宣传文化业务管理，加强政策业务宣传等。</w:t>
            </w:r>
          </w:p>
        </w:tc>
        <w:tc>
          <w:tcPr>
            <w:tcW w:w="1935" w:type="dxa"/>
            <w:vMerge w:val="restart"/>
            <w:vAlign w:val="center"/>
          </w:tcPr>
          <w:p>
            <w:pPr>
              <w:spacing w:line="300" w:lineRule="exact"/>
              <w:jc w:val="left"/>
              <w:rPr>
                <w:rFonts w:ascii="方正书宋_GBK" w:eastAsia="方正书宋_GBK"/>
              </w:rPr>
            </w:pPr>
            <w:r>
              <w:rPr>
                <w:rFonts w:hint="eastAsia" w:ascii="方正书宋_GBK" w:eastAsia="方正书宋_GBK"/>
              </w:rPr>
              <w:t>确保各项业务工作谋划到位、顺利开展。</w:t>
            </w:r>
          </w:p>
        </w:tc>
        <w:tc>
          <w:tcPr>
            <w:tcW w:w="921" w:type="dxa"/>
            <w:vAlign w:val="center"/>
          </w:tcPr>
          <w:p>
            <w:pPr>
              <w:spacing w:line="300" w:lineRule="exact"/>
              <w:jc w:val="left"/>
              <w:rPr>
                <w:rFonts w:ascii="方正书宋_GBK" w:eastAsia="方正书宋_GBK"/>
              </w:rPr>
            </w:pPr>
            <w:r>
              <w:rPr>
                <w:rFonts w:hint="eastAsia" w:ascii="方正书宋_GBK" w:eastAsia="方正书宋_GBK"/>
              </w:rPr>
              <w:t>规划、制度完成率93%</w:t>
            </w:r>
          </w:p>
        </w:tc>
        <w:tc>
          <w:tcPr>
            <w:tcW w:w="479"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479" w:type="dxa"/>
            <w:vAlign w:val="center"/>
          </w:tcPr>
          <w:p>
            <w:pPr>
              <w:spacing w:line="300" w:lineRule="exact"/>
              <w:jc w:val="center"/>
              <w:rPr>
                <w:rFonts w:ascii="方正书宋_GBK" w:eastAsia="方正书宋_GBK"/>
              </w:rPr>
            </w:pPr>
          </w:p>
        </w:tc>
        <w:tc>
          <w:tcPr>
            <w:tcW w:w="480" w:type="dxa"/>
            <w:vAlign w:val="center"/>
          </w:tcPr>
          <w:p>
            <w:pPr>
              <w:spacing w:line="300" w:lineRule="exact"/>
              <w:jc w:val="center"/>
              <w:rPr>
                <w:rFonts w:ascii="方正书宋_GBK" w:eastAsia="方正书宋_GBK"/>
              </w:rPr>
            </w:pPr>
          </w:p>
        </w:tc>
        <w:tc>
          <w:tcPr>
            <w:tcW w:w="479"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22" w:type="dxa"/>
            <w:vMerge w:val="continue"/>
            <w:vAlign w:val="center"/>
          </w:tcPr>
          <w:p>
            <w:pPr>
              <w:spacing w:line="300" w:lineRule="exact"/>
              <w:jc w:val="left"/>
              <w:rPr>
                <w:rFonts w:ascii="方正书宋_GBK" w:eastAsia="方正书宋_GBK"/>
                <w:b/>
              </w:rPr>
            </w:pPr>
          </w:p>
        </w:tc>
        <w:tc>
          <w:tcPr>
            <w:tcW w:w="830" w:type="dxa"/>
            <w:vMerge w:val="continue"/>
            <w:vAlign w:val="center"/>
          </w:tcPr>
          <w:p>
            <w:pPr>
              <w:spacing w:line="300" w:lineRule="exact"/>
              <w:jc w:val="left"/>
              <w:rPr>
                <w:rFonts w:ascii="方正书宋_GBK" w:eastAsia="方正书宋_GBK"/>
              </w:rPr>
            </w:pPr>
          </w:p>
        </w:tc>
        <w:tc>
          <w:tcPr>
            <w:tcW w:w="1935" w:type="dxa"/>
            <w:vMerge w:val="continue"/>
            <w:vAlign w:val="center"/>
          </w:tcPr>
          <w:p>
            <w:pPr>
              <w:spacing w:line="300" w:lineRule="exact"/>
              <w:jc w:val="left"/>
              <w:rPr>
                <w:rFonts w:ascii="方正书宋_GBK" w:eastAsia="方正书宋_GBK"/>
              </w:rPr>
            </w:pPr>
          </w:p>
        </w:tc>
        <w:tc>
          <w:tcPr>
            <w:tcW w:w="1935" w:type="dxa"/>
            <w:vMerge w:val="continue"/>
            <w:vAlign w:val="center"/>
          </w:tcPr>
          <w:p>
            <w:pPr>
              <w:spacing w:line="300" w:lineRule="exact"/>
              <w:jc w:val="left"/>
              <w:rPr>
                <w:rFonts w:ascii="方正书宋_GBK" w:eastAsia="方正书宋_GBK"/>
              </w:rPr>
            </w:pPr>
          </w:p>
        </w:tc>
        <w:tc>
          <w:tcPr>
            <w:tcW w:w="921" w:type="dxa"/>
            <w:vAlign w:val="center"/>
          </w:tcPr>
          <w:p>
            <w:pPr>
              <w:spacing w:line="300" w:lineRule="exact"/>
              <w:jc w:val="left"/>
              <w:rPr>
                <w:rFonts w:ascii="方正书宋_GBK" w:eastAsia="方正书宋_GBK"/>
              </w:rPr>
            </w:pPr>
            <w:r>
              <w:rPr>
                <w:rFonts w:hint="eastAsia" w:ascii="方正书宋_GBK" w:eastAsia="方正书宋_GBK"/>
              </w:rPr>
              <w:t>重点工作督察督办率100%</w:t>
            </w:r>
          </w:p>
        </w:tc>
        <w:tc>
          <w:tcPr>
            <w:tcW w:w="479"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479" w:type="dxa"/>
            <w:vAlign w:val="center"/>
          </w:tcPr>
          <w:p>
            <w:pPr>
              <w:spacing w:line="300" w:lineRule="exact"/>
              <w:jc w:val="center"/>
              <w:rPr>
                <w:rFonts w:ascii="方正书宋_GBK" w:eastAsia="方正书宋_GBK"/>
              </w:rPr>
            </w:pPr>
          </w:p>
        </w:tc>
        <w:tc>
          <w:tcPr>
            <w:tcW w:w="480" w:type="dxa"/>
            <w:vAlign w:val="center"/>
          </w:tcPr>
          <w:p>
            <w:pPr>
              <w:spacing w:line="300" w:lineRule="exact"/>
              <w:jc w:val="center"/>
              <w:rPr>
                <w:rFonts w:ascii="方正书宋_GBK" w:eastAsia="方正书宋_GBK"/>
              </w:rPr>
            </w:pPr>
          </w:p>
        </w:tc>
        <w:tc>
          <w:tcPr>
            <w:tcW w:w="479"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22"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830" w:type="dxa"/>
            <w:vAlign w:val="center"/>
          </w:tcPr>
          <w:p>
            <w:pPr>
              <w:spacing w:line="300" w:lineRule="exact"/>
              <w:jc w:val="left"/>
              <w:rPr>
                <w:rFonts w:ascii="方正书宋_GBK" w:eastAsia="方正书宋_GBK"/>
              </w:rPr>
            </w:pPr>
            <w:r>
              <w:rPr>
                <w:rFonts w:ascii="方正书宋_GBK" w:eastAsia="方正书宋_GBK"/>
              </w:rPr>
              <w:t>38.00</w:t>
            </w:r>
          </w:p>
        </w:tc>
        <w:tc>
          <w:tcPr>
            <w:tcW w:w="1935" w:type="dxa"/>
            <w:vAlign w:val="center"/>
          </w:tcPr>
          <w:p>
            <w:pPr>
              <w:spacing w:line="300" w:lineRule="exact"/>
              <w:jc w:val="left"/>
              <w:rPr>
                <w:rFonts w:ascii="方正书宋_GBK" w:eastAsia="方正书宋_GBK"/>
              </w:rPr>
            </w:pPr>
            <w:r>
              <w:rPr>
                <w:rFonts w:hint="eastAsia" w:ascii="方正书宋_GBK" w:eastAsia="方正书宋_GBK"/>
              </w:rPr>
              <w:t>开展会议组织管理、财务资产管理、干部人才队伍建设、机关党建等工作。</w:t>
            </w:r>
          </w:p>
        </w:tc>
        <w:tc>
          <w:tcPr>
            <w:tcW w:w="1935" w:type="dxa"/>
            <w:vAlign w:val="center"/>
          </w:tcPr>
          <w:p>
            <w:pPr>
              <w:spacing w:line="300" w:lineRule="exact"/>
              <w:jc w:val="left"/>
              <w:rPr>
                <w:rFonts w:ascii="方正书宋_GBK" w:eastAsia="方正书宋_GBK"/>
              </w:rPr>
            </w:pPr>
            <w:r>
              <w:rPr>
                <w:rFonts w:hint="eastAsia" w:ascii="方正书宋_GBK" w:eastAsia="方正书宋_GBK"/>
              </w:rPr>
              <w:t>保障机关工作正常高效运转。</w:t>
            </w:r>
          </w:p>
        </w:tc>
        <w:tc>
          <w:tcPr>
            <w:tcW w:w="921" w:type="dxa"/>
            <w:vAlign w:val="center"/>
          </w:tcPr>
          <w:p>
            <w:pPr>
              <w:spacing w:line="300" w:lineRule="exact"/>
              <w:jc w:val="left"/>
              <w:rPr>
                <w:rFonts w:ascii="方正书宋_GBK" w:eastAsia="方正书宋_GBK"/>
              </w:rPr>
            </w:pPr>
            <w:r>
              <w:rPr>
                <w:rFonts w:hint="eastAsia" w:ascii="方正书宋_GBK" w:eastAsia="方正书宋_GBK"/>
              </w:rPr>
              <w:t>综合事务工作完成率100%</w:t>
            </w:r>
          </w:p>
        </w:tc>
        <w:tc>
          <w:tcPr>
            <w:tcW w:w="479"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479" w:type="dxa"/>
            <w:vAlign w:val="center"/>
          </w:tcPr>
          <w:p>
            <w:pPr>
              <w:spacing w:line="300" w:lineRule="exact"/>
              <w:jc w:val="center"/>
              <w:rPr>
                <w:rFonts w:ascii="方正书宋_GBK" w:eastAsia="方正书宋_GBK"/>
              </w:rPr>
            </w:pPr>
          </w:p>
        </w:tc>
        <w:tc>
          <w:tcPr>
            <w:tcW w:w="480" w:type="dxa"/>
            <w:vAlign w:val="center"/>
          </w:tcPr>
          <w:p>
            <w:pPr>
              <w:spacing w:line="300" w:lineRule="exact"/>
              <w:jc w:val="center"/>
              <w:rPr>
                <w:rFonts w:ascii="方正书宋_GBK" w:eastAsia="方正书宋_GBK"/>
              </w:rPr>
            </w:pPr>
          </w:p>
        </w:tc>
        <w:tc>
          <w:tcPr>
            <w:tcW w:w="479" w:type="dxa"/>
            <w:vAlign w:val="center"/>
          </w:tcPr>
          <w:p>
            <w:pPr>
              <w:spacing w:line="300" w:lineRule="exact"/>
              <w:jc w:val="center"/>
              <w:rPr>
                <w:rFonts w:ascii="方正书宋_GBK" w:eastAsia="方正书宋_GBK"/>
              </w:rPr>
            </w:pPr>
          </w:p>
        </w:tc>
      </w:tr>
    </w:tbl>
    <w:p>
      <w:pPr>
        <w:adjustRightInd w:val="0"/>
        <w:snapToGrid w:val="0"/>
        <w:spacing w:after="0" w:line="580" w:lineRule="exact"/>
        <w:rPr>
          <w:rFonts w:ascii="仿宋_GB2312" w:eastAsia="仿宋_GB2312" w:cs="DengXian-Regular"/>
          <w:sz w:val="32"/>
          <w:szCs w:val="32"/>
        </w:rPr>
      </w:pP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本部门2018年度机关运行经费支出15.13万元，比年初预算数减少12.07万元，降低44.38</w:t>
      </w:r>
      <w:r>
        <w:rPr>
          <w:rFonts w:eastAsia="仿宋_GB2312"/>
          <w:sz w:val="32"/>
          <w:szCs w:val="32"/>
        </w:rPr>
        <w:t>%</w:t>
      </w:r>
      <w:r>
        <w:rPr>
          <w:rFonts w:hint="eastAsia" w:ascii="仿宋_GB2312" w:eastAsia="仿宋_GB2312" w:cs="DengXian-Regular"/>
          <w:sz w:val="32"/>
          <w:szCs w:val="32"/>
        </w:rPr>
        <w:t>。主要是厉行节约，压减公用经费支出。</w:t>
      </w:r>
      <w:r>
        <w:rPr>
          <w:rFonts w:eastAsia="仿宋_GB2312"/>
          <w:sz w:val="32"/>
          <w:szCs w:val="32"/>
        </w:rPr>
        <w:t>较201</w:t>
      </w:r>
      <w:r>
        <w:rPr>
          <w:rFonts w:hint="eastAsia" w:eastAsia="仿宋_GB2312"/>
          <w:sz w:val="32"/>
          <w:szCs w:val="32"/>
        </w:rPr>
        <w:t>7</w:t>
      </w:r>
      <w:r>
        <w:rPr>
          <w:rFonts w:eastAsia="仿宋_GB2312"/>
          <w:sz w:val="32"/>
          <w:szCs w:val="32"/>
        </w:rPr>
        <w:t>年度决算减少</w:t>
      </w:r>
      <w:r>
        <w:rPr>
          <w:rFonts w:hint="eastAsia" w:eastAsia="仿宋_GB2312"/>
          <w:sz w:val="32"/>
          <w:szCs w:val="32"/>
        </w:rPr>
        <w:t>3.12</w:t>
      </w:r>
      <w:r>
        <w:rPr>
          <w:rFonts w:eastAsia="仿宋_GB2312"/>
          <w:sz w:val="32"/>
          <w:szCs w:val="32"/>
        </w:rPr>
        <w:t>万元，降低</w:t>
      </w:r>
      <w:r>
        <w:rPr>
          <w:rFonts w:hint="eastAsia" w:eastAsia="仿宋_GB2312"/>
          <w:sz w:val="32"/>
          <w:szCs w:val="32"/>
        </w:rPr>
        <w:t>17.1</w:t>
      </w:r>
      <w:r>
        <w:rPr>
          <w:rFonts w:eastAsia="仿宋_GB2312"/>
          <w:sz w:val="32"/>
          <w:szCs w:val="32"/>
        </w:rPr>
        <w:t>%，主要是</w:t>
      </w:r>
      <w:r>
        <w:rPr>
          <w:rFonts w:hint="eastAsia" w:ascii="仿宋_GB2312" w:eastAsia="仿宋_GB2312" w:cs="DengXian-Regular"/>
          <w:sz w:val="32"/>
          <w:szCs w:val="32"/>
        </w:rPr>
        <w:t>厉行节约，压减公用经费支出</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pStyle w:val="4"/>
        <w:spacing w:before="0" w:after="0" w:line="580" w:lineRule="exact"/>
        <w:ind w:firstLine="640" w:firstLineChars="200"/>
        <w:rPr>
          <w:rFonts w:hint="eastAsia" w:ascii="楷体_GB2312" w:eastAsia="楷体_GB2312" w:cs="DengXian-Bold"/>
        </w:rPr>
      </w:pPr>
      <w:r>
        <w:rPr>
          <w:rFonts w:hint="eastAsia" w:ascii="仿宋_GB2312" w:eastAsia="仿宋_GB2312" w:cs="DengXian-Regular"/>
          <w:b w:val="0"/>
        </w:rPr>
        <w:t>本部门2018年度政府采购支出总额0万元，从采购类型来看，</w:t>
      </w:r>
      <w:r>
        <w:rPr>
          <w:rFonts w:ascii="仿宋_GB2312" w:hAnsi="仿宋_GB2312" w:eastAsia="仿宋_GB2312" w:cs="仿宋_GB2312"/>
          <w:b w:val="0"/>
          <w:color w:val="000000"/>
          <w:kern w:val="0"/>
        </w:rPr>
        <w:t>政府采购货物支出</w:t>
      </w:r>
      <w:r>
        <w:rPr>
          <w:rFonts w:hint="eastAsia" w:ascii="仿宋_GB2312" w:hAnsi="仿宋_GB2312" w:eastAsia="仿宋_GB2312" w:cs="仿宋_GB2312"/>
          <w:b w:val="0"/>
          <w:color w:val="000000"/>
          <w:kern w:val="0"/>
        </w:rPr>
        <w:t>0</w:t>
      </w:r>
      <w:r>
        <w:rPr>
          <w:rFonts w:ascii="仿宋_GB2312" w:hAnsi="仿宋_GB2312" w:eastAsia="仿宋_GB2312" w:cs="仿宋_GB2312"/>
          <w:b w:val="0"/>
          <w:color w:val="000000"/>
          <w:kern w:val="0"/>
        </w:rPr>
        <w:t xml:space="preserve"> 万元、政府采购工程支出</w:t>
      </w:r>
      <w:r>
        <w:rPr>
          <w:rFonts w:hint="eastAsia" w:ascii="仿宋_GB2312" w:hAnsi="仿宋_GB2312" w:eastAsia="仿宋_GB2312" w:cs="仿宋_GB2312"/>
          <w:b w:val="0"/>
          <w:color w:val="000000"/>
          <w:kern w:val="0"/>
        </w:rPr>
        <w:t>0</w:t>
      </w:r>
      <w:r>
        <w:rPr>
          <w:rFonts w:ascii="仿宋_GB2312" w:hAnsi="仿宋_GB2312" w:eastAsia="仿宋_GB2312" w:cs="仿宋_GB2312"/>
          <w:b w:val="0"/>
          <w:color w:val="000000"/>
          <w:kern w:val="0"/>
        </w:rPr>
        <w:t>万元、政府采购服务支出</w:t>
      </w:r>
      <w:r>
        <w:rPr>
          <w:rFonts w:hint="eastAsia" w:ascii="仿宋_GB2312" w:hAnsi="仿宋_GB2312" w:eastAsia="仿宋_GB2312" w:cs="仿宋_GB2312"/>
          <w:b w:val="0"/>
          <w:color w:val="000000"/>
          <w:kern w:val="0"/>
        </w:rPr>
        <w:t>0</w:t>
      </w:r>
      <w:r>
        <w:rPr>
          <w:rFonts w:ascii="仿宋_GB2312" w:hAnsi="仿宋_GB2312" w:eastAsia="仿宋_GB2312" w:cs="仿宋_GB2312"/>
          <w:b w:val="0"/>
          <w:color w:val="000000"/>
          <w:kern w:val="0"/>
        </w:rPr>
        <w:t>万元。授予中小企业合同金</w:t>
      </w:r>
      <w:r>
        <w:rPr>
          <w:rFonts w:hint="eastAsia" w:ascii="仿宋_GB2312" w:hAnsi="仿宋_GB2312" w:eastAsia="仿宋_GB2312" w:cs="仿宋_GB2312"/>
          <w:b w:val="0"/>
          <w:color w:val="000000"/>
          <w:kern w:val="0"/>
        </w:rPr>
        <w:t>0</w:t>
      </w:r>
      <w:r>
        <w:rPr>
          <w:rFonts w:ascii="仿宋_GB2312" w:hAnsi="仿宋_GB2312" w:eastAsia="仿宋_GB2312" w:cs="仿宋_GB2312"/>
          <w:b w:val="0"/>
          <w:color w:val="000000"/>
          <w:kern w:val="0"/>
        </w:rPr>
        <w:t>万元，占政府采购支出总额的</w:t>
      </w:r>
      <w:r>
        <w:rPr>
          <w:rFonts w:hint="eastAsia" w:ascii="仿宋_GB2312" w:hAnsi="仿宋_GB2312" w:eastAsia="仿宋_GB2312" w:cs="仿宋_GB2312"/>
          <w:b w:val="0"/>
          <w:color w:val="000000"/>
          <w:kern w:val="0"/>
        </w:rPr>
        <w:t>0%，</w:t>
      </w:r>
      <w:r>
        <w:rPr>
          <w:rFonts w:ascii="仿宋_GB2312" w:hAnsi="仿宋_GB2312" w:eastAsia="仿宋_GB2312" w:cs="仿宋_GB2312"/>
          <w:b w:val="0"/>
          <w:color w:val="000000"/>
          <w:kern w:val="0"/>
        </w:rPr>
        <w:t>其中授予小微企业合同金额</w:t>
      </w:r>
      <w:r>
        <w:rPr>
          <w:rFonts w:hint="eastAsia" w:ascii="仿宋_GB2312" w:hAnsi="仿宋_GB2312" w:eastAsia="仿宋_GB2312" w:cs="仿宋_GB2312"/>
          <w:b w:val="0"/>
          <w:color w:val="000000"/>
          <w:kern w:val="0"/>
        </w:rPr>
        <w:t>0</w:t>
      </w:r>
      <w:r>
        <w:rPr>
          <w:rFonts w:ascii="仿宋_GB2312" w:hAnsi="仿宋_GB2312" w:eastAsia="仿宋_GB2312" w:cs="仿宋_GB2312"/>
          <w:b w:val="0"/>
          <w:color w:val="000000"/>
          <w:kern w:val="0"/>
        </w:rPr>
        <w:t xml:space="preserve">万元，占政府采购支出总额的 </w:t>
      </w:r>
      <w:r>
        <w:rPr>
          <w:rFonts w:hint="eastAsia" w:ascii="仿宋_GB2312" w:hAnsi="仿宋_GB2312" w:eastAsia="仿宋_GB2312" w:cs="仿宋_GB2312"/>
          <w:b w:val="0"/>
          <w:color w:val="000000"/>
          <w:kern w:val="0"/>
        </w:rPr>
        <w:t>0</w:t>
      </w:r>
      <w:r>
        <w:rPr>
          <w:rFonts w:ascii="仿宋_GB2312" w:hAnsi="仿宋_GB2312" w:eastAsia="仿宋_GB2312" w:cs="仿宋_GB2312"/>
          <w:b w:val="0"/>
          <w:color w:val="000000"/>
          <w:kern w:val="0"/>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1辆，比上年无增减变化。其中，副部（省）级及以上领导用车0辆，主要领导干部用车0辆，机要通信用车0辆，应急保障用车0辆，执法执勤用车0辆，特种专业技术用车0辆，离退休干部用车0辆，其他用车1辆，其他用车主要是单位公务用车；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万元以上通用设备0台（套），比上年无增减变化，，单位价值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万元以上专用设备0台（套）比上年无增减变化。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1、本部门2018年度结转资金162.39万元，结转资金为人员增资补助及部分项目资金。</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BD958F-0812-4BA8-A9DC-A48D28CF39E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075A599-7CC8-49A6-8FC2-454CE03E4038}"/>
  </w:font>
  <w:font w:name="Cambria">
    <w:panose1 w:val="02040503050406030204"/>
    <w:charset w:val="00"/>
    <w:family w:val="roman"/>
    <w:pitch w:val="default"/>
    <w:sig w:usb0="E00006FF" w:usb1="420024FF" w:usb2="02000000" w:usb3="00000000" w:csb0="2000019F" w:csb1="00000000"/>
    <w:embedRegular r:id="rId3" w:fontKey="{01DC6C44-9228-4087-8C01-F51832C0F53D}"/>
  </w:font>
  <w:font w:name="仿宋_GB2312">
    <w:panose1 w:val="02010609030101010101"/>
    <w:charset w:val="86"/>
    <w:family w:val="modern"/>
    <w:pitch w:val="default"/>
    <w:sig w:usb0="00000001" w:usb1="080E0000" w:usb2="00000000" w:usb3="00000000" w:csb0="00040000" w:csb1="00000000"/>
    <w:embedRegular r:id="rId4" w:fontKey="{96B50A47-21BB-469B-83B0-24B7A737AFD9}"/>
  </w:font>
  <w:font w:name="ArialUnicodeMS">
    <w:altName w:val="Malgun Gothic"/>
    <w:panose1 w:val="00000000000000000000"/>
    <w:charset w:val="81"/>
    <w:family w:val="auto"/>
    <w:pitch w:val="default"/>
    <w:sig w:usb0="00000000" w:usb1="00000000" w:usb2="00000010" w:usb3="00000000" w:csb0="00080001" w:csb1="00000000"/>
    <w:embedRegular r:id="rId5" w:fontKey="{A40AC361-3D0C-4491-9116-C0120AB49922}"/>
  </w:font>
  <w:font w:name="Malgun Gothic">
    <w:panose1 w:val="020B0503020000020004"/>
    <w:charset w:val="81"/>
    <w:family w:val="auto"/>
    <w:pitch w:val="default"/>
    <w:sig w:usb0="9000002F" w:usb1="29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embedRegular r:id="rId6" w:fontKey="{037B0EC8-8AB1-4B3F-875A-B505D14E713E}"/>
  </w:font>
  <w:font w:name="DengXian-Regular">
    <w:altName w:val="宋体"/>
    <w:panose1 w:val="00000000000000000000"/>
    <w:charset w:val="86"/>
    <w:family w:val="auto"/>
    <w:pitch w:val="default"/>
    <w:sig w:usb0="00000000" w:usb1="00000000" w:usb2="00000010" w:usb3="00000000" w:csb0="00040001" w:csb1="00000000"/>
    <w:embedRegular r:id="rId7" w:fontKey="{DFE87FD1-AD43-4F18-8A29-BF0A5CC44A41}"/>
  </w:font>
  <w:font w:name="楷体_GB2312">
    <w:panose1 w:val="02010609030101010101"/>
    <w:charset w:val="86"/>
    <w:family w:val="modern"/>
    <w:pitch w:val="default"/>
    <w:sig w:usb0="00000001" w:usb1="080E0000" w:usb2="00000000" w:usb3="00000000" w:csb0="00040000" w:csb1="00000000"/>
    <w:embedRegular r:id="rId8" w:fontKey="{EDF2F97F-3430-437F-AE85-2BC5C272DF17}"/>
  </w:font>
  <w:font w:name="DengXian-Bold">
    <w:altName w:val="宋体"/>
    <w:panose1 w:val="00000000000000000000"/>
    <w:charset w:val="86"/>
    <w:family w:val="auto"/>
    <w:pitch w:val="default"/>
    <w:sig w:usb0="00000000" w:usb1="00000000" w:usb2="00000010" w:usb3="00000000" w:csb0="00040001" w:csb1="00000000"/>
    <w:embedRegular r:id="rId9" w:fontKey="{84C80C9D-BAE3-4F7B-ABEC-D65A4A979B67}"/>
  </w:font>
  <w:font w:name="方正仿宋_GBK">
    <w:altName w:val="微软雅黑"/>
    <w:panose1 w:val="00000000000000000000"/>
    <w:charset w:val="86"/>
    <w:family w:val="script"/>
    <w:pitch w:val="default"/>
    <w:sig w:usb0="00000000" w:usb1="00000000" w:usb2="00000010" w:usb3="00000000" w:csb0="00040000" w:csb1="00000000"/>
    <w:embedRegular r:id="rId10" w:fontKey="{D6848068-3897-462A-9CFA-AB36334B6A8A}"/>
  </w:font>
  <w:font w:name="微软雅黑">
    <w:panose1 w:val="020B0503020204020204"/>
    <w:charset w:val="86"/>
    <w:family w:val="auto"/>
    <w:pitch w:val="default"/>
    <w:sig w:usb0="80000287" w:usb1="280F3C52" w:usb2="00000016" w:usb3="00000000" w:csb0="0004001F" w:csb1="00000000"/>
  </w:font>
  <w:font w:name="方正楷体_GBK">
    <w:altName w:val="宋体"/>
    <w:panose1 w:val="00000000000000000000"/>
    <w:charset w:val="86"/>
    <w:family w:val="roman"/>
    <w:pitch w:val="default"/>
    <w:sig w:usb0="00000000" w:usb1="00000000" w:usb2="00000000" w:usb3="00000000" w:csb0="00040001" w:csb1="00000000"/>
    <w:embedRegular r:id="rId11" w:fontKey="{8E96D8C2-F0E7-4E27-9C50-0BC03D730B0B}"/>
  </w:font>
  <w:font w:name="方正黑体_GBK">
    <w:altName w:val="宋体"/>
    <w:panose1 w:val="00000000000000000000"/>
    <w:charset w:val="86"/>
    <w:family w:val="roman"/>
    <w:pitch w:val="default"/>
    <w:sig w:usb0="00000000" w:usb1="00000000" w:usb2="00000000" w:usb3="00000000" w:csb0="00040001" w:csb1="00000000"/>
    <w:embedRegular r:id="rId12" w:fontKey="{DA280B28-D9D2-4E06-98BC-510D1DED1F0D}"/>
  </w:font>
  <w:font w:name="方正小标宋_GBK">
    <w:altName w:val="微软雅黑"/>
    <w:panose1 w:val="00000000000000000000"/>
    <w:charset w:val="86"/>
    <w:family w:val="script"/>
    <w:pitch w:val="default"/>
    <w:sig w:usb0="00000000" w:usb1="00000000" w:usb2="00000010" w:usb3="00000000" w:csb0="00040000" w:csb1="00000000"/>
    <w:embedRegular r:id="rId13" w:fontKey="{6F2950CC-2BDF-4AE3-9FB5-06C8798B6799}"/>
  </w:font>
  <w:font w:name="方正书宋_GBK">
    <w:altName w:val="微软雅黑"/>
    <w:panose1 w:val="00000000000000000000"/>
    <w:charset w:val="86"/>
    <w:family w:val="script"/>
    <w:pitch w:val="default"/>
    <w:sig w:usb0="00000000" w:usb1="00000000" w:usb2="00000010" w:usb3="00000000" w:csb0="00040000" w:csb1="00000000"/>
    <w:embedRegular r:id="rId14" w:fontKey="{AA8DCBAD-2CFA-4D28-B67A-7B943F3EC6DD}"/>
  </w:font>
  <w:font w:name="TimesNewRomanPSMT">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38F6DA"/>
    <w:multiLevelType w:val="singleLevel"/>
    <w:tmpl w:val="4338F6DA"/>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751E0"/>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3587F"/>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5C8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4073F84"/>
    <w:rsid w:val="07872294"/>
    <w:rsid w:val="0A0C2AD1"/>
    <w:rsid w:val="0B60750A"/>
    <w:rsid w:val="10686488"/>
    <w:rsid w:val="10DF728A"/>
    <w:rsid w:val="1264200E"/>
    <w:rsid w:val="141C5B77"/>
    <w:rsid w:val="18D8339D"/>
    <w:rsid w:val="1A21388F"/>
    <w:rsid w:val="1A570D2F"/>
    <w:rsid w:val="1D9C58C9"/>
    <w:rsid w:val="28FB0B8D"/>
    <w:rsid w:val="2D2B7942"/>
    <w:rsid w:val="2D46481D"/>
    <w:rsid w:val="2E733B28"/>
    <w:rsid w:val="31852B5A"/>
    <w:rsid w:val="323542E7"/>
    <w:rsid w:val="32D01238"/>
    <w:rsid w:val="3DFC59A8"/>
    <w:rsid w:val="3ECF245E"/>
    <w:rsid w:val="3FB96314"/>
    <w:rsid w:val="44F60FE1"/>
    <w:rsid w:val="460B3914"/>
    <w:rsid w:val="53A44FAF"/>
    <w:rsid w:val="594329EC"/>
    <w:rsid w:val="5BEE1540"/>
    <w:rsid w:val="5DE61A5D"/>
    <w:rsid w:val="60AF3FAA"/>
    <w:rsid w:val="63C04243"/>
    <w:rsid w:val="649C01C7"/>
    <w:rsid w:val="699A3F60"/>
    <w:rsid w:val="6E8A7FE0"/>
    <w:rsid w:val="705939E5"/>
    <w:rsid w:val="72902E62"/>
    <w:rsid w:val="72C87259"/>
    <w:rsid w:val="73C61104"/>
    <w:rsid w:val="776452EA"/>
    <w:rsid w:val="7DC663B9"/>
    <w:rsid w:val="7FD21032"/>
    <w:rsid w:val="7FD439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unhideWhenUsed/>
    <w:qFormat/>
    <w:uiPriority w:val="99"/>
    <w:pPr>
      <w:ind w:left="100" w:leftChars="2500"/>
    </w:pPr>
  </w:style>
  <w:style w:type="paragraph" w:styleId="7">
    <w:name w:val="Balloon Text"/>
    <w:basedOn w:val="1"/>
    <w:link w:val="19"/>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customStyle="1" w:styleId="17">
    <w:name w:val="无间隔1"/>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customStyle="1" w:styleId="32">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4" Type="http://schemas.openxmlformats.org/officeDocument/2006/relationships/font" Target="fonts/font14.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a:ln w="19050">
              <a:noFill/>
            </a:ln>
          </c:spPr>
          <c:explosion val="0"/>
          <c:dPt>
            <c:idx val="0"/>
            <c:bubble3D val="0"/>
            <c:spPr>
              <a:solidFill>
                <a:schemeClr val="accent1">
                  <a:tint val="100000"/>
                  <a:shade val="100000"/>
                  <a:hueMod val="100000"/>
                  <a:satMod val="100000"/>
                </a:schemeClr>
              </a:solidFill>
              <a:ln w="19050">
                <a:noFill/>
              </a:ln>
              <a:effectLst/>
            </c:spPr>
          </c:dPt>
          <c:dPt>
            <c:idx val="1"/>
            <c:bubble3D val="0"/>
            <c:spPr>
              <a:solidFill>
                <a:schemeClr val="accent2">
                  <a:tint val="100000"/>
                  <a:shade val="100000"/>
                  <a:hueMod val="100000"/>
                  <a:satMod val="100000"/>
                </a:schemeClr>
              </a:solidFill>
              <a:ln w="19050">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财政部款收入</c:v>
                </c:pt>
                <c:pt idx="1">
                  <c:v>其他收入</c:v>
                </c:pt>
              </c:strCache>
            </c:strRef>
          </c:cat>
          <c:val>
            <c:numRef>
              <c:f>Sheet1!$B$2:$B$3</c:f>
              <c:numCache>
                <c:formatCode>0.00%</c:formatCode>
                <c:ptCount val="2"/>
                <c:pt idx="0">
                  <c:v>0.8695</c:v>
                </c:pt>
                <c:pt idx="1" c:formatCode="General">
                  <c:v>13.05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a:ln w="19050">
              <a:noFill/>
            </a:ln>
          </c:spPr>
          <c:explosion val="0"/>
          <c:dPt>
            <c:idx val="0"/>
            <c:bubble3D val="0"/>
            <c:spPr>
              <a:solidFill>
                <a:schemeClr val="accent1">
                  <a:tint val="100000"/>
                  <a:shade val="100000"/>
                  <a:hueMod val="100000"/>
                  <a:satMod val="100000"/>
                </a:schemeClr>
              </a:solidFill>
              <a:ln w="19050">
                <a:noFill/>
              </a:ln>
              <a:effectLst/>
            </c:spPr>
          </c:dPt>
          <c:dPt>
            <c:idx val="1"/>
            <c:bubble3D val="0"/>
            <c:spPr>
              <a:solidFill>
                <a:schemeClr val="accent2">
                  <a:tint val="100000"/>
                  <a:shade val="100000"/>
                  <a:hueMod val="100000"/>
                  <a:satMod val="100000"/>
                </a:schemeClr>
              </a:solidFill>
              <a:ln w="19050">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0.281226282458039</c:v>
                </c:pt>
                <c:pt idx="1">
                  <c:v>0.718761275552735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spPr>
            <a:solidFill>
              <a:schemeClr val="accent1">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2018年决算收入</c:v>
                </c:pt>
                <c:pt idx="1">
                  <c:v>2017年决算收入</c:v>
                </c:pt>
                <c:pt idx="2">
                  <c:v>2018年决算支出</c:v>
                </c:pt>
                <c:pt idx="3">
                  <c:v>2017年决算支出</c:v>
                </c:pt>
              </c:strCache>
            </c:strRef>
          </c:cat>
          <c:val>
            <c:numRef>
              <c:f>Sheet1!$B$2:$B$5</c:f>
              <c:numCache>
                <c:formatCode>General</c:formatCode>
                <c:ptCount val="4"/>
                <c:pt idx="0">
                  <c:v>765.91</c:v>
                </c:pt>
                <c:pt idx="1">
                  <c:v>848.5</c:v>
                </c:pt>
                <c:pt idx="2">
                  <c:v>765.91</c:v>
                </c:pt>
                <c:pt idx="3">
                  <c:v>848.5</c:v>
                </c:pt>
              </c:numCache>
            </c:numRef>
          </c:val>
        </c:ser>
        <c:dLbls>
          <c:showLegendKey val="0"/>
          <c:showVal val="1"/>
          <c:showCatName val="0"/>
          <c:showSerName val="0"/>
          <c:showPercent val="0"/>
          <c:showBubbleSize val="0"/>
        </c:dLbls>
        <c:gapWidth val="150"/>
        <c:overlap val="100"/>
        <c:axId val="91763456"/>
        <c:axId val="91764992"/>
      </c:barChart>
      <c:catAx>
        <c:axId val="9176345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764992"/>
        <c:crosses val="autoZero"/>
        <c:auto val="1"/>
        <c:lblAlgn val="ctr"/>
        <c:lblOffset val="100"/>
        <c:noMultiLvlLbl val="0"/>
      </c:catAx>
      <c:valAx>
        <c:axId val="917649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1270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763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spPr>
            <a:solidFill>
              <a:schemeClr val="accent1">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2018决算收入</c:v>
                </c:pt>
                <c:pt idx="1">
                  <c:v>2018预算收入</c:v>
                </c:pt>
                <c:pt idx="2">
                  <c:v>2018决算支出</c:v>
                </c:pt>
                <c:pt idx="3">
                  <c:v>2018预算支出</c:v>
                </c:pt>
              </c:strCache>
            </c:strRef>
          </c:cat>
          <c:val>
            <c:numRef>
              <c:f>Sheet1!$B$2:$B$5</c:f>
              <c:numCache>
                <c:formatCode>General</c:formatCode>
                <c:ptCount val="4"/>
                <c:pt idx="0">
                  <c:v>765.91</c:v>
                </c:pt>
                <c:pt idx="1">
                  <c:v>479.39</c:v>
                </c:pt>
                <c:pt idx="2">
                  <c:v>765.91</c:v>
                </c:pt>
                <c:pt idx="3">
                  <c:v>479.39</c:v>
                </c:pt>
              </c:numCache>
            </c:numRef>
          </c:val>
        </c:ser>
        <c:dLbls>
          <c:showLegendKey val="0"/>
          <c:showVal val="1"/>
          <c:showCatName val="0"/>
          <c:showSerName val="0"/>
          <c:showPercent val="0"/>
          <c:showBubbleSize val="0"/>
        </c:dLbls>
        <c:gapWidth val="150"/>
        <c:overlap val="100"/>
        <c:axId val="91301376"/>
        <c:axId val="91302912"/>
      </c:barChart>
      <c:catAx>
        <c:axId val="9130137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302912"/>
        <c:crosses val="autoZero"/>
        <c:auto val="1"/>
        <c:lblAlgn val="ctr"/>
        <c:lblOffset val="100"/>
        <c:noMultiLvlLbl val="0"/>
      </c:catAx>
      <c:valAx>
        <c:axId val="913029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1270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301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a:ln w="19050">
              <a:noFill/>
            </a:ln>
          </c:spPr>
          <c:explosion val="0"/>
          <c:dPt>
            <c:idx val="0"/>
            <c:bubble3D val="0"/>
            <c:spPr>
              <a:solidFill>
                <a:schemeClr val="accent1">
                  <a:tint val="100000"/>
                  <a:shade val="100000"/>
                  <a:hueMod val="100000"/>
                  <a:satMod val="100000"/>
                </a:schemeClr>
              </a:solidFill>
              <a:ln w="19050">
                <a:noFill/>
              </a:ln>
              <a:effectLst/>
            </c:spPr>
          </c:dPt>
          <c:dPt>
            <c:idx val="1"/>
            <c:bubble3D val="0"/>
            <c:spPr>
              <a:solidFill>
                <a:schemeClr val="accent2">
                  <a:tint val="100000"/>
                  <a:shade val="100000"/>
                  <a:hueMod val="100000"/>
                  <a:satMod val="100000"/>
                </a:schemeClr>
              </a:solidFill>
              <a:ln w="19050">
                <a:noFill/>
              </a:ln>
              <a:effectLst/>
            </c:spPr>
          </c:dPt>
          <c:dPt>
            <c:idx val="2"/>
            <c:bubble3D val="0"/>
            <c:spPr>
              <a:solidFill>
                <a:schemeClr val="accent3">
                  <a:tint val="100000"/>
                  <a:shade val="100000"/>
                  <a:hueMod val="100000"/>
                  <a:satMod val="100000"/>
                </a:schemeClr>
              </a:solidFill>
              <a:ln w="19050">
                <a:noFill/>
              </a:ln>
              <a:effectLst/>
            </c:spPr>
          </c:dPt>
          <c:dPt>
            <c:idx val="3"/>
            <c:bubble3D val="0"/>
            <c:spPr>
              <a:solidFill>
                <a:schemeClr val="accent4">
                  <a:tint val="100000"/>
                  <a:shade val="100000"/>
                  <a:hueMod val="100000"/>
                  <a:satMod val="100000"/>
                </a:schemeClr>
              </a:solidFill>
              <a:ln w="19050">
                <a:noFill/>
              </a:ln>
              <a:effectLst/>
            </c:spPr>
          </c:dPt>
          <c:dPt>
            <c:idx val="4"/>
            <c:bubble3D val="0"/>
            <c:spPr>
              <a:solidFill>
                <a:schemeClr val="accent5">
                  <a:tint val="100000"/>
                  <a:shade val="100000"/>
                  <a:hueMod val="100000"/>
                  <a:satMod val="100000"/>
                </a:schemeClr>
              </a:solidFill>
              <a:ln w="19050">
                <a:noFill/>
              </a:ln>
              <a:effectLst/>
            </c:spPr>
          </c:dPt>
          <c:dLbls>
            <c:dLbl>
              <c:idx val="2"/>
              <c:layout>
                <c:manualLayout>
                  <c:x val="0.0443082339158486"/>
                  <c:y val="-0.031254407997873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963380860783987"/>
                  <c:y val="-0.0039058280504762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980047121892693"/>
                  <c:y val="-0.00674779324300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一般公共服务（类）支出</c:v>
                </c:pt>
                <c:pt idx="1">
                  <c:v>文化体育与传媒（类）支出</c:v>
                </c:pt>
                <c:pt idx="2">
                  <c:v>社会保障和就业（类）支出</c:v>
                </c:pt>
                <c:pt idx="3">
                  <c:v>医疗卫生与计划生育（类）支出</c:v>
                </c:pt>
                <c:pt idx="4">
                  <c:v>资源勘探信息等（类）支出</c:v>
                </c:pt>
              </c:strCache>
            </c:strRef>
          </c:cat>
          <c:val>
            <c:numRef>
              <c:f>Sheet1!$B$2:$B$6</c:f>
              <c:numCache>
                <c:formatCode>0.00%</c:formatCode>
                <c:ptCount val="5"/>
                <c:pt idx="0">
                  <c:v>0.265134917301427</c:v>
                </c:pt>
                <c:pt idx="1">
                  <c:v>0.69700650463725</c:v>
                </c:pt>
                <c:pt idx="2">
                  <c:v>0.025394194639634</c:v>
                </c:pt>
                <c:pt idx="3">
                  <c:v>0.0113405455721924</c:v>
                </c:pt>
                <c:pt idx="4">
                  <c:v>0.00113518974696621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1D59DA58-3CA2-4856-9A51-CD581AE1A768}">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1110</Words>
  <Characters>6328</Characters>
  <Lines>52</Lines>
  <Paragraphs>14</Paragraphs>
  <TotalTime>4</TotalTime>
  <ScaleCrop>false</ScaleCrop>
  <LinksUpToDate>false</LinksUpToDate>
  <CharactersWithSpaces>7424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ppq</cp:lastModifiedBy>
  <cp:lastPrinted>2019-09-27T00:42:00Z</cp:lastPrinted>
  <dcterms:modified xsi:type="dcterms:W3CDTF">2024-01-18T03:11:41Z</dcterms:modified>
  <dc:subject>石家庄市xxx部门</dc:subject>
  <dc:title>2017年度部门决算</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2831748A7B324CEBA8DD1E73A38E15A1</vt:lpwstr>
  </property>
</Properties>
</file>