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49024;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both"/>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廊坊市生态环境局大城县分局</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7"/>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（一）负责建立健</w:t>
      </w:r>
      <w:r>
        <w:rPr>
          <w:rFonts w:hint="eastAsia" w:ascii="仿宋_GB2312" w:eastAsia="仿宋_GB2312" w:cs="ArialUnicodeMS"/>
          <w:kern w:val="0"/>
          <w:sz w:val="32"/>
          <w:szCs w:val="32"/>
          <w:highlight w:val="none"/>
          <w:lang w:eastAsia="zh-CN"/>
        </w:rPr>
        <w:t>全</w:t>
      </w:r>
      <w:r>
        <w:rPr>
          <w:rFonts w:hint="eastAsia" w:ascii="仿宋_GB2312" w:eastAsia="仿宋_GB2312" w:cs="ArialUnicodeMS"/>
          <w:kern w:val="0"/>
          <w:sz w:val="32"/>
          <w:szCs w:val="32"/>
          <w:highlight w:val="none"/>
        </w:rPr>
        <w:t>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生态环境基本制度。会同有关部门贯彻执行国家生态环境方针、政策和法律、法规，会同有关部门拟订并组织实施本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生态环境政策、规划，编制并监督实施重点区域、流域、饮用水水源地生态环境规划和水功能区区划。贯彻执行生态环境标准、生态环境基准和技术规范。</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（二）负责本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重大生态环境问题的统筹协调和监督管理。牵头协调本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重特大环境污染事故和生态破坏事件的调查处理，协助</w:t>
      </w:r>
      <w:r>
        <w:rPr>
          <w:rFonts w:hint="eastAsia" w:ascii="仿宋_GB2312" w:eastAsia="仿宋_GB2312" w:cs="ArialUnicodeMS"/>
          <w:kern w:val="0"/>
          <w:sz w:val="32"/>
          <w:szCs w:val="32"/>
          <w:highlight w:val="none"/>
          <w:lang w:eastAsia="zh-CN"/>
        </w:rPr>
        <w:t>大城县</w:t>
      </w:r>
      <w:r>
        <w:rPr>
          <w:rFonts w:hint="eastAsia" w:ascii="仿宋_GB2312" w:eastAsia="仿宋_GB2312" w:cs="ArialUnicodeMS"/>
          <w:kern w:val="0"/>
          <w:sz w:val="32"/>
          <w:szCs w:val="32"/>
          <w:highlight w:val="none"/>
        </w:rPr>
        <w:t>政府</w:t>
      </w:r>
      <w:r>
        <w:rPr>
          <w:rFonts w:hint="eastAsia" w:ascii="仿宋_GB2312" w:eastAsia="仿宋_GB2312" w:cs="ArialUnicodeMS"/>
          <w:kern w:val="0"/>
          <w:sz w:val="32"/>
          <w:szCs w:val="32"/>
          <w:highlight w:val="none"/>
          <w:lang w:eastAsia="zh-CN"/>
        </w:rPr>
        <w:t>做好</w:t>
      </w:r>
      <w:r>
        <w:rPr>
          <w:rFonts w:hint="eastAsia" w:ascii="仿宋_GB2312" w:eastAsia="仿宋_GB2312" w:cs="ArialUnicodeMS"/>
          <w:kern w:val="0"/>
          <w:sz w:val="32"/>
          <w:szCs w:val="32"/>
          <w:highlight w:val="none"/>
        </w:rPr>
        <w:t>重特大突发生态环境事件的应急、预警工作，牵头指导实施生态环境损害赔偿制度，协调解决有关跨区域环境污染纠纷，统筹协调本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重点区域、流域生态环境保护工作。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（三）负责监督管理本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减排目标的落实。组织</w:t>
      </w:r>
      <w:r>
        <w:rPr>
          <w:rFonts w:hint="eastAsia" w:ascii="仿宋_GB2312" w:eastAsia="仿宋_GB2312" w:cs="ArialUnicodeMS"/>
          <w:kern w:val="0"/>
          <w:sz w:val="32"/>
          <w:szCs w:val="32"/>
          <w:highlight w:val="none"/>
          <w:lang w:eastAsia="zh-CN"/>
        </w:rPr>
        <w:t>落实</w:t>
      </w:r>
      <w:r>
        <w:rPr>
          <w:rFonts w:hint="eastAsia" w:ascii="仿宋_GB2312" w:eastAsia="仿宋_GB2312" w:cs="ArialUnicodeMS"/>
          <w:kern w:val="0"/>
          <w:sz w:val="32"/>
          <w:szCs w:val="32"/>
          <w:highlight w:val="none"/>
        </w:rPr>
        <w:t>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陆地各类污染物排放总量控制、排污许可证制度并实施监督,确定本地区大气、水等纳污能力,提出本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实施总量控制的污染物名称和控制指标,监督检查本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污染物减排任务完成情况,实施生态环境保护目标责任制。</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（四）负责提出生态环境领域固定资产投资规模和方向、本级财政性资金安排的意见,按</w:t>
      </w:r>
      <w:r>
        <w:rPr>
          <w:rFonts w:hint="eastAsia" w:ascii="仿宋_GB2312" w:eastAsia="仿宋_GB2312" w:cs="ArialUnicodeMS"/>
          <w:kern w:val="0"/>
          <w:sz w:val="32"/>
          <w:szCs w:val="32"/>
          <w:highlight w:val="none"/>
          <w:lang w:eastAsia="zh-CN"/>
        </w:rPr>
        <w:t>大城县</w:t>
      </w:r>
      <w:r>
        <w:rPr>
          <w:rFonts w:hint="eastAsia" w:ascii="仿宋_GB2312" w:eastAsia="仿宋_GB2312" w:cs="ArialUnicodeMS"/>
          <w:kern w:val="0"/>
          <w:sz w:val="32"/>
          <w:szCs w:val="32"/>
          <w:highlight w:val="none"/>
        </w:rPr>
        <w:t>政府规定权限审批、核准本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规划内和年度计划规模内固定资产投资项目，配合有关部门做好组织实施和监督工作；参与指导推动本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循环经济和生态环保产业发展。</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（五）负责本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环境污染防治的监督管理。制定本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大气、水、土壤、噪声、光、恶臭、固体废物、化学品、机动车等的污染防治管理制度并监督实施。会同有关部门监督管理本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饮用水水源地生态环境保护工作，组织指导城乡生态环境综合整治工作，监督指导农业面源污染治理工作。监督指导本</w:t>
      </w:r>
      <w:r>
        <w:rPr>
          <w:rFonts w:hint="eastAsia" w:ascii="仿宋_GB2312" w:eastAsia="仿宋_GB2312" w:cs="ArialUnicodeMS"/>
          <w:kern w:val="0"/>
          <w:sz w:val="32"/>
          <w:szCs w:val="32"/>
          <w:highlight w:val="none"/>
          <w:lang w:eastAsia="zh-CN"/>
        </w:rPr>
        <w:t>辖区区</w:t>
      </w:r>
      <w:r>
        <w:rPr>
          <w:rFonts w:hint="eastAsia" w:ascii="仿宋_GB2312" w:eastAsia="仿宋_GB2312" w:cs="ArialUnicodeMS"/>
          <w:kern w:val="0"/>
          <w:sz w:val="32"/>
          <w:szCs w:val="32"/>
          <w:highlight w:val="none"/>
        </w:rPr>
        <w:t>域大气环境保护工作，组织实施区域大气污染联防联控协作机制。</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（六）指导协调和监督本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生态保护修复工作。组织编制本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生态保护规划，监督对生态环境有影响的自然资源开发利用活动、重要生态环境建设和生态破坏恢复工作。组织制定本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（七）负责本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核与辐射安全的监督管理。拟订有关政策、规划，牵头负责辐射安全工作协调机制有关工作，参与核事故应急处理，负责辐射环境事故应急处理工作。监督管理核设施和放射源安全，监督管理核设施、核技术应用、电磁辐射、伴有放射性矿产资源开发利用中的污染防治。对核材料管制和民用核安全设备设计、制造、安装及无损检验活动实施监督管理。</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（八）负责本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生态环境准入的监督管理。受</w:t>
      </w:r>
      <w:r>
        <w:rPr>
          <w:rFonts w:hint="eastAsia" w:ascii="仿宋_GB2312" w:eastAsia="仿宋_GB2312" w:cs="ArialUnicodeMS"/>
          <w:kern w:val="0"/>
          <w:sz w:val="32"/>
          <w:szCs w:val="32"/>
          <w:highlight w:val="none"/>
          <w:lang w:eastAsia="zh-CN"/>
        </w:rPr>
        <w:t>大城县</w:t>
      </w:r>
      <w:r>
        <w:rPr>
          <w:rFonts w:hint="eastAsia" w:ascii="仿宋_GB2312" w:eastAsia="仿宋_GB2312" w:cs="ArialUnicodeMS"/>
          <w:kern w:val="0"/>
          <w:sz w:val="32"/>
          <w:szCs w:val="32"/>
          <w:highlight w:val="none"/>
        </w:rPr>
        <w:t>政府委托对重大经济和技术政策、发展规划以及重大经济开发计划进行环境影响评价。按国家和省、市规定审批或审查重大开发建设区域、规划、项目环境影响评价文件。组织实施生态环境准入清单。</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（九）负责本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监测工作。监督实施国家生态环境监测制度和规范。会同有关部门统一规划生态环境质量监测站点设置，组织实施生态环境质量监测、污染源监督性监测、温室气体减排监测、应急监测。组织对生态环境质量状况进行调查评价、预警预测，组织建设和管理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生态环境监测网和生态环境信息网。</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应对气候变化工作。组织拟订本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应对气</w:t>
      </w:r>
      <w:r>
        <w:rPr>
          <w:rFonts w:hint="eastAsia" w:ascii="仿宋_GB2312" w:eastAsia="仿宋_GB2312" w:cs="ArialUnicodeMS"/>
          <w:kern w:val="0"/>
          <w:sz w:val="32"/>
          <w:szCs w:val="32"/>
          <w:highlight w:val="none"/>
          <w:lang w:eastAsia="zh-CN"/>
        </w:rPr>
        <w:t>候</w:t>
      </w:r>
      <w:r>
        <w:rPr>
          <w:rFonts w:hint="eastAsia" w:ascii="仿宋_GB2312" w:eastAsia="仿宋_GB2312" w:cs="ArialUnicodeMS"/>
          <w:kern w:val="0"/>
          <w:sz w:val="32"/>
          <w:szCs w:val="32"/>
          <w:highlight w:val="none"/>
        </w:rPr>
        <w:t>变化及温室气体减排规划和政策。与有</w:t>
      </w:r>
      <w:bookmarkStart w:id="0" w:name="_GoBack"/>
      <w:bookmarkEnd w:id="0"/>
      <w:r>
        <w:rPr>
          <w:rFonts w:hint="eastAsia" w:ascii="仿宋_GB2312" w:eastAsia="仿宋_GB2312" w:cs="ArialUnicodeMS"/>
          <w:kern w:val="0"/>
          <w:sz w:val="32"/>
          <w:szCs w:val="32"/>
          <w:highlight w:val="none"/>
        </w:rPr>
        <w:t>关部门共同牵头组织参加气候变化国际谈判本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相关工作。负责履行联合国气候变化框架公约本地区相关工作。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（十一）统一负责本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生态环境监督执法。组织开展本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生态环境保护执法检查活动。协助</w:t>
      </w:r>
      <w:r>
        <w:rPr>
          <w:rFonts w:hint="eastAsia" w:ascii="仿宋_GB2312" w:eastAsia="仿宋_GB2312" w:cs="ArialUnicodeMS"/>
          <w:kern w:val="0"/>
          <w:sz w:val="32"/>
          <w:szCs w:val="32"/>
          <w:highlight w:val="none"/>
          <w:lang w:eastAsia="zh-CN"/>
        </w:rPr>
        <w:t>廊坊</w:t>
      </w:r>
      <w:r>
        <w:rPr>
          <w:rFonts w:hint="eastAsia" w:ascii="仿宋_GB2312" w:eastAsia="仿宋_GB2312" w:cs="ArialUnicodeMS"/>
          <w:kern w:val="0"/>
          <w:sz w:val="32"/>
          <w:szCs w:val="32"/>
          <w:highlight w:val="none"/>
        </w:rPr>
        <w:t>市生态环境局开展跨区域、重大生态环境违法行为的现场调查、行政处罚和行政强制工作。</w:t>
      </w:r>
      <w:r>
        <w:rPr>
          <w:rFonts w:hint="eastAsia" w:ascii="仿宋_GB2312" w:eastAsia="仿宋_GB2312" w:cs="ArialUnicodeMS"/>
          <w:kern w:val="0"/>
          <w:sz w:val="32"/>
          <w:szCs w:val="32"/>
          <w:highlight w:val="none"/>
          <w:lang w:eastAsia="zh-CN"/>
        </w:rPr>
        <w:t>负责</w:t>
      </w:r>
      <w:r>
        <w:rPr>
          <w:rFonts w:hint="eastAsia" w:ascii="仿宋_GB2312" w:eastAsia="仿宋_GB2312" w:cs="ArialUnicodeMS"/>
          <w:kern w:val="0"/>
          <w:sz w:val="32"/>
          <w:szCs w:val="32"/>
          <w:highlight w:val="none"/>
        </w:rPr>
        <w:t>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生态环境保护综合执法队伍建设和业务工作。</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w:t>
      </w:r>
      <w:r>
        <w:rPr>
          <w:rFonts w:hint="eastAsia" w:ascii="仿宋_GB2312" w:eastAsia="仿宋_GB2312" w:cs="ArialUnicodeMS"/>
          <w:kern w:val="0"/>
          <w:sz w:val="32"/>
          <w:szCs w:val="32"/>
          <w:highlight w:val="none"/>
          <w:lang w:eastAsia="zh-CN"/>
        </w:rPr>
        <w:t>二</w:t>
      </w:r>
      <w:r>
        <w:rPr>
          <w:rFonts w:hint="eastAsia" w:ascii="仿宋_GB2312" w:eastAsia="仿宋_GB2312" w:cs="ArialUnicodeMS"/>
          <w:kern w:val="0"/>
          <w:sz w:val="32"/>
          <w:szCs w:val="32"/>
          <w:highlight w:val="none"/>
        </w:rPr>
        <w:t>）组织指导和协调本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生态环境宣传教育工作，制定并组织实施本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生态环境保护宣传教育纲要，推动社会组织和公众参与生态环境保护。开展本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生态环境科技工作，组织生态环境重大科学研究和技术工程示范，推动生态环境技术管理体系建设。</w:t>
      </w:r>
    </w:p>
    <w:p>
      <w:pPr>
        <w:widowControl/>
        <w:spacing w:line="580" w:lineRule="exact"/>
        <w:ind w:firstLine="640" w:firstLineChars="200"/>
        <w:rPr>
          <w:rFonts w:hint="eastAsia" w:ascii="仿宋_GB2312" w:eastAsia="仿宋_GB2312" w:cs="ArialUnicodeMS"/>
          <w:kern w:val="0"/>
          <w:sz w:val="32"/>
          <w:szCs w:val="32"/>
          <w:highlight w:val="none"/>
        </w:rPr>
      </w:pPr>
      <w:r>
        <w:rPr>
          <w:rFonts w:hint="eastAsia" w:ascii="仿宋_GB2312" w:eastAsia="仿宋_GB2312" w:cs="ArialUnicodeMS"/>
          <w:kern w:val="0"/>
          <w:sz w:val="32"/>
          <w:szCs w:val="32"/>
          <w:highlight w:val="none"/>
        </w:rPr>
        <w:t>（十</w:t>
      </w:r>
      <w:r>
        <w:rPr>
          <w:rFonts w:hint="eastAsia" w:ascii="仿宋_GB2312" w:eastAsia="仿宋_GB2312" w:cs="ArialUnicodeMS"/>
          <w:kern w:val="0"/>
          <w:sz w:val="32"/>
          <w:szCs w:val="32"/>
          <w:highlight w:val="none"/>
          <w:lang w:eastAsia="zh-CN"/>
        </w:rPr>
        <w:t>三</w:t>
      </w:r>
      <w:r>
        <w:rPr>
          <w:rFonts w:hint="eastAsia" w:ascii="仿宋_GB2312" w:eastAsia="仿宋_GB2312" w:cs="ArialUnicodeMS"/>
          <w:kern w:val="0"/>
          <w:sz w:val="32"/>
          <w:szCs w:val="32"/>
          <w:highlight w:val="none"/>
        </w:rPr>
        <w:t>）开展生态环境对外合作交流，研究提出本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生态环境合作中有关问题的建议，组织协调有关生态环境国际条约的本</w:t>
      </w:r>
      <w:r>
        <w:rPr>
          <w:rFonts w:hint="eastAsia" w:ascii="仿宋_GB2312" w:eastAsia="仿宋_GB2312" w:cs="ArialUnicodeMS"/>
          <w:kern w:val="0"/>
          <w:sz w:val="32"/>
          <w:szCs w:val="32"/>
          <w:highlight w:val="none"/>
          <w:lang w:eastAsia="zh-CN"/>
        </w:rPr>
        <w:t>辖区</w:t>
      </w:r>
      <w:r>
        <w:rPr>
          <w:rFonts w:hint="eastAsia" w:ascii="仿宋_GB2312" w:eastAsia="仿宋_GB2312" w:cs="ArialUnicodeMS"/>
          <w:kern w:val="0"/>
          <w:sz w:val="32"/>
          <w:szCs w:val="32"/>
          <w:highlight w:val="none"/>
        </w:rPr>
        <w:t>履约工作，参与处理涉外生态环境事务。</w:t>
      </w:r>
    </w:p>
    <w:p>
      <w:pPr>
        <w:widowControl/>
        <w:spacing w:line="580" w:lineRule="exact"/>
        <w:ind w:firstLine="640" w:firstLineChars="200"/>
        <w:rPr>
          <w:rFonts w:hint="eastAsia" w:ascii="仿宋_GB2312" w:eastAsia="仿宋_GB2312" w:cs="ArialUnicodeMS"/>
          <w:kern w:val="0"/>
          <w:sz w:val="32"/>
          <w:szCs w:val="32"/>
          <w:highlight w:val="yellow"/>
        </w:rPr>
      </w:pPr>
      <w:r>
        <w:rPr>
          <w:rFonts w:hint="eastAsia" w:ascii="仿宋_GB2312" w:eastAsia="仿宋_GB2312" w:cs="ArialUnicodeMS"/>
          <w:kern w:val="0"/>
          <w:sz w:val="32"/>
          <w:szCs w:val="32"/>
          <w:highlight w:val="none"/>
        </w:rPr>
        <w:t>（十</w:t>
      </w:r>
      <w:r>
        <w:rPr>
          <w:rFonts w:hint="eastAsia" w:ascii="仿宋_GB2312" w:eastAsia="仿宋_GB2312" w:cs="ArialUnicodeMS"/>
          <w:kern w:val="0"/>
          <w:sz w:val="32"/>
          <w:szCs w:val="32"/>
          <w:highlight w:val="none"/>
          <w:lang w:eastAsia="zh-CN"/>
        </w:rPr>
        <w:t>四</w:t>
      </w:r>
      <w:r>
        <w:rPr>
          <w:rFonts w:hint="eastAsia" w:ascii="仿宋_GB2312" w:eastAsia="仿宋_GB2312" w:cs="ArialUnicodeMS"/>
          <w:kern w:val="0"/>
          <w:sz w:val="32"/>
          <w:szCs w:val="32"/>
          <w:highlight w:val="none"/>
        </w:rPr>
        <w:t>）完成</w:t>
      </w:r>
      <w:r>
        <w:rPr>
          <w:rFonts w:hint="eastAsia" w:ascii="仿宋_GB2312" w:eastAsia="仿宋_GB2312" w:cs="ArialUnicodeMS"/>
          <w:kern w:val="0"/>
          <w:sz w:val="32"/>
          <w:szCs w:val="32"/>
          <w:highlight w:val="none"/>
          <w:lang w:eastAsia="zh-CN"/>
        </w:rPr>
        <w:t>廊坊</w:t>
      </w:r>
      <w:r>
        <w:rPr>
          <w:rFonts w:hint="eastAsia" w:ascii="仿宋_GB2312" w:eastAsia="仿宋_GB2312" w:cs="ArialUnicodeMS"/>
          <w:kern w:val="0"/>
          <w:sz w:val="32"/>
          <w:szCs w:val="32"/>
          <w:highlight w:val="none"/>
        </w:rPr>
        <w:t>市生态环境局</w:t>
      </w:r>
      <w:r>
        <w:rPr>
          <w:rFonts w:hint="eastAsia" w:ascii="仿宋_GB2312" w:eastAsia="仿宋_GB2312" w:cs="ArialUnicodeMS"/>
          <w:kern w:val="0"/>
          <w:sz w:val="32"/>
          <w:szCs w:val="32"/>
          <w:highlight w:val="none"/>
          <w:lang w:eastAsia="zh-CN"/>
        </w:rPr>
        <w:t>和大城县委、县政府</w:t>
      </w:r>
      <w:r>
        <w:rPr>
          <w:rFonts w:hint="eastAsia" w:ascii="仿宋_GB2312" w:eastAsia="仿宋_GB2312" w:cs="ArialUnicodeMS"/>
          <w:kern w:val="0"/>
          <w:sz w:val="32"/>
          <w:szCs w:val="32"/>
          <w:highlight w:val="none"/>
        </w:rPr>
        <w:t>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廊坊市生态环境局大城县分局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665"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950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6950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7"/>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2764.65</w:t>
      </w:r>
      <w:r>
        <w:rPr>
          <w:rFonts w:hint="eastAsia" w:ascii="仿宋_GB2312" w:hAnsi="Times New Roman" w:eastAsia="仿宋_GB2312" w:cs="DengXian-Regular"/>
          <w:sz w:val="32"/>
          <w:szCs w:val="32"/>
        </w:rPr>
        <w:t>万元。与2018年度决算相比，收支各减少</w:t>
      </w:r>
      <w:r>
        <w:rPr>
          <w:rFonts w:hint="eastAsia" w:ascii="仿宋_GB2312" w:hAnsi="Times New Roman" w:eastAsia="仿宋_GB2312" w:cs="DengXian-Regular"/>
          <w:sz w:val="32"/>
          <w:szCs w:val="32"/>
          <w:lang w:val="en-US" w:eastAsia="zh-CN"/>
        </w:rPr>
        <w:t>990.6</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26.38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行政运行收入支出减少</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1224.36</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1224.36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lang w:eastAsia="zh-CN"/>
        </w:rPr>
        <w:t>　　</w:t>
      </w: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2143.19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21.93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1.02</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2121.26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98.98</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p>
    <w:p>
      <w:pPr>
        <w:adjustRightInd w:val="0"/>
        <w:snapToGrid w:val="0"/>
        <w:spacing w:line="580" w:lineRule="exact"/>
        <w:ind w:firstLine="560" w:firstLineChars="200"/>
        <w:jc w:val="center"/>
        <w:rPr>
          <w:rFonts w:hint="default"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lang w:eastAsia="zh-CN"/>
        </w:rPr>
        <w:t>图</w:t>
      </w:r>
      <w:r>
        <w:rPr>
          <w:rFonts w:hint="eastAsia" w:ascii="仿宋_GB2312" w:hAnsi="Times New Roman" w:eastAsia="仿宋_GB2312" w:cs="DengXian-Regular"/>
          <w:sz w:val="28"/>
          <w:szCs w:val="28"/>
          <w:lang w:val="en-US" w:eastAsia="zh-CN"/>
        </w:rPr>
        <w:t>1：支出构成情况（按支出性质）</w:t>
      </w:r>
    </w:p>
    <w:p>
      <w:pPr>
        <w:adjustRightInd w:val="0"/>
        <w:snapToGrid w:val="0"/>
        <w:spacing w:line="580" w:lineRule="exact"/>
        <w:ind w:firstLine="1920" w:firstLineChars="6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eastAsia="zh-CN"/>
        </w:rPr>
        <w:drawing>
          <wp:anchor distT="0" distB="0" distL="114300" distR="114300" simplePos="0" relativeHeight="251672576" behindDoc="0" locked="0" layoutInCell="1" allowOverlap="1">
            <wp:simplePos x="0" y="0"/>
            <wp:positionH relativeFrom="column">
              <wp:posOffset>300355</wp:posOffset>
            </wp:positionH>
            <wp:positionV relativeFrom="paragraph">
              <wp:posOffset>115570</wp:posOffset>
            </wp:positionV>
            <wp:extent cx="5174615" cy="2780665"/>
            <wp:effectExtent l="4445" t="4445" r="21590" b="15240"/>
            <wp:wrapNone/>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rFonts w:hint="eastAsia" w:ascii="仿宋_GB2312" w:hAnsi="Times New Roman" w:eastAsia="仿宋_GB2312" w:cs="DengXian-Regular"/>
          <w:sz w:val="32"/>
          <w:szCs w:val="32"/>
          <w:lang w:eastAsia="zh-CN"/>
        </w:rPr>
        <w:t>图</w:t>
      </w:r>
      <w:r>
        <w:rPr>
          <w:rFonts w:hint="eastAsia" w:ascii="仿宋_GB2312" w:hAnsi="Times New Roman" w:eastAsia="仿宋_GB2312" w:cs="DengXian-Regular"/>
          <w:sz w:val="32"/>
          <w:szCs w:val="32"/>
          <w:lang w:val="en-US" w:eastAsia="zh-CN"/>
        </w:rPr>
        <w:t>1：支出决算结构</w:t>
      </w: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ascii="仿宋_GB2312" w:hAnsi="Times New Roman" w:eastAsia="仿宋_GB2312" w:cs="DengXian-Regular"/>
          <w:sz w:val="32"/>
          <w:szCs w:val="32"/>
        </w:rPr>
      </w:pPr>
    </w:p>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lang w:eastAsia="zh-CN"/>
        </w:rPr>
        <w:t>　　</w:t>
      </w: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hint="eastAsia"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1224.36</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2530.89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67.40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行政运行收入减少</w:t>
      </w:r>
      <w:r>
        <w:rPr>
          <w:rFonts w:hint="eastAsia" w:ascii="仿宋_GB2312" w:hAnsi="Times New Roman" w:eastAsia="仿宋_GB2312" w:cs="DengXian-Regular"/>
          <w:sz w:val="32"/>
          <w:szCs w:val="32"/>
          <w:lang w:val="en-US" w:eastAsia="zh-CN"/>
        </w:rPr>
        <w:t>1068.06万元、污染防治收入减少1562.09万元</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2143.19</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365.44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20.56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污染防治支出增加</w:t>
      </w:r>
      <w:r>
        <w:rPr>
          <w:rFonts w:hint="eastAsia" w:ascii="仿宋_GB2312" w:hAnsi="Times New Roman" w:eastAsia="仿宋_GB2312" w:cs="DengXian-Regular"/>
          <w:sz w:val="32"/>
          <w:szCs w:val="32"/>
          <w:lang w:val="en-US" w:eastAsia="zh-CN"/>
        </w:rPr>
        <w:t>1285.68万元、行政运行支出减少1047.86万元</w:t>
      </w:r>
      <w:r>
        <w:rPr>
          <w:rFonts w:hint="eastAsia" w:ascii="仿宋_GB2312" w:hAnsi="Times New Roman" w:eastAsia="仿宋_GB2312" w:cs="DengXian-Regular"/>
          <w:sz w:val="32"/>
          <w:szCs w:val="32"/>
        </w:rPr>
        <w:t>。</w:t>
      </w:r>
    </w:p>
    <w:p>
      <w:pPr>
        <w:adjustRightInd w:val="0"/>
        <w:snapToGrid w:val="0"/>
        <w:spacing w:line="580" w:lineRule="exact"/>
        <w:ind w:firstLine="560" w:firstLineChars="200"/>
        <w:jc w:val="center"/>
        <w:rPr>
          <w:rFonts w:hint="eastAsia" w:ascii="仿宋_GB2312" w:hAnsi="Times New Roman" w:eastAsia="仿宋_GB2312" w:cs="DengXian-Regular"/>
          <w:sz w:val="28"/>
          <w:szCs w:val="28"/>
          <w:lang w:eastAsia="zh-CN"/>
        </w:rPr>
      </w:pPr>
      <w:r>
        <w:rPr>
          <w:rFonts w:hint="eastAsia" w:ascii="仿宋_GB2312" w:hAnsi="Times New Roman" w:eastAsia="仿宋_GB2312" w:cs="DengXian-Regular"/>
          <w:sz w:val="28"/>
          <w:szCs w:val="28"/>
          <w:lang w:eastAsia="zh-CN"/>
        </w:rPr>
        <w:t>图２：财政拨款收支情况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3600" behindDoc="0" locked="0" layoutInCell="1" allowOverlap="1">
            <wp:simplePos x="0" y="0"/>
            <wp:positionH relativeFrom="column">
              <wp:posOffset>306070</wp:posOffset>
            </wp:positionH>
            <wp:positionV relativeFrom="paragraph">
              <wp:posOffset>175895</wp:posOffset>
            </wp:positionV>
            <wp:extent cx="5061585" cy="3237865"/>
            <wp:effectExtent l="4445" t="4445" r="20320" b="15240"/>
            <wp:wrapTopAndBottom/>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1224.36</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270.89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772.39</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污染防治收入增加</w:t>
      </w:r>
      <w:r>
        <w:rPr>
          <w:rFonts w:hint="eastAsia" w:ascii="仿宋_GB2312" w:hAnsi="Times New Roman" w:eastAsia="仿宋_GB2312" w:cs="DengXian-Regular"/>
          <w:sz w:val="32"/>
          <w:szCs w:val="32"/>
          <w:lang w:val="en-US" w:eastAsia="zh-CN"/>
        </w:rPr>
        <w:t>524.18万元、污染减排收入增加266.86万元</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2143.19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474.19</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1691.22</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污染防治支出增加</w:t>
      </w:r>
      <w:r>
        <w:rPr>
          <w:rFonts w:hint="eastAsia" w:ascii="仿宋_GB2312" w:hAnsi="Times New Roman" w:eastAsia="仿宋_GB2312" w:cs="DengXian-Regular"/>
          <w:sz w:val="32"/>
          <w:szCs w:val="32"/>
          <w:lang w:val="en-US" w:eastAsia="zh-CN"/>
        </w:rPr>
        <w:t>1425.94万元、污染减排支出增加266.86万元</w:t>
      </w:r>
      <w:r>
        <w:rPr>
          <w:rFonts w:hint="eastAsia" w:ascii="仿宋_GB2312" w:hAnsi="Times New Roman" w:eastAsia="仿宋_GB2312" w:cs="DengXian-Regular"/>
          <w:sz w:val="32"/>
          <w:szCs w:val="32"/>
        </w:rPr>
        <w:t>。</w:t>
      </w:r>
    </w:p>
    <w:p>
      <w:pPr>
        <w:adjustRightInd w:val="0"/>
        <w:snapToGrid w:val="0"/>
        <w:spacing w:line="580" w:lineRule="exact"/>
        <w:ind w:firstLine="560" w:firstLineChars="200"/>
        <w:jc w:val="center"/>
        <w:rPr>
          <w:rFonts w:hint="default" w:ascii="仿宋_GB2312" w:hAnsi="Times New Roman" w:eastAsia="仿宋_GB2312" w:cs="DengXian-Regular"/>
          <w:sz w:val="28"/>
          <w:szCs w:val="28"/>
          <w:lang w:val="en-US" w:eastAsia="zh-CN"/>
        </w:rPr>
      </w:pPr>
      <w:r>
        <w:rPr>
          <w:rFonts w:hint="eastAsia" w:ascii="仿宋_GB2312" w:hAnsi="Times New Roman" w:eastAsia="仿宋_GB2312" w:cs="DengXian-Regular"/>
          <w:sz w:val="28"/>
          <w:szCs w:val="28"/>
          <w:lang w:eastAsia="zh-CN"/>
        </w:rPr>
        <w:t>图</w:t>
      </w:r>
      <w:r>
        <w:rPr>
          <w:rFonts w:hint="eastAsia" w:ascii="仿宋_GB2312" w:hAnsi="Times New Roman" w:eastAsia="仿宋_GB2312" w:cs="DengXian-Regular"/>
          <w:sz w:val="28"/>
          <w:szCs w:val="28"/>
          <w:lang w:val="en-US" w:eastAsia="zh-CN"/>
        </w:rPr>
        <w:t>3：财政拨款收支预决算对比情况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4624" behindDoc="0" locked="0" layoutInCell="1" allowOverlap="1">
            <wp:simplePos x="0" y="0"/>
            <wp:positionH relativeFrom="column">
              <wp:posOffset>219710</wp:posOffset>
            </wp:positionH>
            <wp:positionV relativeFrom="paragraph">
              <wp:posOffset>137160</wp:posOffset>
            </wp:positionV>
            <wp:extent cx="5289550" cy="2553970"/>
            <wp:effectExtent l="4445" t="4445" r="20955" b="13335"/>
            <wp:wrapTopAndBottom/>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2143.19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：一般公共服务（类）支出</w:t>
      </w:r>
      <w:r>
        <w:rPr>
          <w:rFonts w:hint="eastAsia" w:ascii="仿宋_GB2312" w:hAnsi="Times New Roman" w:eastAsia="仿宋_GB2312" w:cs="DengXian-Regular"/>
          <w:sz w:val="32"/>
          <w:szCs w:val="32"/>
          <w:lang w:val="en-US" w:eastAsia="zh-CN"/>
        </w:rPr>
        <w:t>17.07万元，占0.8%；节能环保（类）支出2121.12万元，占98.97%；农林水（类）支出5万元，占0.23%。</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p>
    <w:p>
      <w:pPr>
        <w:adjustRightInd w:val="0"/>
        <w:snapToGrid w:val="0"/>
        <w:spacing w:line="580" w:lineRule="exact"/>
        <w:rPr>
          <w:rFonts w:hint="eastAsia" w:ascii="楷体_GB2312" w:hAnsi="Times New Roman" w:eastAsia="楷体_GB2312" w:cs="DengXian-Bold"/>
          <w:b/>
          <w:bCs/>
          <w:sz w:val="32"/>
          <w:szCs w:val="32"/>
          <w:lang w:eastAsia="zh-CN"/>
        </w:rPr>
      </w:pPr>
      <w:r>
        <w:rPr>
          <w:sz w:val="32"/>
        </w:rPr>
        <mc:AlternateContent>
          <mc:Choice Requires="wps">
            <w:drawing>
              <wp:anchor distT="0" distB="0" distL="114300" distR="114300" simplePos="0" relativeHeight="251696128" behindDoc="1" locked="0" layoutInCell="1" allowOverlap="1">
                <wp:simplePos x="0" y="0"/>
                <wp:positionH relativeFrom="column">
                  <wp:posOffset>1123950</wp:posOffset>
                </wp:positionH>
                <wp:positionV relativeFrom="paragraph">
                  <wp:posOffset>31115</wp:posOffset>
                </wp:positionV>
                <wp:extent cx="3576320" cy="391795"/>
                <wp:effectExtent l="0" t="0" r="5080" b="8255"/>
                <wp:wrapNone/>
                <wp:docPr id="164" name="文本框 32"/>
                <wp:cNvGraphicFramePr/>
                <a:graphic xmlns:a="http://schemas.openxmlformats.org/drawingml/2006/main">
                  <a:graphicData uri="http://schemas.microsoft.com/office/word/2010/wordprocessingShape">
                    <wps:wsp>
                      <wps:cNvSpPr txBox="1"/>
                      <wps:spPr>
                        <a:xfrm>
                          <a:off x="1989455" y="3360420"/>
                          <a:ext cx="3576320" cy="391795"/>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4</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2" o:spid="_x0000_s1026" o:spt="202" type="#_x0000_t202" style="position:absolute;left:0pt;margin-left:88.5pt;margin-top:2.45pt;height:30.85pt;width:281.6pt;z-index:-251620352;mso-width-relative:page;mso-height-relative:page;" fillcolor="#FFFFFF" filled="t" stroked="f" coordsize="21600,21600" o:gfxdata="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X&#10;WK1i1AAAAAgBAAAPAAAAAAAAAAEAIAAAACIAAABkcnMvZG93bnJldi54bWxQSwECFAAUAAAACACH&#10;TuJAtfoZMWECAACsBAAADgAAAAAAAAABACAAAAAjAQAAZHJzL2Uyb0RvYy54bWxQSwUGAAAAAAYA&#10;BgBZAQAA9gU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hint="eastAsia" w:ascii="仿宋_GB2312" w:hAnsi="Times New Roman" w:eastAsia="仿宋_GB2312" w:cs="DengXian-Regular"/>
                          <w:sz w:val="28"/>
                          <w:szCs w:val="28"/>
                          <w:lang w:val="en-US" w:eastAsia="zh-CN"/>
                        </w:rPr>
                        <w:t>4</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cs="Times New Roman"/>
                          <w:sz w:val="20"/>
                        </w:rPr>
                      </w:pPr>
                    </w:p>
                  </w:txbxContent>
                </v:textbox>
              </v:shape>
            </w:pict>
          </mc:Fallback>
        </mc:AlternateContent>
      </w:r>
      <w:r>
        <w:rPr>
          <w:rFonts w:hint="eastAsia" w:ascii="楷体_GB2312" w:hAnsi="Times New Roman" w:eastAsia="楷体_GB2312" w:cs="DengXian-Bold"/>
          <w:b/>
          <w:bCs/>
          <w:sz w:val="32"/>
          <w:szCs w:val="32"/>
          <w:lang w:eastAsia="zh-CN"/>
        </w:rPr>
        <w:drawing>
          <wp:anchor distT="0" distB="0" distL="114300" distR="114300" simplePos="0" relativeHeight="251675648" behindDoc="0" locked="0" layoutInCell="1" allowOverlap="1">
            <wp:simplePos x="0" y="0"/>
            <wp:positionH relativeFrom="column">
              <wp:posOffset>128270</wp:posOffset>
            </wp:positionH>
            <wp:positionV relativeFrom="paragraph">
              <wp:posOffset>575310</wp:posOffset>
            </wp:positionV>
            <wp:extent cx="5080000" cy="3238500"/>
            <wp:effectExtent l="4445" t="4445" r="20955" b="14605"/>
            <wp:wrapTopAndBottom/>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adjustRightInd w:val="0"/>
        <w:snapToGrid w:val="0"/>
        <w:spacing w:line="580" w:lineRule="exact"/>
        <w:rPr>
          <w:sz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21.93</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21.93</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；较2018年度减少</w:t>
      </w:r>
      <w:r>
        <w:rPr>
          <w:rFonts w:hint="eastAsia" w:ascii="仿宋_GB2312" w:hAnsi="Times New Roman" w:eastAsia="仿宋_GB2312" w:cs="DengXian-Regular"/>
          <w:sz w:val="32"/>
          <w:szCs w:val="32"/>
          <w:lang w:val="en-US" w:eastAsia="zh-CN"/>
        </w:rPr>
        <w:t>69.72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我单位未发生因公出国（境）费支出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我单位未发生因公出国（境）费支出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我单位没有公务用车购置经费预算</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35.99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我单位没有公务用车购置经费预算</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我单位机构改革，所有车辆全部上划廊坊市生态环境局，</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30.71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我单位机构改革，所有车辆全部上划廊坊市生态环境局，</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3.02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我单位机构改革，</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widowControl/>
        <w:spacing w:line="584" w:lineRule="exact"/>
        <w:ind w:firstLine="640" w:firstLineChars="200"/>
        <w:jc w:val="left"/>
        <w:rPr>
          <w:rFonts w:ascii="仿宋_GB2312" w:hAnsi="Calibri" w:eastAsia="仿宋_GB2312"/>
          <w:kern w:val="0"/>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2121.26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2019年大城县燃气锅炉低氮改造补助资金</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、“大气污染防治第三方服务项目资金”、</w:t>
      </w:r>
      <w:r>
        <w:rPr>
          <w:rFonts w:hint="eastAsia" w:ascii="仿宋_GB2312" w:hAnsi="仿宋_GB2312" w:eastAsia="仿宋_GB2312" w:cs="仿宋_GB2312"/>
          <w:sz w:val="32"/>
          <w:szCs w:val="32"/>
        </w:rPr>
        <w:t>“大城县10个乡镇空气质量自动监测站（国标六参数）建设项目”等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619.6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，政府性基金预算支出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。从评价情况来看，</w:t>
      </w:r>
      <w:r>
        <w:rPr>
          <w:rFonts w:hint="eastAsia" w:ascii="仿宋_GB2312" w:hAnsi="Calibri" w:eastAsia="仿宋_GB2312"/>
          <w:kern w:val="0"/>
          <w:sz w:val="32"/>
          <w:szCs w:val="32"/>
        </w:rPr>
        <w:t>我局预算支出管理较为规范，能按照有关规章制度开展工作，资金使用合理规范，实现了部门职责绩效目标，自评覆盖率达到100%。</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2019年大城县燃气锅炉低氮改造补助资金项目、大气污染防治第三方服务项目资金</w:t>
      </w:r>
      <w:r>
        <w:rPr>
          <w:rFonts w:hint="eastAsia" w:ascii="仿宋_GB2312" w:hAnsi="仿宋_GB2312" w:eastAsia="仿宋_GB2312" w:cs="仿宋_GB2312"/>
          <w:sz w:val="32"/>
          <w:szCs w:val="32"/>
        </w:rPr>
        <w:t>及大城县10个乡镇空气质量自动监测站（国标六参数）建设项目等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个项目绩效自评结果。</w:t>
      </w:r>
    </w:p>
    <w:p>
      <w:pPr>
        <w:numPr>
          <w:ilvl w:val="0"/>
          <w:numId w:val="0"/>
        </w:numPr>
        <w:adjustRightInd w:val="0"/>
        <w:snapToGrid w:val="0"/>
        <w:spacing w:line="580" w:lineRule="exact"/>
        <w:ind w:leftChars="0"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2019年大城县燃气锅炉低氮改造补助资金</w:t>
      </w:r>
      <w:r>
        <w:rPr>
          <w:rFonts w:hint="eastAsia" w:ascii="仿宋_GB2312" w:hAnsi="仿宋_GB2312" w:eastAsia="仿宋_GB2312" w:cs="仿宋_GB2312"/>
          <w:sz w:val="32"/>
          <w:szCs w:val="32"/>
        </w:rPr>
        <w:t>项目自评综述：</w:t>
      </w:r>
      <w:r>
        <w:rPr>
          <w:rFonts w:hint="default" w:ascii="仿宋_GB2312" w:hAnsi="仿宋_GB2312" w:eastAsia="仿宋_GB2312" w:cs="仿宋_GB2312"/>
          <w:sz w:val="32"/>
          <w:szCs w:val="32"/>
          <w:lang w:val="en-US" w:eastAsia="zh-CN"/>
        </w:rPr>
        <w:t>根据年初设定的绩效目标，该项目绩效自评得分为</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分。全年预算数为119.72万元，执行数为119.72万元，完成预算的</w:t>
      </w:r>
      <w:r>
        <w:rPr>
          <w:rFonts w:hint="eastAsia" w:ascii="仿宋_GB2312" w:hAnsi="仿宋_GB2312" w:eastAsia="仿宋_GB2312" w:cs="仿宋_GB2312"/>
          <w:sz w:val="32"/>
          <w:szCs w:val="32"/>
          <w:lang w:val="en-US" w:eastAsia="zh-CN"/>
        </w:rPr>
        <w:t>100</w:t>
      </w:r>
      <w:r>
        <w:rPr>
          <w:rFonts w:hint="default" w:ascii="仿宋_GB2312" w:hAnsi="仿宋_GB2312" w:eastAsia="仿宋_GB2312" w:cs="仿宋_GB2312"/>
          <w:sz w:val="32"/>
          <w:szCs w:val="32"/>
          <w:lang w:val="en-US" w:eastAsia="zh-CN"/>
        </w:rPr>
        <w:t>%。项目绩效目标完成情况：一是产出指标，完成</w:t>
      </w:r>
      <w:r>
        <w:rPr>
          <w:rFonts w:hint="eastAsia" w:ascii="仿宋_GB2312" w:hAnsi="仿宋_GB2312" w:eastAsia="仿宋_GB2312" w:cs="仿宋_GB2312"/>
          <w:sz w:val="32"/>
          <w:szCs w:val="32"/>
          <w:highlight w:val="none"/>
          <w:lang w:val="en-US" w:eastAsia="zh-CN"/>
        </w:rPr>
        <w:t>15</w:t>
      </w:r>
      <w:r>
        <w:rPr>
          <w:rFonts w:hint="default" w:ascii="仿宋_GB2312" w:hAnsi="仿宋_GB2312" w:eastAsia="仿宋_GB2312" w:cs="仿宋_GB2312"/>
          <w:sz w:val="32"/>
          <w:szCs w:val="32"/>
          <w:highlight w:val="none"/>
          <w:lang w:val="en-US" w:eastAsia="zh-CN"/>
        </w:rPr>
        <w:t>台燃气</w:t>
      </w:r>
      <w:r>
        <w:rPr>
          <w:rFonts w:hint="default" w:ascii="仿宋_GB2312" w:hAnsi="仿宋_GB2312" w:eastAsia="仿宋_GB2312" w:cs="仿宋_GB2312"/>
          <w:sz w:val="32"/>
          <w:szCs w:val="32"/>
          <w:lang w:val="en-US" w:eastAsia="zh-CN"/>
        </w:rPr>
        <w:t>锅炉氮氧化物治理，燃气锅炉氮氧化物治理合格率为100%，项目资金拨付及时，项目总成本</w:t>
      </w:r>
      <w:r>
        <w:rPr>
          <w:rFonts w:hint="default" w:ascii="仿宋_GB2312" w:hAnsi="仿宋_GB2312" w:eastAsia="仿宋_GB2312" w:cs="仿宋_GB2312"/>
          <w:sz w:val="32"/>
          <w:szCs w:val="32"/>
          <w:highlight w:val="none"/>
          <w:lang w:val="en-US" w:eastAsia="zh-CN"/>
        </w:rPr>
        <w:t>不高于</w:t>
      </w:r>
      <w:r>
        <w:rPr>
          <w:rFonts w:hint="eastAsia" w:ascii="仿宋_GB2312" w:hAnsi="仿宋_GB2312" w:eastAsia="仿宋_GB2312" w:cs="仿宋_GB2312"/>
          <w:sz w:val="32"/>
          <w:szCs w:val="32"/>
          <w:highlight w:val="none"/>
          <w:lang w:val="en-US" w:eastAsia="zh-CN"/>
        </w:rPr>
        <w:t>119.72</w:t>
      </w:r>
      <w:r>
        <w:rPr>
          <w:rFonts w:hint="default" w:ascii="仿宋_GB2312" w:hAnsi="仿宋_GB2312" w:eastAsia="仿宋_GB2312" w:cs="仿宋_GB2312"/>
          <w:sz w:val="32"/>
          <w:szCs w:val="32"/>
          <w:highlight w:val="none"/>
          <w:lang w:val="en-US" w:eastAsia="zh-CN"/>
        </w:rPr>
        <w:t>万元</w:t>
      </w:r>
      <w:r>
        <w:rPr>
          <w:rFonts w:hint="default" w:ascii="仿宋_GB2312" w:hAnsi="仿宋_GB2312" w:eastAsia="仿宋_GB2312" w:cs="仿宋_GB2312"/>
          <w:sz w:val="32"/>
          <w:szCs w:val="32"/>
          <w:lang w:val="en-US" w:eastAsia="zh-CN"/>
        </w:rPr>
        <w:t>。二是效果指标，完成2019年环境空气质量改善目标，持续减少燃气锅炉使用单位污染物排放，受益群体满意度不低于90%。发现的主要问题及原因：改造企业相关资料不完善造成资金拨付缓慢。下一步改进措施：一是加大督导力度，督促企业尽快完善申报材料，及时拨付资金；二是深入自查自纠，认真查找问题，逐一对照，自查自纠，发现问题认真整改；三是强化政策解读，对上级下发相关政策文件认真进行梳理，加强相关政策解读，提高管理水平。</w:t>
      </w:r>
    </w:p>
    <w:p>
      <w:pPr>
        <w:adjustRightInd w:val="0"/>
        <w:snapToGrid w:val="0"/>
        <w:spacing w:line="580" w:lineRule="exact"/>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大气污染防治第三方服务项目</w:t>
      </w:r>
      <w:r>
        <w:rPr>
          <w:rFonts w:hint="default" w:ascii="仿宋_GB2312" w:hAnsi="仿宋_GB2312" w:eastAsia="仿宋_GB2312" w:cs="仿宋_GB2312"/>
          <w:sz w:val="32"/>
          <w:szCs w:val="32"/>
          <w:lang w:val="en-US" w:eastAsia="zh-CN"/>
        </w:rPr>
        <w:t>自评综述：根据年初设定的绩效目标，该项目绩效自评得分为100分。全年预算数为148.88万元，执行数为148.88万元，完成预算的100%。项目绩效目标完成情况：一是产出指标，大气污染防治提供第三方专项技术服务数量（年报1期，月报12期，周报52期，督察专报24期，大气环境决策信息服务专报24期），大气污染防治提供第三方专项技术服务验收合格率100%，项目总成本148.88万元</w:t>
      </w:r>
      <w:r>
        <w:rPr>
          <w:rFonts w:hint="eastAsia" w:ascii="仿宋_GB2312" w:hAnsi="仿宋_GB2312" w:eastAsia="仿宋_GB2312" w:cs="仿宋_GB2312"/>
          <w:sz w:val="32"/>
          <w:szCs w:val="32"/>
          <w:lang w:val="en-US" w:eastAsia="zh-CN"/>
        </w:rPr>
        <w:t>,与预算持平</w:t>
      </w:r>
      <w:r>
        <w:rPr>
          <w:rFonts w:hint="default" w:ascii="仿宋_GB2312" w:hAnsi="仿宋_GB2312" w:eastAsia="仿宋_GB2312" w:cs="仿宋_GB2312"/>
          <w:sz w:val="32"/>
          <w:szCs w:val="32"/>
          <w:lang w:val="en-US" w:eastAsia="zh-CN"/>
        </w:rPr>
        <w:t>。二是效益指标，PM2.5累计浓度为52微克/立方米，在2018年53微克/立方米的基础上持续改善，综合指数为5.91，低于考核目标（6.13）0.22，受益群体满意度达100%。</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大城县10个乡镇空气质量自动监测站（国标六参数）建设项目</w:t>
      </w:r>
      <w:r>
        <w:rPr>
          <w:rFonts w:hint="eastAsia" w:ascii="仿宋_GB2312" w:hAnsi="仿宋_GB2312" w:eastAsia="仿宋_GB2312" w:cs="仿宋_GB2312"/>
          <w:sz w:val="32"/>
          <w:szCs w:val="32"/>
          <w:lang w:eastAsia="zh-CN"/>
        </w:rPr>
        <w:t>自评综述：</w:t>
      </w:r>
      <w:r>
        <w:rPr>
          <w:rFonts w:hint="eastAsia" w:ascii="仿宋_GB2312" w:hAnsi="仿宋_GB2312" w:eastAsia="仿宋_GB2312" w:cs="仿宋_GB2312"/>
          <w:sz w:val="32"/>
          <w:szCs w:val="32"/>
          <w:lang w:val="en-US" w:eastAsia="zh-CN"/>
        </w:rPr>
        <w:t>根据年初设定的绩效目标，大城县10个乡镇空气质量自动监测站（国标六参数）建设项目绩效自评得分为100分。全年预算数为351万元，执行数为351万元，完成预算的100%.项目绩效目标完成情况：一是产出指标实际完成值满足年初指标值，自评得分50分；二是效益指标实际完成值满足年初指标值，自评得分35分;三是满意度指标实际完成值满足年初指标值，自评得分15分。</w:t>
      </w:r>
    </w:p>
    <w:tbl>
      <w:tblPr>
        <w:tblStyle w:val="6"/>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w:t>
            </w:r>
            <w:r>
              <w:rPr>
                <w:rFonts w:hint="eastAsia" w:ascii="仿宋" w:eastAsia="仿宋"/>
                <w:kern w:val="0"/>
                <w:sz w:val="20"/>
                <w:szCs w:val="20"/>
                <w:lang w:val="en-US" w:eastAsia="zh-CN"/>
              </w:rPr>
              <w:t>2019</w:t>
            </w:r>
            <w:r>
              <w:rPr>
                <w:rFonts w:hint="eastAsia" w:ascii="仿宋" w:eastAsia="仿宋"/>
                <w:kern w:val="0"/>
                <w:sz w:val="20"/>
                <w:szCs w:val="20"/>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2019大城县燃气锅炉低氮改造补助资金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廊坊市生态环境局大城县分局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廊坊市生态环境局大城县分局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119.72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119.72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119.72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119.72</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119.72</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119.72</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8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7"/>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eastAsia="zh-CN"/>
              </w:rPr>
              <w:t>对</w:t>
            </w:r>
            <w:r>
              <w:rPr>
                <w:rFonts w:hint="eastAsia" w:ascii="仿宋" w:eastAsia="仿宋"/>
                <w:kern w:val="0"/>
                <w:sz w:val="20"/>
                <w:szCs w:val="20"/>
                <w:lang w:val="en-US" w:eastAsia="zh-CN"/>
              </w:rPr>
              <w:t>2019年已经完成燃气锅炉低氮改造的单位进行补贴。</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eastAsia="zh-CN"/>
              </w:rPr>
              <w:t>对</w:t>
            </w:r>
            <w:r>
              <w:rPr>
                <w:rFonts w:hint="eastAsia" w:ascii="仿宋" w:eastAsia="仿宋"/>
                <w:kern w:val="0"/>
                <w:sz w:val="20"/>
                <w:szCs w:val="20"/>
                <w:lang w:val="en-US" w:eastAsia="zh-CN"/>
              </w:rPr>
              <w:t>2019年已经完成燃气锅炉低氮改造的单位进行补贴。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燃气锅炉低氮改造</w:t>
            </w:r>
          </w:p>
        </w:tc>
        <w:tc>
          <w:tcPr>
            <w:tcW w:w="1021" w:type="dxa"/>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15台</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15台</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lang w:eastAsia="zh-CN"/>
              </w:rPr>
            </w:pPr>
            <w:r>
              <w:rPr>
                <w:rFonts w:hint="eastAsia" w:ascii="仿宋" w:eastAsia="仿宋"/>
                <w:color w:val="000000"/>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燃气锅炉低氮改造标准</w:t>
            </w:r>
          </w:p>
        </w:tc>
        <w:tc>
          <w:tcPr>
            <w:tcW w:w="1021" w:type="dxa"/>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烟尘≦5mg/m3；so2≦10mg/m3；NOX≦50mg/m3</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烟尘≦5mg/m3；so2≦10mg/m3；NOX≦50mg/m3</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both"/>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lang w:eastAsia="zh-CN"/>
              </w:rPr>
              <w:t>资金支出时间</w:t>
            </w:r>
          </w:p>
        </w:tc>
        <w:tc>
          <w:tcPr>
            <w:tcW w:w="1021" w:type="dxa"/>
            <w:vMerge w:val="restart"/>
            <w:tcBorders>
              <w:top w:val="single" w:color="auto" w:sz="4" w:space="0"/>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2019年内</w:t>
            </w:r>
          </w:p>
        </w:tc>
        <w:tc>
          <w:tcPr>
            <w:tcW w:w="927" w:type="dxa"/>
            <w:vMerge w:val="restart"/>
            <w:tcBorders>
              <w:top w:val="single" w:color="auto" w:sz="4" w:space="0"/>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2019年内</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燃气锅炉低氮改造项目总投资</w:t>
            </w:r>
          </w:p>
        </w:tc>
        <w:tc>
          <w:tcPr>
            <w:tcW w:w="1021" w:type="dxa"/>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119.72万元</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119.72万元</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利润</w:t>
            </w:r>
          </w:p>
        </w:tc>
        <w:tc>
          <w:tcPr>
            <w:tcW w:w="1021" w:type="dxa"/>
            <w:vMerge w:val="restart"/>
            <w:tcBorders>
              <w:top w:val="nil"/>
              <w:left w:val="nil"/>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良好</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良好</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生态环境质量提高</w:t>
            </w:r>
          </w:p>
        </w:tc>
        <w:tc>
          <w:tcPr>
            <w:tcW w:w="1021" w:type="dxa"/>
            <w:vMerge w:val="restart"/>
            <w:tcBorders>
              <w:top w:val="nil"/>
              <w:left w:val="nil"/>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人民幸福感提升</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eastAsia="zh-CN"/>
              </w:rPr>
              <w:t>人民幸福感提升</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氮氧化物减排量</w:t>
            </w:r>
          </w:p>
        </w:tc>
        <w:tc>
          <w:tcPr>
            <w:tcW w:w="1021" w:type="dxa"/>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≧0.6252吨/年</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≧0.6252吨/年</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可持续影响</w:t>
            </w:r>
          </w:p>
        </w:tc>
        <w:tc>
          <w:tcPr>
            <w:tcW w:w="1021" w:type="dxa"/>
            <w:vMerge w:val="restart"/>
            <w:tcBorders>
              <w:top w:val="single" w:color="auto" w:sz="4" w:space="0"/>
              <w:left w:val="nil"/>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长期</w:t>
            </w:r>
          </w:p>
        </w:tc>
        <w:tc>
          <w:tcPr>
            <w:tcW w:w="927" w:type="dxa"/>
            <w:vMerge w:val="restart"/>
            <w:tcBorders>
              <w:top w:val="single" w:color="auto" w:sz="4" w:space="0"/>
              <w:left w:val="nil"/>
              <w:right w:val="single" w:color="auto" w:sz="4" w:space="0"/>
              <w:tl2br w:val="nil"/>
              <w:tr2bl w:val="nil"/>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长期</w:t>
            </w:r>
          </w:p>
        </w:tc>
        <w:tc>
          <w:tcPr>
            <w:tcW w:w="532" w:type="dxa"/>
            <w:gridSpan w:val="2"/>
            <w:vMerge w:val="restart"/>
            <w:tcBorders>
              <w:top w:val="single" w:color="auto" w:sz="4" w:space="0"/>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single" w:color="auto" w:sz="4" w:space="0"/>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vMerge w:val="restart"/>
            <w:tcBorders>
              <w:top w:val="single" w:color="auto" w:sz="4" w:space="0"/>
              <w:left w:val="nil"/>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受益群体满意度</w:t>
            </w:r>
          </w:p>
        </w:tc>
        <w:tc>
          <w:tcPr>
            <w:tcW w:w="1021" w:type="dxa"/>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eastAsia="zh-CN"/>
              </w:rPr>
              <w:t>≥</w:t>
            </w:r>
            <w:r>
              <w:rPr>
                <w:rFonts w:hint="eastAsia" w:ascii="仿宋" w:eastAsia="仿宋"/>
                <w:kern w:val="0"/>
                <w:sz w:val="20"/>
                <w:szCs w:val="20"/>
                <w:lang w:val="en-US" w:eastAsia="zh-CN"/>
              </w:rPr>
              <w:t>90%</w:t>
            </w:r>
          </w:p>
        </w:tc>
        <w:tc>
          <w:tcPr>
            <w:tcW w:w="927" w:type="dxa"/>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eastAsia="zh-CN"/>
              </w:rPr>
              <w:t>≥</w:t>
            </w:r>
            <w:r>
              <w:rPr>
                <w:rFonts w:hint="eastAsia" w:ascii="仿宋" w:eastAsia="仿宋"/>
                <w:kern w:val="0"/>
                <w:sz w:val="20"/>
                <w:szCs w:val="20"/>
                <w:lang w:val="en-US" w:eastAsia="zh-CN"/>
              </w:rPr>
              <w:t>90%</w:t>
            </w:r>
          </w:p>
        </w:tc>
        <w:tc>
          <w:tcPr>
            <w:tcW w:w="532" w:type="dxa"/>
            <w:gridSpan w:val="2"/>
            <w:vMerge w:val="restart"/>
            <w:tcBorders>
              <w:top w:val="nil"/>
              <w:left w:val="nil"/>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vMerge w:val="restart"/>
            <w:tcBorders>
              <w:top w:val="nil"/>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nil"/>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198"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969" w:type="dxa"/>
            <w:gridSpan w:val="3"/>
            <w:vMerge w:val="continue"/>
            <w:tcBorders>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p>
        </w:tc>
        <w:tc>
          <w:tcPr>
            <w:tcW w:w="1021"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7"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32"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546" w:type="dxa"/>
            <w:gridSpan w:val="2"/>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rPr>
            </w:pPr>
            <w:r>
              <w:rPr>
                <w:rFonts w:hint="eastAsia" w:ascii="仿宋" w:eastAsia="仿宋"/>
                <w:color w:val="000000"/>
                <w:kern w:val="0"/>
                <w:sz w:val="20"/>
                <w:szCs w:val="20"/>
                <w:lang w:val="en-US" w:eastAsia="zh-CN"/>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rPr>
          <w:rFonts w:hint="default" w:ascii="仿宋_GB2312" w:hAnsi="仿宋_GB2312" w:eastAsia="仿宋_GB2312" w:cs="仿宋_GB2312"/>
          <w:sz w:val="32"/>
          <w:szCs w:val="32"/>
          <w:lang w:val="en-US" w:eastAsia="zh-CN"/>
        </w:rPr>
      </w:pPr>
    </w:p>
    <w:tbl>
      <w:tblPr>
        <w:tblStyle w:val="6"/>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64"/>
        <w:gridCol w:w="1134"/>
        <w:gridCol w:w="709"/>
        <w:gridCol w:w="1134"/>
        <w:gridCol w:w="126"/>
        <w:gridCol w:w="1021"/>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131" w:hRule="atLeast"/>
        </w:trPr>
        <w:tc>
          <w:tcPr>
            <w:tcW w:w="8835"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6"/>
            <w:tcBorders>
              <w:top w:val="nil"/>
              <w:left w:val="nil"/>
              <w:bottom w:val="single" w:color="auto" w:sz="4" w:space="0"/>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585" w:type="dxa"/>
            <w:gridSpan w:val="1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大气污染防治第三方服务项目资金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4124" w:type="dxa"/>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廊坊市生态环境局大城县分局</w:t>
            </w:r>
          </w:p>
        </w:tc>
        <w:tc>
          <w:tcPr>
            <w:tcW w:w="11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实施单位</w:t>
            </w:r>
          </w:p>
        </w:tc>
        <w:tc>
          <w:tcPr>
            <w:tcW w:w="2338"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廊坊金辉工程项目管理有限公司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276"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年初</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预算数</w:t>
            </w:r>
          </w:p>
        </w:tc>
        <w:tc>
          <w:tcPr>
            <w:tcW w:w="11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全年</w:t>
            </w:r>
          </w:p>
          <w:p>
            <w:pPr>
              <w:widowControl/>
              <w:spacing w:line="240" w:lineRule="exact"/>
              <w:jc w:val="center"/>
              <w:rPr>
                <w:rFonts w:ascii="仿宋" w:eastAsia="仿宋"/>
                <w:kern w:val="0"/>
                <w:sz w:val="20"/>
                <w:szCs w:val="20"/>
              </w:rPr>
            </w:pPr>
            <w:r>
              <w:rPr>
                <w:rFonts w:hint="eastAsia" w:ascii="仿宋" w:eastAsia="仿宋"/>
                <w:kern w:val="0"/>
                <w:sz w:val="20"/>
                <w:szCs w:val="20"/>
              </w:rPr>
              <w:t>执行数</w:t>
            </w:r>
          </w:p>
        </w:tc>
        <w:tc>
          <w:tcPr>
            <w:tcW w:w="7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执行率</w:t>
            </w:r>
          </w:p>
        </w:tc>
        <w:tc>
          <w:tcPr>
            <w:tcW w:w="6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eastAsia="仿宋"/>
                <w:kern w:val="0"/>
                <w:sz w:val="20"/>
                <w:szCs w:val="20"/>
              </w:rPr>
            </w:pPr>
            <w:r>
              <w:rPr>
                <w:rFonts w:hint="eastAsia" w:ascii="仿宋" w:eastAsia="仿宋"/>
                <w:kern w:val="0"/>
                <w:sz w:val="20"/>
                <w:szCs w:val="20"/>
              </w:rPr>
              <w:t>年度资金总额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w:t>
            </w:r>
          </w:p>
        </w:tc>
        <w:tc>
          <w:tcPr>
            <w:tcW w:w="11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w:t>
            </w:r>
          </w:p>
        </w:tc>
        <w:tc>
          <w:tcPr>
            <w:tcW w:w="11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w:t>
            </w:r>
          </w:p>
        </w:tc>
        <w:tc>
          <w:tcPr>
            <w:tcW w:w="7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10</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其中：当年财政拨款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w:t>
            </w:r>
          </w:p>
        </w:tc>
        <w:tc>
          <w:tcPr>
            <w:tcW w:w="11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w:t>
            </w:r>
          </w:p>
        </w:tc>
        <w:tc>
          <w:tcPr>
            <w:tcW w:w="11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w:t>
            </w:r>
          </w:p>
        </w:tc>
        <w:tc>
          <w:tcPr>
            <w:tcW w:w="7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6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kern w:val="0"/>
                <w:sz w:val="20"/>
                <w:szCs w:val="20"/>
              </w:rPr>
            </w:pPr>
            <w:r>
              <w:rPr>
                <w:rFonts w:hint="eastAsia" w:ascii="仿宋" w:eastAsia="仿宋"/>
                <w:kern w:val="0"/>
                <w:sz w:val="20"/>
                <w:szCs w:val="20"/>
              </w:rPr>
              <w:t xml:space="preserve">      上年结转资金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76" w:type="dxa"/>
            <w:gridSpan w:val="3"/>
            <w:vMerge w:val="continue"/>
            <w:tcBorders>
              <w:top w:val="single" w:color="auto" w:sz="4" w:space="0"/>
              <w:left w:val="single" w:color="auto" w:sz="4" w:space="0"/>
              <w:bottom w:val="single" w:color="auto" w:sz="4" w:space="0"/>
              <w:right w:val="single" w:color="auto" w:sz="4" w:space="0"/>
            </w:tcBorders>
            <w:vAlign w:val="center"/>
          </w:tcPr>
          <w:p/>
        </w:tc>
        <w:tc>
          <w:tcPr>
            <w:tcW w:w="184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其他资金</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4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1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77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67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481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预期目标</w:t>
            </w:r>
          </w:p>
        </w:tc>
        <w:tc>
          <w:tcPr>
            <w:tcW w:w="346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4814"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rPr>
            </w:pPr>
            <w:r>
              <w:rPr>
                <w:rFonts w:hint="eastAsia" w:ascii="仿宋" w:eastAsia="仿宋"/>
                <w:kern w:val="0"/>
                <w:sz w:val="20"/>
                <w:szCs w:val="20"/>
                <w:lang w:val="en-US" w:eastAsia="zh-CN"/>
              </w:rPr>
              <w:t>大城县大气污染防治提供第三方专项技术服务</w:t>
            </w:r>
            <w:r>
              <w:rPr>
                <w:rFonts w:hint="eastAsia" w:ascii="仿宋_GB2312" w:hAnsi="仿宋" w:eastAsia="仿宋_GB2312" w:cs="仿宋_GB2312"/>
                <w:b w:val="0"/>
                <w:i w:val="0"/>
                <w:caps w:val="0"/>
                <w:color w:val="000000"/>
                <w:spacing w:val="0"/>
                <w:kern w:val="0"/>
                <w:sz w:val="21"/>
                <w:szCs w:val="21"/>
                <w:shd w:val="clear" w:fill="FFFFFF"/>
                <w:lang w:val="en-US" w:eastAsia="zh-CN" w:bidi="ar"/>
              </w:rPr>
              <w:t>，支付资金148.88万元</w:t>
            </w:r>
          </w:p>
        </w:tc>
        <w:tc>
          <w:tcPr>
            <w:tcW w:w="3461"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大城县大气污染防治提供第三方专项技术服务</w:t>
            </w:r>
            <w:r>
              <w:rPr>
                <w:rFonts w:hint="eastAsia" w:ascii="仿宋_GB2312" w:hAnsi="仿宋" w:eastAsia="仿宋_GB2312" w:cs="仿宋_GB2312"/>
                <w:b w:val="0"/>
                <w:i w:val="0"/>
                <w:caps w:val="0"/>
                <w:color w:val="000000"/>
                <w:spacing w:val="0"/>
                <w:kern w:val="0"/>
                <w:sz w:val="21"/>
                <w:szCs w:val="21"/>
                <w:shd w:val="clear" w:fill="FFFFFF"/>
                <w:lang w:val="en-US" w:eastAsia="zh-CN" w:bidi="ar"/>
              </w:rPr>
              <w:t>，支付资金148.88万元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一级指标</w:t>
            </w: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20"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产出指标</w:t>
            </w: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大气污染防治提供第三方专项技术服务</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年报1期，月报12期，周报52期，督察专报24期，大气环境决策信息服务专报24期</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年报1期，月报12期，周报52期，督察专报24期，大气环境决策信息服务专报24期</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大气污染防治提供第三方专项技术服务验收合格率（%）</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资金支出时间</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2019年内</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2019年内</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项目总成本</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148.88万元</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148.88万元</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效益指标</w:t>
            </w:r>
          </w:p>
          <w:p>
            <w:pPr>
              <w:widowControl/>
              <w:spacing w:line="240" w:lineRule="exact"/>
              <w:jc w:val="center"/>
              <w:rPr>
                <w:rFonts w:ascii="仿宋" w:eastAsia="仿宋"/>
                <w:kern w:val="0"/>
                <w:sz w:val="20"/>
                <w:szCs w:val="20"/>
              </w:rPr>
            </w:p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kern w:val="0"/>
                <w:sz w:val="20"/>
                <w:szCs w:val="20"/>
                <w:lang w:val="en-US" w:eastAsia="zh-CN"/>
              </w:rPr>
              <w:t>PM2.5平均浓度在2018年53微克/立方米的基础上持续改善</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 w:eastAsia="仿宋"/>
                <w:kern w:val="0"/>
                <w:sz w:val="20"/>
                <w:szCs w:val="20"/>
                <w:lang w:val="en-US" w:eastAsia="zh-CN"/>
              </w:rPr>
            </w:pPr>
            <w:r>
              <w:rPr>
                <w:rFonts w:hint="eastAsia" w:ascii="仿宋" w:eastAsia="仿宋"/>
                <w:kern w:val="0"/>
                <w:sz w:val="20"/>
                <w:szCs w:val="20"/>
                <w:lang w:val="en-US" w:eastAsia="zh-CN"/>
              </w:rPr>
              <w:t>PM2.5累计浓度为52微克/立方米</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 w:eastAsia="仿宋"/>
                <w:kern w:val="0"/>
                <w:sz w:val="20"/>
                <w:szCs w:val="20"/>
                <w:lang w:val="en-US" w:eastAsia="zh-CN"/>
              </w:rPr>
            </w:pPr>
            <w:r>
              <w:rPr>
                <w:rFonts w:hint="eastAsia" w:ascii="仿宋" w:eastAsia="仿宋"/>
                <w:kern w:val="0"/>
                <w:sz w:val="20"/>
                <w:szCs w:val="20"/>
                <w:lang w:val="en-US" w:eastAsia="zh-CN"/>
              </w:rPr>
              <w:t>PM2.5累计浓度为52微克/立方米</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kern w:val="0"/>
                <w:sz w:val="20"/>
                <w:szCs w:val="20"/>
                <w:lang w:val="en-US" w:eastAsia="zh-CN"/>
              </w:rPr>
              <w:t>综合指数下降1.9%，达到6.13</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 w:eastAsia="仿宋"/>
                <w:kern w:val="0"/>
                <w:sz w:val="20"/>
                <w:szCs w:val="20"/>
                <w:lang w:val="en-US" w:eastAsia="zh-CN"/>
              </w:rPr>
            </w:pPr>
            <w:r>
              <w:rPr>
                <w:rFonts w:hint="eastAsia" w:ascii="仿宋" w:eastAsia="仿宋"/>
                <w:kern w:val="0"/>
                <w:sz w:val="20"/>
                <w:szCs w:val="20"/>
                <w:lang w:val="en-US" w:eastAsia="zh-CN"/>
              </w:rPr>
              <w:t>综合指数为5.91，低于考核目标（6.13）0.22</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lang w:val="en-US" w:eastAsia="zh-CN"/>
              </w:rPr>
              <w:t>综合指数为5.91，低于考核目标（6.13）0.22</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eastAsia="zh-CN"/>
              </w:rPr>
            </w:pPr>
            <w:r>
              <w:rPr>
                <w:rFonts w:hint="eastAsia" w:ascii="仿宋" w:eastAsia="仿宋"/>
                <w:kern w:val="0"/>
                <w:sz w:val="20"/>
                <w:szCs w:val="20"/>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指标1：</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指标2：</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vMerge w:val="continue"/>
            <w:tcBorders>
              <w:top w:val="single" w:color="auto" w:sz="4" w:space="0"/>
              <w:left w:val="single" w:color="auto" w:sz="4" w:space="0"/>
              <w:bottom w:val="single" w:color="auto" w:sz="4" w:space="0"/>
              <w:right w:val="single" w:color="auto" w:sz="4" w:space="0"/>
            </w:tcBorders>
            <w:vAlign w:val="center"/>
          </w:tc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eastAsia="仿宋"/>
                <w:color w:val="000000"/>
                <w:kern w:val="0"/>
                <w:sz w:val="20"/>
                <w:szCs w:val="20"/>
              </w:rPr>
            </w:pPr>
            <w:r>
              <w:rPr>
                <w:rFonts w:hint="eastAsia" w:ascii="仿宋" w:eastAsia="仿宋"/>
                <w:color w:val="000000"/>
                <w:kern w:val="0"/>
                <w:sz w:val="20"/>
                <w:szCs w:val="20"/>
              </w:rPr>
              <w:t>……</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6" w:hRule="atLeast"/>
        </w:trPr>
        <w:tc>
          <w:tcPr>
            <w:tcW w:w="586" w:type="dxa"/>
            <w:vMerge w:val="continue"/>
            <w:tcBorders>
              <w:top w:val="single" w:color="auto" w:sz="4" w:space="0"/>
              <w:left w:val="single" w:color="auto" w:sz="4" w:space="0"/>
              <w:bottom w:val="single" w:color="auto" w:sz="4" w:space="0"/>
              <w:right w:val="single" w:color="auto" w:sz="4" w:space="0"/>
            </w:tcBorders>
            <w:vAlign w:val="center"/>
          </w:tcPr>
          <w:p/>
        </w:tc>
        <w:tc>
          <w:tcPr>
            <w:tcW w:w="62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19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969"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rPr>
                <w:rFonts w:hint="eastAsia" w:ascii="仿宋" w:eastAsia="仿宋"/>
                <w:kern w:val="0"/>
                <w:sz w:val="20"/>
                <w:szCs w:val="20"/>
                <w:lang w:val="en-US" w:eastAsia="zh-CN"/>
              </w:rPr>
            </w:pPr>
          </w:p>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受益群体满意度（%）</w:t>
            </w:r>
          </w:p>
        </w:tc>
        <w:tc>
          <w:tcPr>
            <w:tcW w:w="102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default" w:ascii="仿宋" w:eastAsia="仿宋"/>
                <w:kern w:val="0"/>
                <w:sz w:val="20"/>
                <w:szCs w:val="20"/>
                <w:lang w:val="en-US" w:eastAsia="zh-CN"/>
              </w:rPr>
              <w:t>≥9</w:t>
            </w:r>
            <w:r>
              <w:rPr>
                <w:rFonts w:hint="eastAsia" w:ascii="仿宋" w:eastAsia="仿宋"/>
                <w:kern w:val="0"/>
                <w:sz w:val="20"/>
                <w:szCs w:val="20"/>
                <w:lang w:val="en-US" w:eastAsia="zh-CN"/>
              </w:rPr>
              <w:t>0</w:t>
            </w:r>
            <w:r>
              <w:rPr>
                <w:rFonts w:hint="default" w:ascii="仿宋" w:eastAsia="仿宋"/>
                <w:kern w:val="0"/>
                <w:sz w:val="20"/>
                <w:szCs w:val="20"/>
                <w:lang w:val="en-US" w:eastAsia="zh-CN"/>
              </w:rPr>
              <w:t>%</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27"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color w:val="000000"/>
                <w:kern w:val="0"/>
                <w:sz w:val="20"/>
                <w:szCs w:val="20"/>
              </w:rPr>
            </w:pPr>
            <w:r>
              <w:rPr>
                <w:rFonts w:hint="eastAsia" w:ascii="仿宋" w:eastAsia="仿宋"/>
                <w:color w:val="000000"/>
                <w:kern w:val="0"/>
                <w:sz w:val="20"/>
                <w:szCs w:val="20"/>
              </w:rPr>
              <w:t>总分</w:t>
            </w:r>
          </w:p>
        </w:tc>
        <w:tc>
          <w:tcPr>
            <w:tcW w:w="53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color w:val="000000"/>
                <w:kern w:val="0"/>
                <w:sz w:val="20"/>
                <w:szCs w:val="20"/>
                <w:lang w:val="en-US"/>
              </w:rPr>
            </w:pPr>
            <w:r>
              <w:rPr>
                <w:rFonts w:hint="eastAsia" w:ascii="仿宋" w:eastAsia="仿宋"/>
                <w:color w:val="000000"/>
                <w:kern w:val="0"/>
                <w:sz w:val="20"/>
                <w:szCs w:val="20"/>
                <w:lang w:val="en-US" w:eastAsia="zh-CN"/>
              </w:rPr>
              <w:t>100</w:t>
            </w:r>
          </w:p>
        </w:tc>
        <w:tc>
          <w:tcPr>
            <w:tcW w:w="54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145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 w:eastAsia="仿宋"/>
                <w:kern w:val="0"/>
                <w:sz w:val="20"/>
                <w:szCs w:val="20"/>
              </w:rPr>
            </w:pPr>
          </w:p>
        </w:tc>
      </w:tr>
    </w:tbl>
    <w:p>
      <w:pPr>
        <w:rPr>
          <w:rFonts w:hint="default" w:ascii="仿宋_GB2312" w:hAnsi="仿宋_GB2312" w:eastAsia="仿宋_GB2312" w:cs="仿宋_GB2312"/>
          <w:sz w:val="32"/>
          <w:szCs w:val="32"/>
          <w:lang w:val="en-US" w:eastAsia="zh-CN"/>
        </w:rPr>
      </w:pPr>
    </w:p>
    <w:tbl>
      <w:tblPr>
        <w:tblStyle w:val="6"/>
        <w:tblW w:w="8771" w:type="dxa"/>
        <w:tblInd w:w="-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7"/>
        <w:gridCol w:w="474"/>
        <w:gridCol w:w="358"/>
        <w:gridCol w:w="1326"/>
        <w:gridCol w:w="354"/>
        <w:gridCol w:w="1120"/>
        <w:gridCol w:w="853"/>
        <w:gridCol w:w="77"/>
        <w:gridCol w:w="656"/>
        <w:gridCol w:w="129"/>
        <w:gridCol w:w="140"/>
        <w:gridCol w:w="630"/>
        <w:gridCol w:w="123"/>
        <w:gridCol w:w="663"/>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8771" w:type="dxa"/>
            <w:gridSpan w:val="15"/>
            <w:tcBorders>
              <w:top w:val="nil"/>
              <w:left w:val="nil"/>
              <w:bottom w:val="nil"/>
              <w:right w:val="nil"/>
              <w:tl2br w:val="nil"/>
              <w:tr2bl w:val="nil"/>
            </w:tcBorders>
            <w:tcMar>
              <w:top w:w="15" w:type="dxa"/>
              <w:left w:w="15" w:type="dxa"/>
              <w:right w:w="15" w:type="dxa"/>
            </w:tcMar>
            <w:vAlign w:val="center"/>
          </w:tcPr>
          <w:p>
            <w:pPr>
              <w:widowControl/>
              <w:jc w:val="center"/>
              <w:textAlignment w:val="center"/>
              <w:rPr>
                <w:rFonts w:ascii="仿宋" w:eastAsia="仿宋"/>
                <w:color w:val="000000"/>
                <w:sz w:val="20"/>
                <w:szCs w:val="20"/>
              </w:rPr>
            </w:pPr>
            <w:r>
              <w:rPr>
                <w:rFonts w:hint="eastAsia" w:ascii="仿宋" w:eastAsia="仿宋"/>
                <w:kern w:val="0"/>
                <w:sz w:val="20"/>
                <w:szCs w:val="20"/>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2" w:hRule="atLeast"/>
        </w:trPr>
        <w:tc>
          <w:tcPr>
            <w:tcW w:w="8771" w:type="dxa"/>
            <w:gridSpan w:val="15"/>
            <w:tcBorders>
              <w:top w:val="nil"/>
              <w:left w:val="nil"/>
              <w:bottom w:val="nil"/>
              <w:right w:val="nil"/>
              <w:tl2br w:val="nil"/>
              <w:tr2bl w:val="nil"/>
            </w:tcBorders>
          </w:tcPr>
          <w:p>
            <w:pPr>
              <w:widowControl/>
              <w:spacing w:line="240" w:lineRule="exact"/>
              <w:jc w:val="center"/>
              <w:rPr>
                <w:rFonts w:ascii="仿宋" w:eastAsia="仿宋"/>
                <w:kern w:val="0"/>
                <w:sz w:val="20"/>
                <w:szCs w:val="20"/>
              </w:rPr>
            </w:pPr>
            <w:r>
              <w:rPr>
                <w:rFonts w:hint="eastAsia" w:ascii="仿宋" w:eastAsia="仿宋"/>
                <w:kern w:val="0"/>
                <w:sz w:val="20"/>
                <w:szCs w:val="20"/>
              </w:rPr>
              <w:t xml:space="preserve">（ </w:t>
            </w:r>
            <w:r>
              <w:rPr>
                <w:rFonts w:hint="eastAsia" w:ascii="仿宋" w:eastAsia="仿宋"/>
                <w:kern w:val="0"/>
                <w:sz w:val="20"/>
                <w:szCs w:val="20"/>
                <w:lang w:val="en-US" w:eastAsia="zh-CN"/>
              </w:rPr>
              <w:t>2019</w:t>
            </w:r>
            <w:r>
              <w:rPr>
                <w:rFonts w:hint="eastAsia" w:ascii="仿宋" w:eastAsia="仿宋"/>
                <w:kern w:val="0"/>
                <w:sz w:val="20"/>
                <w:szCs w:val="20"/>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项目名称</w:t>
            </w:r>
          </w:p>
        </w:tc>
        <w:tc>
          <w:tcPr>
            <w:tcW w:w="7850"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eastAsia="zh-CN"/>
              </w:rPr>
              <w:t>大城县</w:t>
            </w:r>
            <w:r>
              <w:rPr>
                <w:rFonts w:hint="eastAsia" w:ascii="仿宋" w:eastAsia="仿宋"/>
                <w:kern w:val="0"/>
                <w:sz w:val="20"/>
                <w:szCs w:val="20"/>
                <w:lang w:val="en-US" w:eastAsia="zh-CN"/>
              </w:rPr>
              <w:t>10个乡镇空气质量自动监测站(国标六参数)建设项目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主管部门</w:t>
            </w:r>
          </w:p>
        </w:tc>
        <w:tc>
          <w:tcPr>
            <w:tcW w:w="315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auto"/>
                <w:kern w:val="0"/>
                <w:sz w:val="20"/>
                <w:szCs w:val="20"/>
                <w:lang w:eastAsia="zh-CN"/>
              </w:rPr>
            </w:pPr>
            <w:r>
              <w:rPr>
                <w:rFonts w:hint="eastAsia" w:ascii="仿宋" w:eastAsia="仿宋"/>
                <w:color w:val="auto"/>
                <w:kern w:val="0"/>
                <w:sz w:val="20"/>
                <w:szCs w:val="20"/>
                <w:lang w:eastAsia="zh-CN"/>
              </w:rPr>
              <w:t>廊坊市生态环境局大城县分局</w:t>
            </w:r>
          </w:p>
        </w:tc>
        <w:tc>
          <w:tcPr>
            <w:tcW w:w="1586"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实施单位</w:t>
            </w:r>
          </w:p>
        </w:tc>
        <w:tc>
          <w:tcPr>
            <w:tcW w:w="310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auto"/>
                <w:kern w:val="0"/>
                <w:sz w:val="20"/>
                <w:szCs w:val="20"/>
                <w:lang w:eastAsia="zh-CN"/>
              </w:rPr>
            </w:pPr>
            <w:r>
              <w:rPr>
                <w:rFonts w:hint="eastAsia" w:ascii="仿宋" w:eastAsia="仿宋"/>
                <w:color w:val="auto"/>
                <w:kern w:val="0"/>
                <w:sz w:val="20"/>
                <w:szCs w:val="20"/>
                <w:lang w:eastAsia="zh-CN"/>
              </w:rPr>
              <w:t>大城县环境保护局环境监测站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trPr>
        <w:tc>
          <w:tcPr>
            <w:tcW w:w="92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项目资金</w:t>
            </w:r>
            <w:r>
              <w:rPr>
                <w:rFonts w:hint="eastAsia" w:ascii="仿宋" w:eastAsia="仿宋"/>
                <w:kern w:val="0"/>
                <w:sz w:val="20"/>
                <w:szCs w:val="20"/>
              </w:rPr>
              <w:br w:type="textWrapping"/>
            </w:r>
            <w:r>
              <w:rPr>
                <w:rFonts w:hint="eastAsia" w:ascii="仿宋" w:eastAsia="仿宋"/>
                <w:kern w:val="0"/>
                <w:sz w:val="20"/>
                <w:szCs w:val="20"/>
              </w:rPr>
              <w:t>（万元）</w:t>
            </w:r>
          </w:p>
        </w:tc>
        <w:tc>
          <w:tcPr>
            <w:tcW w:w="203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11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年初</w:t>
            </w:r>
          </w:p>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预算数</w:t>
            </w:r>
          </w:p>
        </w:tc>
        <w:tc>
          <w:tcPr>
            <w:tcW w:w="8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全年</w:t>
            </w:r>
          </w:p>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预算数</w:t>
            </w:r>
          </w:p>
        </w:tc>
        <w:tc>
          <w:tcPr>
            <w:tcW w:w="862"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全年</w:t>
            </w:r>
          </w:p>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分值</w:t>
            </w:r>
          </w:p>
        </w:tc>
        <w:tc>
          <w:tcPr>
            <w:tcW w:w="7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执行率</w:t>
            </w:r>
          </w:p>
        </w:tc>
        <w:tc>
          <w:tcPr>
            <w:tcW w:w="14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2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ascii="仿宋" w:eastAsia="仿宋"/>
                <w:color w:val="auto"/>
                <w:kern w:val="0"/>
                <w:sz w:val="20"/>
                <w:szCs w:val="20"/>
              </w:rPr>
            </w:pPr>
            <w:r>
              <w:rPr>
                <w:rFonts w:hint="eastAsia" w:ascii="仿宋" w:eastAsia="仿宋"/>
                <w:color w:val="auto"/>
                <w:kern w:val="0"/>
                <w:sz w:val="20"/>
                <w:szCs w:val="20"/>
              </w:rPr>
              <w:t>年度资金总额</w:t>
            </w:r>
          </w:p>
        </w:tc>
        <w:tc>
          <w:tcPr>
            <w:tcW w:w="11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auto"/>
                <w:kern w:val="0"/>
                <w:sz w:val="20"/>
                <w:szCs w:val="20"/>
                <w:lang w:val="en-US" w:eastAsia="zh-CN"/>
              </w:rPr>
            </w:pPr>
            <w:r>
              <w:rPr>
                <w:rFonts w:hint="eastAsia" w:ascii="仿宋" w:eastAsia="仿宋"/>
                <w:color w:val="auto"/>
                <w:kern w:val="0"/>
                <w:sz w:val="20"/>
                <w:szCs w:val="20"/>
                <w:lang w:val="en-US" w:eastAsia="zh-CN"/>
              </w:rPr>
              <w:t>351.0</w:t>
            </w:r>
          </w:p>
        </w:tc>
        <w:tc>
          <w:tcPr>
            <w:tcW w:w="8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lang w:val="en-US" w:eastAsia="zh-CN"/>
              </w:rPr>
              <w:t>351.0</w:t>
            </w:r>
          </w:p>
        </w:tc>
        <w:tc>
          <w:tcPr>
            <w:tcW w:w="862"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lang w:val="en-US" w:eastAsia="zh-CN"/>
              </w:rPr>
              <w:t>351.0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10</w:t>
            </w:r>
          </w:p>
        </w:tc>
        <w:tc>
          <w:tcPr>
            <w:tcW w:w="7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auto"/>
                <w:kern w:val="0"/>
                <w:sz w:val="20"/>
                <w:szCs w:val="20"/>
                <w:lang w:val="en-US" w:eastAsia="zh-CN"/>
              </w:rPr>
            </w:pPr>
            <w:r>
              <w:rPr>
                <w:rFonts w:hint="eastAsia" w:ascii="仿宋" w:eastAsia="仿宋"/>
                <w:color w:val="auto"/>
                <w:kern w:val="0"/>
                <w:sz w:val="20"/>
                <w:szCs w:val="20"/>
                <w:lang w:val="en-US" w:eastAsia="zh-CN"/>
              </w:rPr>
              <w:t>100</w:t>
            </w:r>
          </w:p>
        </w:tc>
        <w:tc>
          <w:tcPr>
            <w:tcW w:w="14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auto"/>
                <w:kern w:val="0"/>
                <w:sz w:val="20"/>
                <w:szCs w:val="20"/>
                <w:lang w:val="en-US" w:eastAsia="zh-CN"/>
              </w:rPr>
            </w:pPr>
            <w:r>
              <w:rPr>
                <w:rFonts w:hint="eastAsia" w:ascii="仿宋" w:eastAsia="仿宋"/>
                <w:color w:val="auto"/>
                <w:kern w:val="0"/>
                <w:sz w:val="20"/>
                <w:szCs w:val="20"/>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2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auto"/>
                <w:kern w:val="0"/>
                <w:sz w:val="20"/>
                <w:szCs w:val="20"/>
              </w:rPr>
            </w:pPr>
            <w:r>
              <w:rPr>
                <w:rFonts w:hint="eastAsia" w:ascii="仿宋" w:eastAsia="仿宋"/>
                <w:color w:val="auto"/>
                <w:kern w:val="0"/>
                <w:sz w:val="20"/>
                <w:szCs w:val="20"/>
              </w:rPr>
              <w:t>其中：当年财政拨款</w:t>
            </w:r>
          </w:p>
        </w:tc>
        <w:tc>
          <w:tcPr>
            <w:tcW w:w="11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hAnsi="Times New Roman" w:eastAsia="仿宋" w:cs="Times New Roman"/>
                <w:color w:val="auto"/>
                <w:kern w:val="0"/>
                <w:sz w:val="20"/>
                <w:szCs w:val="20"/>
                <w:lang w:val="en-US" w:eastAsia="zh-CN" w:bidi="ar-SA"/>
              </w:rPr>
            </w:pPr>
            <w:r>
              <w:rPr>
                <w:rFonts w:hint="eastAsia" w:ascii="仿宋" w:eastAsia="仿宋"/>
                <w:color w:val="auto"/>
                <w:kern w:val="0"/>
                <w:sz w:val="20"/>
                <w:szCs w:val="20"/>
                <w:lang w:val="en-US" w:eastAsia="zh-CN"/>
              </w:rPr>
              <w:t>351.0</w:t>
            </w:r>
          </w:p>
        </w:tc>
        <w:tc>
          <w:tcPr>
            <w:tcW w:w="8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Times New Roman" w:eastAsia="仿宋" w:cs="Times New Roman"/>
                <w:color w:val="auto"/>
                <w:kern w:val="0"/>
                <w:sz w:val="20"/>
                <w:szCs w:val="20"/>
                <w:lang w:val="en-US" w:eastAsia="zh-CN" w:bidi="ar-SA"/>
              </w:rPr>
            </w:pPr>
            <w:r>
              <w:rPr>
                <w:rFonts w:hint="eastAsia" w:ascii="仿宋" w:eastAsia="仿宋"/>
                <w:color w:val="auto"/>
                <w:kern w:val="0"/>
                <w:sz w:val="20"/>
                <w:szCs w:val="20"/>
                <w:lang w:val="en-US" w:eastAsia="zh-CN"/>
              </w:rPr>
              <w:t>351.0</w:t>
            </w:r>
          </w:p>
        </w:tc>
        <w:tc>
          <w:tcPr>
            <w:tcW w:w="862"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hAnsi="Times New Roman" w:eastAsia="仿宋" w:cs="Times New Roman"/>
                <w:color w:val="auto"/>
                <w:kern w:val="0"/>
                <w:sz w:val="20"/>
                <w:szCs w:val="20"/>
                <w:lang w:val="en-US" w:eastAsia="zh-CN" w:bidi="ar-SA"/>
              </w:rPr>
            </w:pPr>
            <w:r>
              <w:rPr>
                <w:rFonts w:hint="eastAsia" w:ascii="仿宋" w:eastAsia="仿宋"/>
                <w:color w:val="auto"/>
                <w:kern w:val="0"/>
                <w:sz w:val="20"/>
                <w:szCs w:val="20"/>
                <w:lang w:val="en-US" w:eastAsia="zh-CN"/>
              </w:rPr>
              <w:t>351.0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w:t>
            </w:r>
          </w:p>
        </w:tc>
        <w:tc>
          <w:tcPr>
            <w:tcW w:w="7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auto"/>
                <w:kern w:val="0"/>
                <w:sz w:val="20"/>
                <w:szCs w:val="20"/>
                <w:lang w:val="en-US" w:eastAsia="zh-CN"/>
              </w:rPr>
            </w:pPr>
            <w:r>
              <w:rPr>
                <w:rFonts w:hint="eastAsia" w:ascii="仿宋" w:eastAsia="仿宋"/>
                <w:color w:val="auto"/>
                <w:kern w:val="0"/>
                <w:sz w:val="20"/>
                <w:szCs w:val="20"/>
                <w:lang w:val="en-US" w:eastAsia="zh-CN"/>
              </w:rPr>
              <w:t>100</w:t>
            </w:r>
          </w:p>
        </w:tc>
        <w:tc>
          <w:tcPr>
            <w:tcW w:w="14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2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color w:val="auto"/>
                <w:kern w:val="0"/>
                <w:sz w:val="20"/>
                <w:szCs w:val="20"/>
              </w:rPr>
            </w:pPr>
            <w:r>
              <w:rPr>
                <w:rFonts w:hint="eastAsia" w:ascii="仿宋" w:eastAsia="仿宋"/>
                <w:color w:val="auto"/>
                <w:kern w:val="0"/>
                <w:sz w:val="20"/>
                <w:szCs w:val="20"/>
              </w:rPr>
              <w:t xml:space="preserve"> 上年结转资金</w:t>
            </w:r>
          </w:p>
        </w:tc>
        <w:tc>
          <w:tcPr>
            <w:tcW w:w="11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8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862"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w:t>
            </w:r>
          </w:p>
        </w:tc>
        <w:tc>
          <w:tcPr>
            <w:tcW w:w="7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14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92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color w:val="auto"/>
                <w:kern w:val="0"/>
                <w:sz w:val="20"/>
                <w:szCs w:val="20"/>
              </w:rPr>
            </w:pPr>
            <w:r>
              <w:rPr>
                <w:rFonts w:hint="eastAsia" w:ascii="仿宋" w:eastAsia="仿宋"/>
                <w:color w:val="auto"/>
                <w:kern w:val="0"/>
                <w:sz w:val="20"/>
                <w:szCs w:val="20"/>
              </w:rPr>
              <w:t xml:space="preserve">  其他资金</w:t>
            </w:r>
          </w:p>
        </w:tc>
        <w:tc>
          <w:tcPr>
            <w:tcW w:w="11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85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862"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w:t>
            </w:r>
          </w:p>
        </w:tc>
        <w:tc>
          <w:tcPr>
            <w:tcW w:w="78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p>
        </w:tc>
        <w:tc>
          <w:tcPr>
            <w:tcW w:w="142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trPr>
        <w:tc>
          <w:tcPr>
            <w:tcW w:w="447"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年度总体目标</w:t>
            </w:r>
          </w:p>
        </w:tc>
        <w:tc>
          <w:tcPr>
            <w:tcW w:w="3632"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预期目标</w:t>
            </w:r>
          </w:p>
        </w:tc>
        <w:tc>
          <w:tcPr>
            <w:tcW w:w="4692" w:type="dxa"/>
            <w:gridSpan w:val="9"/>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7"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3632"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default" w:ascii="仿宋" w:eastAsia="仿宋"/>
                <w:color w:val="auto"/>
                <w:kern w:val="0"/>
                <w:sz w:val="20"/>
                <w:szCs w:val="20"/>
                <w:lang w:val="en-US" w:eastAsia="zh-CN"/>
              </w:rPr>
            </w:pPr>
            <w:r>
              <w:rPr>
                <w:rFonts w:hint="eastAsia" w:ascii="仿宋" w:eastAsia="仿宋"/>
                <w:color w:val="auto"/>
                <w:kern w:val="0"/>
                <w:sz w:val="20"/>
                <w:szCs w:val="20"/>
                <w:lang w:val="en-US" w:eastAsia="zh-CN"/>
              </w:rPr>
              <w:t>2019年6月30日完成</w:t>
            </w:r>
            <w:r>
              <w:rPr>
                <w:rFonts w:hint="eastAsia" w:ascii="仿宋" w:eastAsia="仿宋"/>
                <w:color w:val="auto"/>
                <w:kern w:val="0"/>
                <w:sz w:val="20"/>
                <w:szCs w:val="20"/>
                <w:lang w:eastAsia="zh-CN"/>
              </w:rPr>
              <w:t>大城县</w:t>
            </w:r>
            <w:r>
              <w:rPr>
                <w:rFonts w:hint="eastAsia" w:ascii="仿宋" w:eastAsia="仿宋"/>
                <w:color w:val="auto"/>
                <w:kern w:val="0"/>
                <w:sz w:val="20"/>
                <w:szCs w:val="20"/>
                <w:lang w:val="en-US" w:eastAsia="zh-CN"/>
              </w:rPr>
              <w:t>10个乡镇空气质量自动监测站采购安装验收工作</w:t>
            </w:r>
          </w:p>
        </w:tc>
        <w:tc>
          <w:tcPr>
            <w:tcW w:w="4692" w:type="dxa"/>
            <w:gridSpan w:val="9"/>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ascii="仿宋" w:eastAsia="仿宋"/>
                <w:color w:val="auto"/>
                <w:kern w:val="0"/>
                <w:sz w:val="20"/>
                <w:szCs w:val="20"/>
              </w:rPr>
            </w:pPr>
            <w:r>
              <w:rPr>
                <w:rFonts w:hint="eastAsia" w:ascii="仿宋" w:eastAsia="仿宋"/>
                <w:color w:val="auto"/>
                <w:kern w:val="0"/>
                <w:sz w:val="20"/>
                <w:szCs w:val="20"/>
                <w:lang w:val="en-US" w:eastAsia="zh-CN"/>
              </w:rPr>
              <w:t>2019年6月20日完成</w:t>
            </w:r>
            <w:r>
              <w:rPr>
                <w:rFonts w:hint="eastAsia" w:ascii="仿宋" w:eastAsia="仿宋"/>
                <w:color w:val="auto"/>
                <w:kern w:val="0"/>
                <w:sz w:val="20"/>
                <w:szCs w:val="20"/>
                <w:lang w:eastAsia="zh-CN"/>
              </w:rPr>
              <w:t>大城县</w:t>
            </w:r>
            <w:r>
              <w:rPr>
                <w:rFonts w:hint="eastAsia" w:ascii="仿宋" w:eastAsia="仿宋"/>
                <w:color w:val="auto"/>
                <w:kern w:val="0"/>
                <w:sz w:val="20"/>
                <w:szCs w:val="20"/>
                <w:lang w:val="en-US" w:eastAsia="zh-CN"/>
              </w:rPr>
              <w:t>10个乡镇空气质量自动监测站采购安装验收工作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7" w:hRule="atLeast"/>
        </w:trPr>
        <w:tc>
          <w:tcPr>
            <w:tcW w:w="447"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绩</w:t>
            </w:r>
            <w:r>
              <w:rPr>
                <w:rFonts w:hint="eastAsia" w:ascii="仿宋" w:eastAsia="仿宋"/>
                <w:kern w:val="0"/>
                <w:sz w:val="20"/>
                <w:szCs w:val="20"/>
              </w:rPr>
              <w:br w:type="textWrapping"/>
            </w:r>
            <w:r>
              <w:rPr>
                <w:rFonts w:hint="eastAsia" w:ascii="仿宋" w:eastAsia="仿宋"/>
                <w:kern w:val="0"/>
                <w:sz w:val="20"/>
                <w:szCs w:val="20"/>
              </w:rPr>
              <w:t>效</w:t>
            </w:r>
            <w:r>
              <w:rPr>
                <w:rFonts w:hint="eastAsia" w:ascii="仿宋" w:eastAsia="仿宋"/>
                <w:kern w:val="0"/>
                <w:sz w:val="20"/>
                <w:szCs w:val="20"/>
              </w:rPr>
              <w:br w:type="textWrapping"/>
            </w:r>
            <w:r>
              <w:rPr>
                <w:rFonts w:hint="eastAsia" w:ascii="仿宋" w:eastAsia="仿宋"/>
                <w:kern w:val="0"/>
                <w:sz w:val="20"/>
                <w:szCs w:val="20"/>
              </w:rPr>
              <w:t>指</w:t>
            </w:r>
            <w:r>
              <w:rPr>
                <w:rFonts w:hint="eastAsia" w:ascii="仿宋" w:eastAsia="仿宋"/>
                <w:kern w:val="0"/>
                <w:sz w:val="20"/>
                <w:szCs w:val="20"/>
              </w:rPr>
              <w:br w:type="textWrapping"/>
            </w:r>
            <w:r>
              <w:rPr>
                <w:rFonts w:hint="eastAsia" w:ascii="仿宋" w:eastAsia="仿宋"/>
                <w:kern w:val="0"/>
                <w:sz w:val="20"/>
                <w:szCs w:val="20"/>
              </w:rPr>
              <w:t>标</w:t>
            </w:r>
          </w:p>
        </w:tc>
        <w:tc>
          <w:tcPr>
            <w:tcW w:w="8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一级</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3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二级指标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三级指标</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年度</w:t>
            </w:r>
          </w:p>
          <w:p>
            <w:pPr>
              <w:widowControl/>
              <w:spacing w:line="240" w:lineRule="exact"/>
              <w:jc w:val="center"/>
              <w:rPr>
                <w:rFonts w:ascii="仿宋" w:eastAsia="仿宋"/>
                <w:kern w:val="0"/>
                <w:sz w:val="20"/>
                <w:szCs w:val="20"/>
              </w:rPr>
            </w:pPr>
            <w:r>
              <w:rPr>
                <w:rFonts w:hint="eastAsia" w:ascii="仿宋" w:eastAsia="仿宋"/>
                <w:kern w:val="0"/>
                <w:sz w:val="20"/>
                <w:szCs w:val="20"/>
              </w:rPr>
              <w:t>指标值</w:t>
            </w: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实际</w:t>
            </w:r>
          </w:p>
          <w:p>
            <w:pPr>
              <w:widowControl/>
              <w:spacing w:line="240" w:lineRule="exact"/>
              <w:jc w:val="center"/>
              <w:rPr>
                <w:rFonts w:ascii="仿宋" w:eastAsia="仿宋"/>
                <w:kern w:val="0"/>
                <w:sz w:val="20"/>
                <w:szCs w:val="20"/>
              </w:rPr>
            </w:pPr>
            <w:r>
              <w:rPr>
                <w:rFonts w:hint="eastAsia" w:ascii="仿宋" w:eastAsia="仿宋"/>
                <w:kern w:val="0"/>
                <w:sz w:val="20"/>
                <w:szCs w:val="20"/>
              </w:rPr>
              <w:t>完成值</w:t>
            </w: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分值</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得分</w:t>
            </w: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产出</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数量指标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rPr>
            </w:pPr>
            <w:r>
              <w:rPr>
                <w:rFonts w:hint="eastAsia" w:ascii="仿宋" w:eastAsia="仿宋"/>
                <w:kern w:val="0"/>
                <w:sz w:val="20"/>
                <w:szCs w:val="20"/>
                <w:lang w:val="en-US" w:eastAsia="zh-CN"/>
              </w:rPr>
              <w:t>购买设备数量</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cs="宋体"/>
                <w:kern w:val="0"/>
                <w:sz w:val="20"/>
                <w:szCs w:val="20"/>
                <w:lang w:val="en-US" w:eastAsia="zh-CN"/>
              </w:rPr>
              <w:t>90套</w:t>
            </w: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90套</w:t>
            </w: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50</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10</w:t>
            </w: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质量指标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kern w:val="0"/>
                <w:sz w:val="20"/>
                <w:szCs w:val="20"/>
                <w:lang w:eastAsia="zh-CN"/>
              </w:rPr>
              <w:t>设备验收合格率</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cs="宋体"/>
                <w:kern w:val="0"/>
                <w:sz w:val="20"/>
                <w:szCs w:val="20"/>
                <w:lang w:val="en-US" w:eastAsia="zh-CN"/>
              </w:rPr>
              <w:t>100%</w:t>
            </w: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宋体" w:hAnsi="宋体" w:cs="宋体"/>
                <w:kern w:val="0"/>
                <w:sz w:val="20"/>
                <w:szCs w:val="20"/>
                <w:lang w:val="en-US" w:eastAsia="zh-CN"/>
              </w:rPr>
              <w:t>100</w:t>
            </w:r>
            <w:r>
              <w:rPr>
                <w:rFonts w:hint="eastAsia" w:ascii="仿宋" w:eastAsia="仿宋"/>
                <w:kern w:val="0"/>
                <w:sz w:val="20"/>
                <w:szCs w:val="20"/>
                <w:lang w:val="en-US" w:eastAsia="zh-CN"/>
              </w:rPr>
              <w:t>%</w:t>
            </w: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20</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20</w:t>
            </w: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时效指标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default" w:ascii="仿宋" w:eastAsia="仿宋"/>
                <w:color w:val="000000"/>
                <w:kern w:val="0"/>
                <w:sz w:val="20"/>
                <w:szCs w:val="20"/>
                <w:lang w:val="en-US"/>
              </w:rPr>
            </w:pPr>
            <w:r>
              <w:rPr>
                <w:rFonts w:hint="eastAsia" w:ascii="仿宋" w:eastAsia="仿宋"/>
                <w:color w:val="000000"/>
                <w:kern w:val="0"/>
                <w:sz w:val="20"/>
                <w:szCs w:val="20"/>
                <w:lang w:eastAsia="zh-CN"/>
              </w:rPr>
              <w:t>设备安装完成及时率</w:t>
            </w:r>
          </w:p>
        </w:tc>
        <w:tc>
          <w:tcPr>
            <w:tcW w:w="9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6月30日</w:t>
            </w:r>
          </w:p>
        </w:tc>
        <w:tc>
          <w:tcPr>
            <w:tcW w:w="9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6月20日</w:t>
            </w: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10</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10</w:t>
            </w: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成本指标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kern w:val="0"/>
                <w:sz w:val="20"/>
                <w:szCs w:val="20"/>
                <w:lang w:eastAsia="zh-CN"/>
              </w:rPr>
              <w:t>采购设备总成本</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351</w:t>
            </w: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351</w:t>
            </w: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10</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lang w:val="en-US" w:eastAsia="zh-CN"/>
              </w:rPr>
            </w:pPr>
            <w:r>
              <w:rPr>
                <w:rFonts w:hint="eastAsia" w:ascii="仿宋" w:eastAsia="仿宋"/>
                <w:kern w:val="0"/>
                <w:sz w:val="20"/>
                <w:szCs w:val="20"/>
                <w:lang w:val="en-US" w:eastAsia="zh-CN"/>
              </w:rPr>
              <w:t>10</w:t>
            </w: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kern w:val="0"/>
                <w:sz w:val="20"/>
                <w:szCs w:val="20"/>
              </w:rPr>
            </w:pPr>
            <w:r>
              <w:rPr>
                <w:rFonts w:hint="eastAsia" w:ascii="仿宋" w:eastAsia="仿宋"/>
                <w:kern w:val="0"/>
                <w:sz w:val="20"/>
                <w:szCs w:val="20"/>
              </w:rPr>
              <w:t>效益</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p>
            <w:pPr>
              <w:widowControl/>
              <w:spacing w:line="240" w:lineRule="exact"/>
              <w:jc w:val="center"/>
              <w:rPr>
                <w:rFonts w:ascii="仿宋" w:eastAsia="仿宋"/>
                <w:kern w:val="0"/>
                <w:sz w:val="20"/>
                <w:szCs w:val="20"/>
              </w:rPr>
            </w:pP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经济效益指标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val="en-US" w:eastAsia="zh-CN"/>
              </w:rPr>
            </w:pPr>
            <w:r>
              <w:rPr>
                <w:rFonts w:hint="eastAsia" w:ascii="仿宋" w:eastAsia="仿宋"/>
                <w:color w:val="000000"/>
                <w:kern w:val="0"/>
                <w:sz w:val="20"/>
                <w:szCs w:val="20"/>
                <w:lang w:val="en-US" w:eastAsia="zh-CN"/>
              </w:rPr>
              <w:t>经济效益</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社会效益指标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ascii="仿宋" w:eastAsia="仿宋"/>
                <w:color w:val="000000"/>
                <w:kern w:val="0"/>
                <w:sz w:val="20"/>
                <w:szCs w:val="20"/>
              </w:rPr>
            </w:pPr>
            <w:r>
              <w:rPr>
                <w:rFonts w:hint="eastAsia" w:ascii="仿宋" w:eastAsia="仿宋"/>
                <w:kern w:val="0"/>
                <w:sz w:val="20"/>
                <w:szCs w:val="20"/>
                <w:lang w:eastAsia="zh-CN"/>
              </w:rPr>
              <w:t>空气质量改善率</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auto"/>
                <w:kern w:val="0"/>
                <w:sz w:val="20"/>
                <w:szCs w:val="20"/>
                <w:lang w:val="en-US" w:eastAsia="zh-CN"/>
              </w:rPr>
            </w:pPr>
            <w:r>
              <w:rPr>
                <w:rFonts w:hint="eastAsia" w:ascii="仿宋" w:eastAsia="仿宋"/>
                <w:color w:val="auto"/>
                <w:kern w:val="0"/>
                <w:sz w:val="20"/>
                <w:szCs w:val="20"/>
                <w:lang w:eastAsia="zh-CN"/>
              </w:rPr>
              <w:t>≥</w:t>
            </w:r>
            <w:r>
              <w:rPr>
                <w:rFonts w:hint="eastAsia" w:ascii="仿宋" w:eastAsia="仿宋"/>
                <w:color w:val="auto"/>
                <w:kern w:val="0"/>
                <w:sz w:val="20"/>
                <w:szCs w:val="20"/>
                <w:lang w:val="en-US" w:eastAsia="zh-CN"/>
              </w:rPr>
              <w:t>0.3%</w:t>
            </w: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auto"/>
                <w:kern w:val="0"/>
                <w:sz w:val="20"/>
                <w:szCs w:val="20"/>
                <w:lang w:val="en-US" w:eastAsia="zh-CN"/>
              </w:rPr>
            </w:pPr>
            <w:r>
              <w:rPr>
                <w:rFonts w:hint="eastAsia" w:ascii="仿宋" w:eastAsia="仿宋"/>
                <w:color w:val="auto"/>
                <w:kern w:val="0"/>
                <w:sz w:val="20"/>
                <w:szCs w:val="20"/>
                <w:lang w:eastAsia="zh-CN"/>
              </w:rPr>
              <w:t>≥</w:t>
            </w:r>
            <w:r>
              <w:rPr>
                <w:rFonts w:hint="eastAsia" w:ascii="仿宋" w:eastAsia="仿宋"/>
                <w:color w:val="auto"/>
                <w:kern w:val="0"/>
                <w:sz w:val="20"/>
                <w:szCs w:val="20"/>
                <w:lang w:val="en-US" w:eastAsia="zh-CN"/>
              </w:rPr>
              <w:t>0.34%</w:t>
            </w: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rPr>
            </w:pPr>
            <w:r>
              <w:rPr>
                <w:rFonts w:hint="eastAsia" w:ascii="仿宋" w:eastAsia="仿宋"/>
                <w:kern w:val="0"/>
                <w:sz w:val="20"/>
                <w:szCs w:val="20"/>
                <w:lang w:val="en-US" w:eastAsia="zh-CN"/>
              </w:rPr>
              <w:t>20</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20</w:t>
            </w: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生态效益指标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监测工作正常开展率</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auto"/>
                <w:kern w:val="0"/>
                <w:sz w:val="20"/>
                <w:szCs w:val="20"/>
                <w:lang w:val="en-US" w:eastAsia="zh-CN"/>
              </w:rPr>
            </w:pPr>
            <w:r>
              <w:rPr>
                <w:rFonts w:hint="eastAsia" w:ascii="仿宋" w:eastAsia="仿宋"/>
                <w:color w:val="auto"/>
                <w:kern w:val="0"/>
                <w:sz w:val="20"/>
                <w:szCs w:val="20"/>
                <w:lang w:eastAsia="zh-CN"/>
              </w:rPr>
              <w:t>≥</w:t>
            </w:r>
            <w:r>
              <w:rPr>
                <w:rFonts w:hint="eastAsia" w:ascii="仿宋" w:eastAsia="仿宋"/>
                <w:color w:val="auto"/>
                <w:kern w:val="0"/>
                <w:sz w:val="20"/>
                <w:szCs w:val="20"/>
                <w:lang w:val="en-US" w:eastAsia="zh-CN"/>
              </w:rPr>
              <w:t>90%</w:t>
            </w: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ascii="仿宋" w:eastAsia="仿宋"/>
                <w:color w:val="auto"/>
                <w:kern w:val="0"/>
                <w:sz w:val="20"/>
                <w:szCs w:val="20"/>
              </w:rPr>
            </w:pPr>
            <w:r>
              <w:rPr>
                <w:rFonts w:hint="eastAsia" w:ascii="仿宋" w:eastAsia="仿宋"/>
                <w:color w:val="auto"/>
                <w:kern w:val="0"/>
                <w:sz w:val="20"/>
                <w:szCs w:val="20"/>
                <w:lang w:val="en-US" w:eastAsia="zh-CN"/>
              </w:rPr>
              <w:t>100%</w:t>
            </w:r>
          </w:p>
        </w:tc>
        <w:tc>
          <w:tcPr>
            <w:tcW w:w="7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vMerge w:val="continue"/>
            <w:tcBorders>
              <w:top w:val="nil"/>
              <w:left w:val="single" w:color="auto" w:sz="4" w:space="0"/>
              <w:bottom w:val="single" w:color="auto" w:sz="4" w:space="0"/>
              <w:right w:val="single" w:color="auto" w:sz="4" w:space="0"/>
              <w:tl2br w:val="nil"/>
              <w:tr2bl w:val="nil"/>
            </w:tcBorders>
            <w:vAlign w:val="center"/>
          </w:tcPr>
          <w:p/>
        </w:tc>
        <w:tc>
          <w:tcPr>
            <w:tcW w:w="132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可持续影响指标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可持续效益</w:t>
            </w:r>
          </w:p>
        </w:tc>
        <w:tc>
          <w:tcPr>
            <w:tcW w:w="93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92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7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66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c>
          <w:tcPr>
            <w:tcW w:w="142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trPr>
        <w:tc>
          <w:tcPr>
            <w:tcW w:w="447" w:type="dxa"/>
            <w:vMerge w:val="continue"/>
            <w:tcBorders>
              <w:top w:val="nil"/>
              <w:left w:val="single" w:color="auto" w:sz="4" w:space="0"/>
              <w:bottom w:val="single" w:color="auto" w:sz="4" w:space="0"/>
              <w:right w:val="single" w:color="auto" w:sz="4" w:space="0"/>
              <w:tl2br w:val="nil"/>
              <w:tr2bl w:val="nil"/>
            </w:tcBorders>
            <w:vAlign w:val="center"/>
          </w:tcPr>
          <w:p/>
        </w:tc>
        <w:tc>
          <w:tcPr>
            <w:tcW w:w="832" w:type="dxa"/>
            <w:gridSpan w:val="2"/>
            <w:tcBorders>
              <w:top w:val="nil"/>
              <w:left w:val="single" w:color="auto" w:sz="4" w:space="0"/>
              <w:bottom w:val="nil"/>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满意度</w:t>
            </w:r>
          </w:p>
          <w:p>
            <w:pPr>
              <w:widowControl/>
              <w:spacing w:line="240" w:lineRule="exact"/>
              <w:jc w:val="center"/>
              <w:rPr>
                <w:rFonts w:ascii="仿宋" w:eastAsia="仿宋"/>
                <w:kern w:val="0"/>
                <w:sz w:val="20"/>
                <w:szCs w:val="20"/>
              </w:rPr>
            </w:pPr>
            <w:r>
              <w:rPr>
                <w:rFonts w:hint="eastAsia" w:ascii="仿宋" w:eastAsia="仿宋"/>
                <w:kern w:val="0"/>
                <w:sz w:val="20"/>
                <w:szCs w:val="20"/>
              </w:rPr>
              <w:t>指标</w:t>
            </w:r>
          </w:p>
        </w:tc>
        <w:tc>
          <w:tcPr>
            <w:tcW w:w="132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kern w:val="0"/>
                <w:sz w:val="20"/>
                <w:szCs w:val="20"/>
              </w:rPr>
              <w:t>服务对象满意度指标</w:t>
            </w:r>
          </w:p>
        </w:tc>
        <w:tc>
          <w:tcPr>
            <w:tcW w:w="147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 w:eastAsia="仿宋"/>
                <w:color w:val="000000"/>
                <w:kern w:val="0"/>
                <w:sz w:val="20"/>
                <w:szCs w:val="20"/>
                <w:lang w:eastAsia="zh-CN"/>
              </w:rPr>
            </w:pPr>
            <w:r>
              <w:rPr>
                <w:rFonts w:hint="eastAsia" w:ascii="仿宋" w:eastAsia="仿宋"/>
                <w:color w:val="000000"/>
                <w:kern w:val="0"/>
                <w:sz w:val="20"/>
                <w:szCs w:val="20"/>
                <w:lang w:eastAsia="zh-CN"/>
              </w:rPr>
              <w:t>仪器使用人员满意度</w:t>
            </w:r>
          </w:p>
        </w:tc>
        <w:tc>
          <w:tcPr>
            <w:tcW w:w="93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95%</w:t>
            </w:r>
          </w:p>
        </w:tc>
        <w:tc>
          <w:tcPr>
            <w:tcW w:w="925" w:type="dxa"/>
            <w:gridSpan w:val="3"/>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100%</w:t>
            </w:r>
          </w:p>
        </w:tc>
        <w:tc>
          <w:tcPr>
            <w:tcW w:w="753"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6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 w:eastAsia="仿宋"/>
                <w:kern w:val="0"/>
                <w:sz w:val="20"/>
                <w:szCs w:val="20"/>
                <w:lang w:val="en-US" w:eastAsia="zh-CN"/>
              </w:rPr>
            </w:pPr>
            <w:r>
              <w:rPr>
                <w:rFonts w:hint="eastAsia" w:ascii="仿宋" w:eastAsia="仿宋"/>
                <w:kern w:val="0"/>
                <w:sz w:val="20"/>
                <w:szCs w:val="20"/>
                <w:lang w:val="en-US" w:eastAsia="zh-CN"/>
              </w:rPr>
              <w:t>15</w:t>
            </w: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2" w:hRule="atLeast"/>
        </w:trPr>
        <w:tc>
          <w:tcPr>
            <w:tcW w:w="593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default" w:ascii="仿宋" w:eastAsia="仿宋"/>
                <w:color w:val="000000"/>
                <w:kern w:val="0"/>
                <w:sz w:val="20"/>
                <w:szCs w:val="20"/>
                <w:lang w:val="en-US" w:eastAsia="zh-CN"/>
              </w:rPr>
            </w:pPr>
            <w:r>
              <w:rPr>
                <w:rFonts w:hint="eastAsia" w:ascii="仿宋" w:eastAsia="仿宋"/>
                <w:color w:val="000000"/>
                <w:kern w:val="0"/>
                <w:sz w:val="20"/>
                <w:szCs w:val="20"/>
              </w:rPr>
              <w:t>总分</w:t>
            </w:r>
          </w:p>
        </w:tc>
        <w:tc>
          <w:tcPr>
            <w:tcW w:w="753" w:type="dxa"/>
            <w:gridSpan w:val="2"/>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 w:eastAsia="仿宋"/>
                <w:color w:val="000000"/>
                <w:kern w:val="0"/>
                <w:sz w:val="20"/>
                <w:szCs w:val="20"/>
                <w:lang w:val="en-US" w:eastAsia="zh-CN"/>
              </w:rPr>
            </w:pPr>
            <w:r>
              <w:rPr>
                <w:rFonts w:hint="eastAsia" w:ascii="仿宋" w:eastAsia="仿宋"/>
                <w:color w:val="000000"/>
                <w:kern w:val="0"/>
                <w:sz w:val="20"/>
                <w:szCs w:val="20"/>
                <w:lang w:val="en-US" w:eastAsia="zh-CN"/>
              </w:rPr>
              <w:t>100</w:t>
            </w:r>
          </w:p>
        </w:tc>
        <w:tc>
          <w:tcPr>
            <w:tcW w:w="66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r>
              <w:rPr>
                <w:rFonts w:hint="eastAsia" w:ascii="仿宋" w:eastAsia="仿宋"/>
                <w:color w:val="000000"/>
                <w:kern w:val="0"/>
                <w:sz w:val="20"/>
                <w:szCs w:val="20"/>
              </w:rPr>
              <w:t>100</w:t>
            </w:r>
          </w:p>
        </w:tc>
        <w:tc>
          <w:tcPr>
            <w:tcW w:w="142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ascii="仿宋" w:eastAsia="仿宋"/>
                <w:kern w:val="0"/>
                <w:sz w:val="20"/>
                <w:szCs w:val="20"/>
              </w:rPr>
            </w:pPr>
          </w:p>
        </w:tc>
      </w:tr>
    </w:tbl>
    <w:p>
      <w:pPr>
        <w:rPr>
          <w:rFonts w:hint="default" w:ascii="仿宋_GB2312" w:hAnsi="仿宋_GB2312" w:eastAsia="仿宋_GB2312" w:cs="仿宋_GB2312"/>
          <w:sz w:val="32"/>
          <w:szCs w:val="32"/>
          <w:lang w:val="en-US" w:eastAsia="zh-CN"/>
        </w:rPr>
      </w:pPr>
    </w:p>
    <w:p>
      <w:pPr>
        <w:keepNext/>
        <w:keepLines/>
        <w:numPr>
          <w:ilvl w:val="0"/>
          <w:numId w:val="0"/>
        </w:numPr>
        <w:snapToGrid w:val="0"/>
        <w:spacing w:line="580" w:lineRule="exact"/>
        <w:outlineLvl w:val="1"/>
        <w:rPr>
          <w:rFonts w:hint="eastAsia" w:ascii="仿宋_GB2312" w:hAnsi="仿宋_GB2312" w:eastAsia="仿宋_GB2312" w:cs="仿宋_GB2312"/>
          <w:b/>
          <w:bCs/>
          <w:sz w:val="32"/>
          <w:szCs w:val="32"/>
        </w:rPr>
      </w:pPr>
    </w:p>
    <w:p>
      <w:pPr>
        <w:keepNext/>
        <w:keepLines/>
        <w:numPr>
          <w:ilvl w:val="0"/>
          <w:numId w:val="0"/>
        </w:numPr>
        <w:snapToGrid w:val="0"/>
        <w:spacing w:line="580" w:lineRule="exact"/>
        <w:ind w:firstLine="321" w:firstLineChars="1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财政评价项目绩效评价结果</w:t>
      </w:r>
    </w:p>
    <w:p>
      <w:pPr>
        <w:keepNext/>
        <w:keepLines/>
        <w:numPr>
          <w:ilvl w:val="0"/>
          <w:numId w:val="0"/>
        </w:numPr>
        <w:snapToGrid w:val="0"/>
        <w:spacing w:line="580" w:lineRule="exact"/>
        <w:ind w:left="320" w:leftChars="0"/>
        <w:outlineLvl w:val="1"/>
        <w:rPr>
          <w:rFonts w:hint="eastAsia" w:ascii="黑体" w:hAnsi="Calibri" w:eastAsia="黑体" w:cs="Times New Roman"/>
          <w:sz w:val="32"/>
          <w:szCs w:val="32"/>
          <w:lang w:eastAsia="zh-CN"/>
        </w:rPr>
      </w:pPr>
      <w:r>
        <w:rPr>
          <w:rFonts w:hint="eastAsia" w:ascii="仿宋_GB2312" w:hAnsi="Times New Roman" w:eastAsia="仿宋_GB2312" w:cs="DengXian-Regular"/>
          <w:sz w:val="32"/>
          <w:szCs w:val="32"/>
          <w:lang w:val="en-US" w:eastAsia="zh-CN"/>
        </w:rPr>
        <w:t>无</w:t>
      </w:r>
    </w:p>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lang w:eastAsia="zh-CN"/>
        </w:rPr>
        <w:t>　</w:t>
      </w: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万元，比2018年度减少</w:t>
      </w:r>
      <w:r>
        <w:rPr>
          <w:rFonts w:hint="eastAsia" w:ascii="仿宋_GB2312" w:hAnsi="Times New Roman" w:eastAsia="仿宋_GB2312" w:cs="DengXian-Regular"/>
          <w:sz w:val="32"/>
          <w:szCs w:val="32"/>
          <w:lang w:val="en-US" w:eastAsia="zh-CN"/>
        </w:rPr>
        <w:t>59.15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我单位机构改革，</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1153.78</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796.8</w:t>
      </w:r>
      <w:r>
        <w:rPr>
          <w:rFonts w:ascii="仿宋_GB2312" w:hAnsi="仿宋_GB2312" w:eastAsia="仿宋_GB2312" w:cs="仿宋_GB2312"/>
          <w:color w:val="000000"/>
          <w:kern w:val="0"/>
          <w:sz w:val="32"/>
          <w:szCs w:val="32"/>
          <w:lang w:bidi="ar"/>
        </w:rPr>
        <w:t>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万元、政府采购服务支出</w:t>
      </w:r>
      <w:r>
        <w:rPr>
          <w:rFonts w:hint="eastAsia" w:ascii="仿宋_GB2312" w:hAnsi="仿宋_GB2312" w:eastAsia="仿宋_GB2312" w:cs="仿宋_GB2312"/>
          <w:color w:val="000000"/>
          <w:kern w:val="0"/>
          <w:sz w:val="32"/>
          <w:szCs w:val="32"/>
          <w:lang w:val="en-US" w:eastAsia="zh-CN" w:bidi="ar"/>
        </w:rPr>
        <w:t>356.98</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1094.3</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94.84</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702</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60.84</w:t>
      </w:r>
      <w:r>
        <w:rPr>
          <w:rFonts w:ascii="仿宋_GB2312" w:hAnsi="仿宋_GB2312" w:eastAsia="仿宋_GB2312" w:cs="仿宋_GB2312"/>
          <w:color w:val="000000"/>
          <w:kern w:val="0"/>
          <w:sz w:val="32"/>
          <w:szCs w:val="32"/>
          <w:lang w:bidi="ar"/>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辆，主要</w:t>
      </w:r>
      <w:r>
        <w:rPr>
          <w:rFonts w:hint="eastAsia" w:ascii="仿宋_GB2312" w:hAnsi="Times New Roman" w:eastAsia="仿宋_GB2312" w:cs="DengXian-Regular"/>
          <w:sz w:val="32"/>
          <w:szCs w:val="32"/>
          <w:lang w:eastAsia="zh-CN"/>
        </w:rPr>
        <w:t>是我单位机构改革，所有车辆全部上划，</w:t>
      </w:r>
      <w:r>
        <w:rPr>
          <w:rFonts w:hint="eastAsia" w:ascii="仿宋_GB2312" w:hAnsi="Times New Roman" w:eastAsia="仿宋_GB2312" w:cs="DengXian-Regular"/>
          <w:sz w:val="32"/>
          <w:szCs w:val="32"/>
          <w:lang w:val="en-US" w:eastAsia="zh-CN"/>
        </w:rPr>
        <w:t>2019年</w:t>
      </w:r>
      <w:r>
        <w:rPr>
          <w:rFonts w:hint="eastAsia" w:ascii="仿宋_GB2312" w:hAnsi="Times New Roman" w:eastAsia="仿宋_GB2312" w:cs="DengXian-Regular"/>
          <w:sz w:val="32"/>
          <w:szCs w:val="32"/>
          <w:lang w:eastAsia="zh-CN"/>
        </w:rPr>
        <w:t>所有公用经费都由廊坊市生态环境局统一核算</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比上年减少</w:t>
      </w:r>
      <w:r>
        <w:rPr>
          <w:rFonts w:hint="eastAsia" w:ascii="仿宋_GB2312" w:hAnsi="Times New Roman" w:eastAsia="仿宋_GB2312" w:cs="DengXian-Regular"/>
          <w:sz w:val="32"/>
          <w:szCs w:val="32"/>
          <w:lang w:val="en-US" w:eastAsia="zh-CN"/>
        </w:rPr>
        <w:t>2台（</w:t>
      </w:r>
      <w:r>
        <w:rPr>
          <w:rFonts w:hint="eastAsia" w:ascii="仿宋_GB2312" w:hAnsi="Times New Roman" w:eastAsia="仿宋_GB2312" w:cs="DengXian-Regular"/>
          <w:sz w:val="32"/>
          <w:szCs w:val="32"/>
        </w:rPr>
        <w:t>套</w:t>
      </w:r>
      <w:r>
        <w:rPr>
          <w:rFonts w:hint="eastAsia" w:ascii="仿宋_GB2312" w:hAnsi="Times New Roman" w:eastAsia="仿宋_GB2312" w:cs="DengXian-Regular"/>
          <w:sz w:val="32"/>
          <w:szCs w:val="32"/>
          <w:lang w:val="en-US" w:eastAsia="zh-CN"/>
        </w:rPr>
        <w:t>），主要是我单位机构改革，资产上划廊坊市生态环境局；</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，与上年无增减变化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w:t>
      </w:r>
      <w:r>
        <w:rPr>
          <w:rFonts w:hint="eastAsia" w:ascii="仿宋_GB2312" w:hAnsi="Times New Roman" w:eastAsia="仿宋_GB2312" w:cs="DengXian-Regular"/>
          <w:sz w:val="32"/>
          <w:szCs w:val="32"/>
          <w:lang w:eastAsia="zh-CN"/>
        </w:rPr>
        <w:t>一般公共预算财政拨款“三公”经费、政府性基金预算、国有资本经营预算</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一般公共预算财政拨款“三公”经费支出决算表、政府性基金预算财政拨款收入支出决算表、国有资本经营预算财政拨款支出决算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7052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7052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7"/>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r>
        <mc:AlternateContent>
          <mc:Choice Requires="wps">
            <w:drawing>
              <wp:anchor distT="0" distB="0" distL="114300" distR="114300" simplePos="0" relativeHeight="2516715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15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4" w:type="first"/>
      <w:headerReference r:id="rId23" w:type="default"/>
      <w:footerReference r:id="rId25"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4864"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84864;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D5RxP9kAAAAJAQAADwAAAAAAAAABACAAAAAiAAAAZHJzL2Rvd25yZXYueG1s&#10;UEsBAhQAFAAAAAgAh07iQOwo99owAgAAVQQAAA4AAAAAAAAAAQAgAAAAKAEAAGRycy9lMm9Eb2Mu&#10;eG1sUEsFBgAAAAAGAAYAWQEAAMoFA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5888"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85888;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XVzfvZAAAACgEAAA8AAAAAAAAAAQAgAAAAIgAAAGRycy9kb3ducmV2Lnht&#10;bFBLAQIUABQAAAAIAIdO4kAFGwodMQIAAFUEAAAOAAAAAAAAAAEAIAAAACgBAABkcnMvZTJvRG9j&#10;LnhtbFBLBQYAAAAABgAGAFkBAADLBQAAAAA=&#10;">
              <v:fill on="f" focussize="0,0"/>
              <v:stroke on="f" weight="0.5pt"/>
              <v:imagedata o:title=""/>
              <o:lock v:ext="edit" aspectratio="f"/>
              <v:textbox inset="0mm,0mm,0mm,0mm">
                <w:txbx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691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691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33f3PZAAAACgEAAA8AAAAAAAAAAQAgAAAAIgAAAGRycy9kb3ducmV2Lnht&#10;bFBLAQIUABQAAAAIAIdO4kBDJau5MQIAAFQEAAAOAAAAAAAAAAEAIAAAACgBAABkcnMvZTJvRG9j&#10;LnhtbFBLBQYAAAAABgAGAFkBAADL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7936"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87936;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7ilozaAAAACgEAAA8AAAAAAAAAAQAgAAAAIgAAAGRycy9kb3ducmV2&#10;LnhtbFBLAQIUABQAAAAIAIdO4kCYs7DsMwIAAFcEAAAOAAAAAAAAAAEAIAAAACkBAABkcnMvZTJv&#10;RG9jLnhtbFBLBQYAAAAABgAGAFkBAADOBQ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91008"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91008;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fd/c9kAAAAKAQAADwAAAAAAAAABACAAAAAiAAAAZHJzL2Rvd25yZXYueG1s&#10;UEsBAhQAFAAAAAgAh07iQK8TUP8wAgAAVgQAAA4AAAAAAAAAAQAgAAAAKAEAAGRycy9lMm9Eb2Mu&#10;eG1sUEsFBgAAAAAGAAYAWQEAAMoFAAAAAA==&#10;">
              <v:fill on="f" focussize="0,0"/>
              <v:stroke on="f" weight="0.5pt"/>
              <v:imagedata o:title=""/>
              <o:lock v:ext="edit" aspectratio="f"/>
              <v:textbox inset="0mm,0mm,0mm,0mm">
                <w:txbxContent>
                  <w:p>
                    <w:pPr>
                      <w:pStyle w:val="4"/>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60288"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028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926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1792"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81792;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80768"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80768;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94080"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1694080;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ZJ93PtoAAAALAQAADwAAAAAAAAABACAAAAAiAAAAZHJzL2Rvd25yZXYueG1sUEsBAhQA&#10;FAAAAAgAh07iQNECCxIOBQAA7hQAAA4AAAAAAAAAAQAgAAAAKQ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169510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hZwHbAAAACgEAAA8AAAAAAAAAAQAgAAAAIgAA&#10;AGRycy9kb3ducmV2LnhtbFBLAQIUABQAAAAIAIdO4kD2f4JHPgIAAGcEAAAOAAAAAAAAAAEAIAAA&#10;ACoBAABkcnMvZTJvRG9jLnhtbFBLBQYAAAAABgAGAFkBAADaBQ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92032"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92032;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93056"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93056;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8960"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8960;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9984"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9984;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82816"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682816;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CA2E43ZAAAACQEAAA8AAAAAAAAAAQAgAAAAIgAAAGRycy9kb3ducmV2LnhtbFBLAQIUABQA&#10;AAAIAIdO4kDZlDXw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8384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8384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NFL&#10;iJHZAAAACQEAAA8AAAAAAAAAAQAgAAAAIgAAAGRycy9kb3ducmV2LnhtbFBLAQIUABQAAAAIAIdO&#10;4kDgh/c/PwMAAIcIAAAOAAAAAAAAAAEAIAAAACgBAABkcnMvZTJvRG9jLnhtbFBLBQYAAAAABgAG&#10;AFkBAADZ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7696"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677696;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76672;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8720;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97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NjdiYjJlOWExMTJmMTI5Y2NmMzVmYWYwNGZhODIifQ=="/>
  </w:docVars>
  <w:rsids>
    <w:rsidRoot w:val="6AAF1C96"/>
    <w:rsid w:val="0007063E"/>
    <w:rsid w:val="00073392"/>
    <w:rsid w:val="00073F4E"/>
    <w:rsid w:val="00080E0D"/>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36146"/>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2F6D"/>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14E4177"/>
    <w:rsid w:val="0200193F"/>
    <w:rsid w:val="02F82A2C"/>
    <w:rsid w:val="05102E06"/>
    <w:rsid w:val="05B00A30"/>
    <w:rsid w:val="06402F6F"/>
    <w:rsid w:val="066C4788"/>
    <w:rsid w:val="0B011416"/>
    <w:rsid w:val="0B094A92"/>
    <w:rsid w:val="0C726B84"/>
    <w:rsid w:val="0FCF619B"/>
    <w:rsid w:val="10DC2378"/>
    <w:rsid w:val="1214435C"/>
    <w:rsid w:val="15CB74CA"/>
    <w:rsid w:val="15F715F2"/>
    <w:rsid w:val="160921D6"/>
    <w:rsid w:val="165E2089"/>
    <w:rsid w:val="1C4B4847"/>
    <w:rsid w:val="1CA815AA"/>
    <w:rsid w:val="21967C6E"/>
    <w:rsid w:val="240850EF"/>
    <w:rsid w:val="256B76D5"/>
    <w:rsid w:val="28C73DFB"/>
    <w:rsid w:val="2B610705"/>
    <w:rsid w:val="2CF477A7"/>
    <w:rsid w:val="2F276F10"/>
    <w:rsid w:val="31154943"/>
    <w:rsid w:val="31C2036A"/>
    <w:rsid w:val="320D02A5"/>
    <w:rsid w:val="348E566F"/>
    <w:rsid w:val="35E15DE0"/>
    <w:rsid w:val="36AF2218"/>
    <w:rsid w:val="37DE1F20"/>
    <w:rsid w:val="3A226944"/>
    <w:rsid w:val="3AEE6A48"/>
    <w:rsid w:val="3B736255"/>
    <w:rsid w:val="3BFB166D"/>
    <w:rsid w:val="3C1620AA"/>
    <w:rsid w:val="3D8F080F"/>
    <w:rsid w:val="411F085A"/>
    <w:rsid w:val="41CD3029"/>
    <w:rsid w:val="44CE1FA4"/>
    <w:rsid w:val="46EF6B07"/>
    <w:rsid w:val="476F2A68"/>
    <w:rsid w:val="487F73ED"/>
    <w:rsid w:val="48D257CE"/>
    <w:rsid w:val="49781D95"/>
    <w:rsid w:val="4A347EAE"/>
    <w:rsid w:val="4C7034A1"/>
    <w:rsid w:val="50B87F92"/>
    <w:rsid w:val="510E32A6"/>
    <w:rsid w:val="52401B35"/>
    <w:rsid w:val="52600405"/>
    <w:rsid w:val="529B4319"/>
    <w:rsid w:val="57773DD6"/>
    <w:rsid w:val="578B79AB"/>
    <w:rsid w:val="58D35643"/>
    <w:rsid w:val="5C3B67B4"/>
    <w:rsid w:val="5CCD3FD5"/>
    <w:rsid w:val="5E780C8A"/>
    <w:rsid w:val="61FA5F9D"/>
    <w:rsid w:val="625B5426"/>
    <w:rsid w:val="63D76677"/>
    <w:rsid w:val="64CD6910"/>
    <w:rsid w:val="6789158D"/>
    <w:rsid w:val="67D81BA4"/>
    <w:rsid w:val="69B55D5F"/>
    <w:rsid w:val="6A6A3CD3"/>
    <w:rsid w:val="6AAF1C96"/>
    <w:rsid w:val="70D14E60"/>
    <w:rsid w:val="75681757"/>
    <w:rsid w:val="75A346A8"/>
    <w:rsid w:val="775D128E"/>
    <w:rsid w:val="79B9382C"/>
    <w:rsid w:val="7A2A692E"/>
    <w:rsid w:val="7A9C238C"/>
    <w:rsid w:val="7B043B76"/>
    <w:rsid w:val="7C041A6A"/>
    <w:rsid w:val="7CC77E33"/>
    <w:rsid w:val="7CEE03C6"/>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heme="minorHAnsi" w:hAnsiTheme="minorHAnsi" w:eastAsiaTheme="minorEastAsia"/>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hart" Target="charts/chart4.xml"/><Relationship Id="rId30" Type="http://schemas.openxmlformats.org/officeDocument/2006/relationships/chart" Target="charts/chart3.xml"/><Relationship Id="rId3" Type="http://schemas.openxmlformats.org/officeDocument/2006/relationships/header" Target="header1.xml"/><Relationship Id="rId29" Type="http://schemas.openxmlformats.org/officeDocument/2006/relationships/chart" Target="charts/chart2.xml"/><Relationship Id="rId28" Type="http://schemas.openxmlformats.org/officeDocument/2006/relationships/chart" Target="charts/chart1.xml"/><Relationship Id="rId27" Type="http://schemas.openxmlformats.org/officeDocument/2006/relationships/image" Target="media/image2.bmp"/><Relationship Id="rId26" Type="http://schemas.openxmlformats.org/officeDocument/2006/relationships/theme" Target="theme/theme1.xml"/><Relationship Id="rId25" Type="http://schemas.openxmlformats.org/officeDocument/2006/relationships/footer" Target="footer9.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977682747561"/>
          <c:y val="0.185325602140946"/>
          <c:w val="0.387144193505279"/>
          <c:h val="0.64607493309545"/>
        </c:manualLayout>
      </c:layout>
      <c:pieChart>
        <c:varyColors val="1"/>
        <c:ser>
          <c:idx val="0"/>
          <c:order val="0"/>
          <c:tx>
            <c:strRef>
              <c:f>Sheet1!$B$1</c:f>
              <c:strCache>
                <c:ptCount val="1"/>
                <c:pt idx="0">
                  <c:v>系列 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Sheet1!$B$2:$B$4</c:f>
              <c:numCache>
                <c:formatCode>General</c:formatCode>
                <c:ptCount val="3"/>
                <c:pt idx="0">
                  <c:v>1.02</c:v>
                </c:pt>
                <c:pt idx="1">
                  <c:v>98.98</c:v>
                </c:pt>
                <c:pt idx="2">
                  <c:v>0</c:v>
                </c:pt>
              </c:numCache>
            </c:numRef>
          </c:val>
        </c:ser>
        <c:ser>
          <c:idx val="1"/>
          <c:order val="1"/>
          <c:tx>
            <c:strRef>
              <c:f>Sheet1!#REF!</c:f>
              <c:strCache>
                <c:ptCount val="1"/>
                <c:pt idx="0">
                  <c:v/>
                </c:pt>
              </c:strCache>
            </c:strRef>
          </c:tx>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Sheet1!#REF!</c:f>
              <c:numCache>
                <c:formatCode>General</c:formatCode>
                <c:ptCount val="1"/>
                <c:pt idx="0">
                  <c:v>1</c:v>
                </c:pt>
              </c:numCache>
            </c:numRef>
          </c:val>
        </c:ser>
        <c:ser>
          <c:idx val="2"/>
          <c:order val="2"/>
          <c:tx>
            <c:strRef>
              <c:f>Sheet1!#REF!</c:f>
              <c:strCache>
                <c:ptCount val="1"/>
                <c:pt idx="0">
                  <c:v/>
                </c:pt>
              </c:strCache>
            </c:strRef>
          </c:tx>
          <c:spPr/>
          <c:explosion val="0"/>
          <c:dPt>
            <c:idx val="0"/>
            <c:bubble3D val="0"/>
            <c:spPr>
              <a:solidFill>
                <a:schemeClr val="accent1"/>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基本支出</c:v>
                </c:pt>
                <c:pt idx="1">
                  <c:v>项目支出</c:v>
                </c:pt>
                <c:pt idx="2">
                  <c:v>经营支出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8"/>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2018年</c:v>
                </c:pt>
              </c:strCache>
            </c:strRef>
          </c:tx>
          <c:spPr>
            <a:solidFill>
              <a:schemeClr val="accent1"/>
            </a:solidFill>
            <a:ln>
              <a:noFill/>
            </a:ln>
            <a:effectLst/>
          </c:spPr>
          <c:invertIfNegative val="0"/>
          <c:dLbls>
            <c:delete val="1"/>
          </c:dLbls>
          <c:cat>
            <c:strRef>
              <c:f>Sheet1!$A$2:$A$3</c:f>
              <c:strCache>
                <c:ptCount val="2"/>
                <c:pt idx="0">
                  <c:v>一般公共预算收入</c:v>
                </c:pt>
                <c:pt idx="1">
                  <c:v>一般公共预算支出</c:v>
                </c:pt>
              </c:strCache>
            </c:strRef>
          </c:cat>
          <c:val>
            <c:numRef>
              <c:f>Sheet1!$B$2:$B$3</c:f>
              <c:numCache>
                <c:formatCode>General</c:formatCode>
                <c:ptCount val="2"/>
                <c:pt idx="0">
                  <c:v>3747.25</c:v>
                </c:pt>
                <c:pt idx="1">
                  <c:v>1777.75</c:v>
                </c:pt>
              </c:numCache>
            </c:numRef>
          </c:val>
        </c:ser>
        <c:ser>
          <c:idx val="1"/>
          <c:order val="1"/>
          <c:tx>
            <c:strRef>
              <c:f>Sheet1!$C$1</c:f>
              <c:strCache>
                <c:ptCount val="1"/>
                <c:pt idx="0">
                  <c:v>2019年</c:v>
                </c:pt>
              </c:strCache>
            </c:strRef>
          </c:tx>
          <c:spPr>
            <a:solidFill>
              <a:schemeClr val="accent2"/>
            </a:solidFill>
            <a:ln>
              <a:noFill/>
            </a:ln>
            <a:effectLst/>
          </c:spPr>
          <c:invertIfNegative val="0"/>
          <c:dLbls>
            <c:delete val="1"/>
          </c:dLbls>
          <c:cat>
            <c:strRef>
              <c:f>Sheet1!$A$2:$A$3</c:f>
              <c:strCache>
                <c:ptCount val="2"/>
                <c:pt idx="0">
                  <c:v>一般公共预算收入</c:v>
                </c:pt>
                <c:pt idx="1">
                  <c:v>一般公共预算支出</c:v>
                </c:pt>
              </c:strCache>
            </c:strRef>
          </c:cat>
          <c:val>
            <c:numRef>
              <c:f>Sheet1!$C$2:$C$3</c:f>
              <c:numCache>
                <c:formatCode>General</c:formatCode>
                <c:ptCount val="2"/>
                <c:pt idx="0">
                  <c:v>1224.36</c:v>
                </c:pt>
                <c:pt idx="1">
                  <c:v>2143.19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一般公共预算收入</c:v>
                </c:pt>
                <c:pt idx="1">
                  <c:v>一般公共预算支出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145995260"/>
        <c:axId val="711816108"/>
      </c:barChart>
      <c:catAx>
        <c:axId val="1459952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1816108"/>
        <c:crosses val="autoZero"/>
        <c:auto val="1"/>
        <c:lblAlgn val="ctr"/>
        <c:lblOffset val="100"/>
        <c:noMultiLvlLbl val="0"/>
      </c:catAx>
      <c:valAx>
        <c:axId val="7118161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5995260"/>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2019年预算数</c:v>
                </c:pt>
              </c:strCache>
            </c:strRef>
          </c:tx>
          <c:spPr>
            <a:solidFill>
              <a:schemeClr val="accent1"/>
            </a:solidFill>
            <a:ln>
              <a:noFill/>
            </a:ln>
            <a:effectLst/>
          </c:spPr>
          <c:invertIfNegative val="0"/>
          <c:dLbls>
            <c:delete val="1"/>
          </c:dLbls>
          <c:cat>
            <c:strRef>
              <c:f>Sheet1!$A$2:$A$3</c:f>
              <c:strCache>
                <c:ptCount val="2"/>
                <c:pt idx="0">
                  <c:v>一般公共预算收入</c:v>
                </c:pt>
                <c:pt idx="1">
                  <c:v>一般公共预算支出</c:v>
                </c:pt>
              </c:strCache>
            </c:strRef>
          </c:cat>
          <c:val>
            <c:numRef>
              <c:f>Sheet1!$B$2:$B$3</c:f>
              <c:numCache>
                <c:formatCode>General</c:formatCode>
                <c:ptCount val="2"/>
                <c:pt idx="0">
                  <c:v>451.97</c:v>
                </c:pt>
                <c:pt idx="1">
                  <c:v>451.97</c:v>
                </c:pt>
              </c:numCache>
            </c:numRef>
          </c:val>
        </c:ser>
        <c:ser>
          <c:idx val="1"/>
          <c:order val="1"/>
          <c:tx>
            <c:strRef>
              <c:f>Sheet1!$C$1</c:f>
              <c:strCache>
                <c:ptCount val="1"/>
                <c:pt idx="0">
                  <c:v>2019年决算数</c:v>
                </c:pt>
              </c:strCache>
            </c:strRef>
          </c:tx>
          <c:spPr>
            <a:solidFill>
              <a:schemeClr val="accent2"/>
            </a:solidFill>
            <a:ln>
              <a:noFill/>
            </a:ln>
            <a:effectLst/>
          </c:spPr>
          <c:invertIfNegative val="0"/>
          <c:dLbls>
            <c:delete val="1"/>
          </c:dLbls>
          <c:cat>
            <c:strRef>
              <c:f>Sheet1!$A$2:$A$3</c:f>
              <c:strCache>
                <c:ptCount val="2"/>
                <c:pt idx="0">
                  <c:v>一般公共预算收入</c:v>
                </c:pt>
                <c:pt idx="1">
                  <c:v>一般公共预算支出</c:v>
                </c:pt>
              </c:strCache>
            </c:strRef>
          </c:cat>
          <c:val>
            <c:numRef>
              <c:f>Sheet1!$C$2:$C$3</c:f>
              <c:numCache>
                <c:formatCode>General</c:formatCode>
                <c:ptCount val="2"/>
                <c:pt idx="0">
                  <c:v>1224.36</c:v>
                </c:pt>
                <c:pt idx="1">
                  <c:v>2143.19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一般公共预算收入</c:v>
                </c:pt>
                <c:pt idx="1">
                  <c:v>一般公共预算支出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259640260"/>
        <c:axId val="626530034"/>
      </c:barChart>
      <c:catAx>
        <c:axId val="259640260"/>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6530034"/>
        <c:crosses val="autoZero"/>
        <c:auto val="1"/>
        <c:lblAlgn val="ctr"/>
        <c:lblOffset val="100"/>
        <c:noMultiLvlLbl val="0"/>
      </c:catAx>
      <c:valAx>
        <c:axId val="62653003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64026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一般公共服务支出</c:v>
                </c:pt>
                <c:pt idx="1">
                  <c:v>节能环保支出</c:v>
                </c:pt>
                <c:pt idx="2">
                  <c:v>农林水支出</c:v>
                </c:pt>
              </c:strCache>
            </c:strRef>
          </c:cat>
          <c:val>
            <c:numRef>
              <c:f>Sheet1!$B$2:$B$4</c:f>
              <c:numCache>
                <c:formatCode>0.00%</c:formatCode>
                <c:ptCount val="3"/>
                <c:pt idx="0">
                  <c:v>0.008</c:v>
                </c:pt>
                <c:pt idx="1">
                  <c:v>0.9897</c:v>
                </c:pt>
                <c:pt idx="2">
                  <c:v>0.0023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18</TotalTime>
  <ScaleCrop>false</ScaleCrop>
  <LinksUpToDate>false</LinksUpToDate>
  <CharactersWithSpaces>11119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安</cp:lastModifiedBy>
  <cp:lastPrinted>2020-11-25T03:29:00Z</cp:lastPrinted>
  <dcterms:modified xsi:type="dcterms:W3CDTF">2024-01-18T02:57:01Z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9C5201C88FC64D86A059D38D6C134A6F</vt:lpwstr>
  </property>
</Properties>
</file>