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sz w:val="30"/>
          <w:szCs w:val="30"/>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1000" w:lineRule="exact"/>
        <w:jc w:val="center"/>
        <w:rPr>
          <w:sz w:val="84"/>
          <w:szCs w:val="84"/>
        </w:rPr>
      </w:pPr>
      <w:r>
        <w:rPr>
          <w:sz w:val="84"/>
          <w:szCs w:val="84"/>
        </w:rPr>
        <w:t>2017年度部门决算公开</w:t>
      </w: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b/>
          <w:sz w:val="44"/>
          <w:szCs w:val="44"/>
        </w:rPr>
      </w:pPr>
      <w:r>
        <w:rPr>
          <w:rFonts w:hint="eastAsia"/>
          <w:b/>
          <w:sz w:val="44"/>
          <w:szCs w:val="44"/>
        </w:rPr>
        <w:t>廊坊市大城县平舒镇人民政府</w:t>
      </w: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黑体"/>
          <w:sz w:val="44"/>
          <w:szCs w:val="44"/>
        </w:rPr>
      </w:pPr>
    </w:p>
    <w:p>
      <w:pPr>
        <w:spacing w:line="584" w:lineRule="exact"/>
        <w:jc w:val="center"/>
        <w:rPr>
          <w:rFonts w:eastAsia="黑体"/>
          <w:sz w:val="44"/>
          <w:szCs w:val="44"/>
        </w:rPr>
      </w:pPr>
      <w:r>
        <w:rPr>
          <w:rFonts w:eastAsia="黑体"/>
          <w:sz w:val="44"/>
          <w:szCs w:val="44"/>
        </w:rPr>
        <w:t>部门决算公开目录</w:t>
      </w:r>
    </w:p>
    <w:p>
      <w:pPr>
        <w:spacing w:line="584" w:lineRule="exact"/>
        <w:ind w:firstLine="640" w:firstLineChars="200"/>
        <w:rPr>
          <w:rFonts w:eastAsia="黑体"/>
          <w:sz w:val="32"/>
          <w:szCs w:val="32"/>
        </w:rPr>
      </w:pPr>
    </w:p>
    <w:p>
      <w:pPr>
        <w:spacing w:line="584" w:lineRule="exact"/>
        <w:rPr>
          <w:rFonts w:eastAsia="仿宋_GB2312"/>
          <w:sz w:val="24"/>
          <w:szCs w:val="32"/>
        </w:rPr>
      </w:pPr>
      <w:r>
        <w:rPr>
          <w:rFonts w:eastAsia="黑体"/>
          <w:sz w:val="32"/>
          <w:szCs w:val="32"/>
        </w:rPr>
        <w:t xml:space="preserve">第一部分  </w:t>
      </w:r>
      <w:r>
        <w:rPr>
          <w:rFonts w:hint="eastAsia" w:eastAsia="黑体"/>
          <w:sz w:val="32"/>
          <w:szCs w:val="32"/>
        </w:rPr>
        <w:t>平舒镇人民政府</w:t>
      </w:r>
      <w:r>
        <w:rPr>
          <w:rFonts w:eastAsia="黑体"/>
          <w:sz w:val="32"/>
          <w:szCs w:val="32"/>
        </w:rPr>
        <w:t>部门概况</w:t>
      </w:r>
    </w:p>
    <w:p>
      <w:pPr>
        <w:spacing w:line="584" w:lineRule="exact"/>
        <w:ind w:firstLine="640" w:firstLineChars="200"/>
        <w:rPr>
          <w:rFonts w:ascii="仿宋" w:hAnsi="仿宋" w:eastAsia="仿宋"/>
          <w:sz w:val="32"/>
          <w:szCs w:val="32"/>
        </w:rPr>
      </w:pPr>
      <w:r>
        <w:rPr>
          <w:rFonts w:ascii="仿宋" w:hAnsi="仿宋" w:eastAsia="仿宋"/>
          <w:sz w:val="32"/>
          <w:szCs w:val="32"/>
        </w:rPr>
        <w:t>一、部门职责</w:t>
      </w:r>
    </w:p>
    <w:p>
      <w:pPr>
        <w:spacing w:line="584" w:lineRule="exact"/>
        <w:ind w:firstLine="640" w:firstLineChars="200"/>
        <w:rPr>
          <w:rFonts w:ascii="仿宋" w:hAnsi="仿宋" w:eastAsia="仿宋"/>
          <w:sz w:val="32"/>
          <w:szCs w:val="32"/>
        </w:rPr>
      </w:pPr>
      <w:r>
        <w:rPr>
          <w:rFonts w:ascii="仿宋" w:hAnsi="仿宋" w:eastAsia="仿宋"/>
          <w:sz w:val="32"/>
          <w:szCs w:val="32"/>
        </w:rPr>
        <w:t>二、部门决算单位构成</w:t>
      </w:r>
    </w:p>
    <w:p>
      <w:pPr>
        <w:spacing w:line="584" w:lineRule="exact"/>
        <w:rPr>
          <w:rFonts w:eastAsia="仿宋_GB2312"/>
          <w:sz w:val="20"/>
          <w:szCs w:val="32"/>
        </w:rPr>
      </w:pPr>
      <w:r>
        <w:rPr>
          <w:rFonts w:eastAsia="黑体"/>
          <w:sz w:val="32"/>
          <w:szCs w:val="32"/>
        </w:rPr>
        <w:t xml:space="preserve">第二部分  </w:t>
      </w:r>
      <w:r>
        <w:rPr>
          <w:rFonts w:hint="eastAsia" w:eastAsia="黑体"/>
          <w:sz w:val="32"/>
          <w:szCs w:val="32"/>
        </w:rPr>
        <w:t>平舒镇人民政府</w:t>
      </w:r>
      <w:r>
        <w:rPr>
          <w:rFonts w:eastAsia="黑体"/>
          <w:sz w:val="32"/>
          <w:szCs w:val="32"/>
        </w:rPr>
        <w:t>部门2017年度部门决算报表</w:t>
      </w:r>
    </w:p>
    <w:p>
      <w:pPr>
        <w:spacing w:line="584" w:lineRule="exact"/>
        <w:ind w:firstLine="640" w:firstLineChars="200"/>
        <w:rPr>
          <w:rFonts w:ascii="仿宋" w:hAnsi="仿宋" w:eastAsia="仿宋"/>
          <w:sz w:val="32"/>
          <w:szCs w:val="32"/>
        </w:rPr>
      </w:pPr>
      <w:r>
        <w:rPr>
          <w:rFonts w:ascii="仿宋" w:hAnsi="仿宋" w:eastAsia="仿宋"/>
          <w:sz w:val="32"/>
          <w:szCs w:val="32"/>
        </w:rPr>
        <w:t>一、收入支出决算总表</w:t>
      </w:r>
    </w:p>
    <w:p>
      <w:pPr>
        <w:spacing w:line="584" w:lineRule="exact"/>
        <w:ind w:firstLine="640" w:firstLineChars="200"/>
        <w:rPr>
          <w:rFonts w:ascii="仿宋" w:hAnsi="仿宋" w:eastAsia="仿宋"/>
          <w:sz w:val="32"/>
          <w:szCs w:val="32"/>
        </w:rPr>
      </w:pPr>
      <w:r>
        <w:rPr>
          <w:rFonts w:ascii="仿宋" w:hAnsi="仿宋" w:eastAsia="仿宋"/>
          <w:sz w:val="32"/>
          <w:szCs w:val="32"/>
        </w:rPr>
        <w:t>二、收入决算表</w:t>
      </w:r>
    </w:p>
    <w:p>
      <w:pPr>
        <w:spacing w:line="584" w:lineRule="exact"/>
        <w:ind w:firstLine="640" w:firstLineChars="200"/>
        <w:rPr>
          <w:rFonts w:ascii="仿宋" w:hAnsi="仿宋" w:eastAsia="仿宋"/>
          <w:sz w:val="32"/>
          <w:szCs w:val="32"/>
        </w:rPr>
      </w:pPr>
      <w:r>
        <w:rPr>
          <w:rFonts w:ascii="仿宋" w:hAnsi="仿宋" w:eastAsia="仿宋"/>
          <w:sz w:val="32"/>
          <w:szCs w:val="32"/>
        </w:rPr>
        <w:t>三、支出决算表</w:t>
      </w:r>
    </w:p>
    <w:p>
      <w:pPr>
        <w:spacing w:line="584" w:lineRule="exact"/>
        <w:ind w:firstLine="640" w:firstLineChars="200"/>
        <w:rPr>
          <w:rFonts w:ascii="仿宋" w:hAnsi="仿宋" w:eastAsia="仿宋"/>
          <w:sz w:val="32"/>
          <w:szCs w:val="32"/>
        </w:rPr>
      </w:pPr>
      <w:r>
        <w:rPr>
          <w:rFonts w:ascii="仿宋" w:hAnsi="仿宋" w:eastAsia="仿宋"/>
          <w:sz w:val="32"/>
          <w:szCs w:val="32"/>
        </w:rPr>
        <w:t>四、财政拨款收入支出决算总表</w:t>
      </w:r>
    </w:p>
    <w:p>
      <w:pPr>
        <w:spacing w:line="584" w:lineRule="exact"/>
        <w:ind w:firstLine="640" w:firstLineChars="200"/>
        <w:rPr>
          <w:rFonts w:ascii="仿宋" w:hAnsi="仿宋" w:eastAsia="仿宋"/>
          <w:sz w:val="32"/>
          <w:szCs w:val="32"/>
        </w:rPr>
      </w:pPr>
      <w:r>
        <w:rPr>
          <w:rFonts w:ascii="仿宋" w:hAnsi="仿宋" w:eastAsia="仿宋"/>
          <w:sz w:val="32"/>
          <w:szCs w:val="32"/>
        </w:rPr>
        <w:t>五、一般公共预算财政拨款收入支出决算表</w:t>
      </w:r>
    </w:p>
    <w:p>
      <w:pPr>
        <w:spacing w:line="584" w:lineRule="exact"/>
        <w:ind w:firstLine="640" w:firstLineChars="200"/>
        <w:rPr>
          <w:rFonts w:ascii="仿宋" w:hAnsi="仿宋" w:eastAsia="仿宋"/>
          <w:sz w:val="32"/>
          <w:szCs w:val="32"/>
        </w:rPr>
      </w:pPr>
      <w:r>
        <w:rPr>
          <w:rFonts w:ascii="仿宋" w:hAnsi="仿宋" w:eastAsia="仿宋"/>
          <w:sz w:val="32"/>
          <w:szCs w:val="32"/>
        </w:rPr>
        <w:t>六、一般公共预算财政拨款基本支出决算表</w:t>
      </w:r>
    </w:p>
    <w:p>
      <w:pPr>
        <w:spacing w:line="584" w:lineRule="exact"/>
        <w:ind w:firstLine="640" w:firstLineChars="200"/>
        <w:rPr>
          <w:rFonts w:ascii="仿宋" w:hAnsi="仿宋" w:eastAsia="仿宋"/>
          <w:sz w:val="32"/>
          <w:szCs w:val="32"/>
        </w:rPr>
      </w:pPr>
      <w:r>
        <w:rPr>
          <w:rFonts w:ascii="仿宋" w:hAnsi="仿宋" w:eastAsia="仿宋"/>
          <w:sz w:val="32"/>
          <w:szCs w:val="32"/>
        </w:rPr>
        <w:t>七、政府性基金预算财政拨款收入支出决算表</w:t>
      </w:r>
    </w:p>
    <w:p>
      <w:pPr>
        <w:spacing w:line="584" w:lineRule="exact"/>
        <w:ind w:firstLine="640" w:firstLineChars="200"/>
        <w:rPr>
          <w:rFonts w:ascii="仿宋" w:hAnsi="仿宋" w:eastAsia="仿宋"/>
          <w:sz w:val="32"/>
          <w:szCs w:val="32"/>
        </w:rPr>
      </w:pPr>
      <w:r>
        <w:rPr>
          <w:rFonts w:ascii="仿宋" w:hAnsi="仿宋" w:eastAsia="仿宋"/>
          <w:sz w:val="32"/>
          <w:szCs w:val="32"/>
        </w:rPr>
        <w:t>八、国有资本经营预算财政拨款收入支出决算表</w:t>
      </w:r>
    </w:p>
    <w:p>
      <w:pPr>
        <w:spacing w:line="584" w:lineRule="exact"/>
        <w:ind w:firstLine="640" w:firstLineChars="200"/>
        <w:rPr>
          <w:rFonts w:ascii="仿宋" w:hAnsi="仿宋" w:eastAsia="仿宋"/>
          <w:sz w:val="32"/>
          <w:szCs w:val="32"/>
        </w:rPr>
      </w:pPr>
      <w:r>
        <w:rPr>
          <w:rFonts w:ascii="仿宋" w:hAnsi="仿宋" w:eastAsia="仿宋"/>
          <w:sz w:val="32"/>
          <w:szCs w:val="32"/>
        </w:rPr>
        <w:t>九、“三公”经费及相关信息统计表</w:t>
      </w:r>
    </w:p>
    <w:p>
      <w:pPr>
        <w:spacing w:line="584" w:lineRule="exact"/>
        <w:ind w:firstLine="640" w:firstLineChars="200"/>
        <w:rPr>
          <w:rFonts w:ascii="仿宋" w:hAnsi="仿宋" w:eastAsia="仿宋"/>
          <w:sz w:val="32"/>
          <w:szCs w:val="32"/>
        </w:rPr>
      </w:pPr>
      <w:r>
        <w:rPr>
          <w:rFonts w:ascii="仿宋" w:hAnsi="仿宋" w:eastAsia="仿宋"/>
          <w:sz w:val="32"/>
          <w:szCs w:val="32"/>
        </w:rPr>
        <w:t>十、政府采购情况表</w:t>
      </w:r>
    </w:p>
    <w:p>
      <w:pPr>
        <w:spacing w:line="584" w:lineRule="exact"/>
        <w:rPr>
          <w:rFonts w:eastAsia="黑体"/>
          <w:sz w:val="32"/>
          <w:szCs w:val="32"/>
        </w:rPr>
      </w:pPr>
      <w:r>
        <w:rPr>
          <w:rFonts w:eastAsia="黑体"/>
          <w:sz w:val="32"/>
          <w:szCs w:val="32"/>
        </w:rPr>
        <w:t>第三部分</w:t>
      </w:r>
      <w:r>
        <w:rPr>
          <w:rFonts w:hint="eastAsia" w:eastAsia="黑体"/>
          <w:sz w:val="32"/>
          <w:szCs w:val="32"/>
        </w:rPr>
        <w:t xml:space="preserve">  平舒镇人民政府</w:t>
      </w:r>
      <w:r>
        <w:rPr>
          <w:rFonts w:eastAsia="黑体"/>
          <w:sz w:val="32"/>
          <w:szCs w:val="32"/>
        </w:rPr>
        <w:t>部门2017年部门决算情况说明</w:t>
      </w:r>
    </w:p>
    <w:p>
      <w:pPr>
        <w:spacing w:line="584" w:lineRule="exact"/>
        <w:ind w:firstLine="640" w:firstLineChars="200"/>
        <w:rPr>
          <w:rFonts w:ascii="仿宋" w:hAnsi="仿宋" w:eastAsia="仿宋"/>
          <w:sz w:val="32"/>
          <w:szCs w:val="32"/>
        </w:rPr>
      </w:pPr>
      <w:r>
        <w:rPr>
          <w:rFonts w:ascii="仿宋" w:hAnsi="仿宋" w:eastAsia="仿宋"/>
          <w:sz w:val="32"/>
          <w:szCs w:val="32"/>
        </w:rPr>
        <w:t>一、收入支出决算总体情况说明</w:t>
      </w:r>
    </w:p>
    <w:p>
      <w:pPr>
        <w:spacing w:line="584" w:lineRule="exact"/>
        <w:ind w:firstLine="640" w:firstLineChars="200"/>
        <w:rPr>
          <w:rFonts w:ascii="仿宋" w:hAnsi="仿宋" w:eastAsia="仿宋"/>
          <w:sz w:val="32"/>
          <w:szCs w:val="32"/>
        </w:rPr>
      </w:pPr>
      <w:r>
        <w:rPr>
          <w:rFonts w:ascii="仿宋" w:hAnsi="仿宋" w:eastAsia="仿宋"/>
          <w:sz w:val="32"/>
          <w:szCs w:val="32"/>
        </w:rPr>
        <w:t>二、收入决算情况说明</w:t>
      </w:r>
    </w:p>
    <w:p>
      <w:pPr>
        <w:spacing w:line="584" w:lineRule="exact"/>
        <w:ind w:firstLine="640" w:firstLineChars="200"/>
        <w:rPr>
          <w:rFonts w:ascii="仿宋" w:hAnsi="仿宋" w:eastAsia="仿宋"/>
          <w:sz w:val="32"/>
          <w:szCs w:val="32"/>
        </w:rPr>
      </w:pPr>
      <w:r>
        <w:rPr>
          <w:rFonts w:ascii="仿宋" w:hAnsi="仿宋" w:eastAsia="仿宋"/>
          <w:sz w:val="32"/>
          <w:szCs w:val="32"/>
        </w:rPr>
        <w:t>三、支出决算情况说明</w:t>
      </w:r>
    </w:p>
    <w:p>
      <w:pPr>
        <w:spacing w:line="584" w:lineRule="exact"/>
        <w:ind w:firstLine="640" w:firstLineChars="200"/>
        <w:rPr>
          <w:rFonts w:ascii="仿宋" w:hAnsi="仿宋" w:eastAsia="仿宋"/>
          <w:sz w:val="32"/>
          <w:szCs w:val="32"/>
        </w:rPr>
      </w:pPr>
      <w:r>
        <w:rPr>
          <w:rFonts w:ascii="仿宋" w:hAnsi="仿宋" w:eastAsia="仿宋"/>
          <w:sz w:val="32"/>
          <w:szCs w:val="32"/>
        </w:rPr>
        <w:t>四、财政拨款收入支出决算总体情况说明</w:t>
      </w:r>
    </w:p>
    <w:p>
      <w:pPr>
        <w:spacing w:line="584" w:lineRule="exact"/>
        <w:ind w:firstLine="640" w:firstLineChars="200"/>
        <w:rPr>
          <w:rFonts w:ascii="仿宋" w:hAnsi="仿宋" w:eastAsia="仿宋"/>
          <w:sz w:val="32"/>
          <w:szCs w:val="32"/>
        </w:rPr>
      </w:pPr>
      <w:r>
        <w:rPr>
          <w:rFonts w:ascii="仿宋" w:hAnsi="仿宋" w:eastAsia="仿宋"/>
          <w:sz w:val="32"/>
          <w:szCs w:val="32"/>
        </w:rPr>
        <w:t>五、一般公共预算财政拨款“三公”经费支出决算情况说明</w:t>
      </w:r>
    </w:p>
    <w:p>
      <w:pPr>
        <w:spacing w:line="584" w:lineRule="exact"/>
        <w:ind w:firstLine="640" w:firstLineChars="200"/>
        <w:rPr>
          <w:rFonts w:ascii="仿宋" w:hAnsi="仿宋" w:eastAsia="仿宋"/>
          <w:sz w:val="32"/>
          <w:szCs w:val="32"/>
        </w:rPr>
      </w:pPr>
      <w:r>
        <w:rPr>
          <w:rFonts w:ascii="仿宋" w:hAnsi="仿宋" w:eastAsia="仿宋"/>
          <w:sz w:val="32"/>
          <w:szCs w:val="32"/>
        </w:rPr>
        <w:t>六、预算绩效管理工作开展情况说明</w:t>
      </w:r>
    </w:p>
    <w:p>
      <w:pPr>
        <w:spacing w:line="584" w:lineRule="exact"/>
        <w:ind w:firstLine="640" w:firstLineChars="200"/>
        <w:rPr>
          <w:rFonts w:ascii="仿宋" w:hAnsi="仿宋" w:eastAsia="仿宋"/>
          <w:sz w:val="32"/>
          <w:szCs w:val="32"/>
        </w:rPr>
      </w:pPr>
      <w:r>
        <w:rPr>
          <w:rFonts w:ascii="仿宋" w:hAnsi="仿宋" w:eastAsia="仿宋"/>
          <w:sz w:val="32"/>
          <w:szCs w:val="32"/>
        </w:rPr>
        <w:t>七、其他重要事项的说明</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一</w:t>
      </w:r>
      <w:r>
        <w:rPr>
          <w:rFonts w:hint="eastAsia" w:ascii="仿宋" w:hAnsi="仿宋" w:eastAsia="仿宋"/>
          <w:sz w:val="32"/>
          <w:szCs w:val="32"/>
        </w:rPr>
        <w:t>）</w:t>
      </w:r>
      <w:r>
        <w:rPr>
          <w:rFonts w:ascii="仿宋" w:hAnsi="仿宋" w:eastAsia="仿宋"/>
          <w:sz w:val="32"/>
          <w:szCs w:val="32"/>
        </w:rPr>
        <w:t>机关运行经费情况</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二</w:t>
      </w:r>
      <w:r>
        <w:rPr>
          <w:rFonts w:hint="eastAsia" w:ascii="仿宋" w:hAnsi="仿宋" w:eastAsia="仿宋"/>
          <w:sz w:val="32"/>
          <w:szCs w:val="32"/>
        </w:rPr>
        <w:t>）</w:t>
      </w:r>
      <w:r>
        <w:rPr>
          <w:rFonts w:ascii="仿宋" w:hAnsi="仿宋" w:eastAsia="仿宋"/>
          <w:sz w:val="32"/>
          <w:szCs w:val="32"/>
        </w:rPr>
        <w:t xml:space="preserve"> 政府采购情况</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三</w:t>
      </w:r>
      <w:r>
        <w:rPr>
          <w:rFonts w:hint="eastAsia" w:ascii="仿宋" w:hAnsi="仿宋" w:eastAsia="仿宋"/>
          <w:sz w:val="32"/>
          <w:szCs w:val="32"/>
        </w:rPr>
        <w:t>）</w:t>
      </w:r>
      <w:r>
        <w:rPr>
          <w:rFonts w:ascii="仿宋" w:hAnsi="仿宋" w:eastAsia="仿宋"/>
          <w:sz w:val="32"/>
          <w:szCs w:val="32"/>
        </w:rPr>
        <w:t xml:space="preserve"> 国有资产占用情况</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四</w:t>
      </w:r>
      <w:r>
        <w:rPr>
          <w:rFonts w:hint="eastAsia" w:ascii="仿宋" w:hAnsi="仿宋" w:eastAsia="仿宋"/>
          <w:sz w:val="32"/>
          <w:szCs w:val="32"/>
        </w:rPr>
        <w:t>）</w:t>
      </w:r>
      <w:r>
        <w:rPr>
          <w:rFonts w:ascii="仿宋" w:hAnsi="仿宋" w:eastAsia="仿宋"/>
          <w:sz w:val="32"/>
          <w:szCs w:val="32"/>
        </w:rPr>
        <w:t xml:space="preserve"> 其他需要说明的情况</w:t>
      </w:r>
    </w:p>
    <w:p>
      <w:pPr>
        <w:spacing w:line="584" w:lineRule="exact"/>
        <w:rPr>
          <w:rFonts w:eastAsia="黑体"/>
          <w:sz w:val="32"/>
          <w:szCs w:val="32"/>
        </w:rPr>
      </w:pPr>
      <w:r>
        <w:rPr>
          <w:rFonts w:eastAsia="黑体"/>
          <w:sz w:val="32"/>
          <w:szCs w:val="32"/>
        </w:rPr>
        <w:t>第四部分  名词解释</w:t>
      </w: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pStyle w:val="2"/>
        <w:spacing w:before="0" w:after="0" w:line="584" w:lineRule="exact"/>
        <w:jc w:val="center"/>
        <w:rPr>
          <w:b w:val="0"/>
          <w:bCs w:val="0"/>
          <w:kern w:val="2"/>
        </w:rPr>
      </w:pPr>
    </w:p>
    <w:p/>
    <w:p/>
    <w:p>
      <w:pPr>
        <w:pStyle w:val="2"/>
        <w:spacing w:before="0" w:after="0" w:line="584" w:lineRule="exact"/>
        <w:jc w:val="center"/>
        <w:rPr>
          <w:color w:val="000000"/>
          <w:kern w:val="0"/>
        </w:rPr>
      </w:pPr>
      <w:r>
        <w:rPr>
          <w:color w:val="000000"/>
          <w:kern w:val="0"/>
        </w:rPr>
        <w:t>第一部分 部门概况</w:t>
      </w:r>
    </w:p>
    <w:p/>
    <w:p>
      <w:pPr>
        <w:pStyle w:val="3"/>
        <w:spacing w:before="0" w:after="0" w:line="584" w:lineRule="exact"/>
        <w:ind w:firstLine="640" w:firstLineChars="200"/>
        <w:rPr>
          <w:rFonts w:ascii="Times New Roman" w:hAnsi="Times New Roman" w:eastAsia="黑体"/>
          <w:b w:val="0"/>
          <w:kern w:val="0"/>
        </w:rPr>
      </w:pPr>
      <w:r>
        <w:rPr>
          <w:rFonts w:ascii="Times New Roman" w:hAnsi="Times New Roman" w:eastAsia="黑体"/>
          <w:b w:val="0"/>
          <w:kern w:val="0"/>
        </w:rPr>
        <w:t>一、部门职责</w:t>
      </w:r>
    </w:p>
    <w:p>
      <w:pPr>
        <w:spacing w:line="584" w:lineRule="exact"/>
        <w:ind w:firstLine="640" w:firstLineChars="200"/>
        <w:rPr>
          <w:rFonts w:ascii="仿宋" w:hAnsi="仿宋" w:eastAsia="仿宋"/>
          <w:sz w:val="32"/>
          <w:szCs w:val="32"/>
        </w:rPr>
      </w:pPr>
      <w:r>
        <w:rPr>
          <w:rFonts w:ascii="楷体" w:hAnsi="楷体" w:eastAsia="楷体"/>
          <w:sz w:val="32"/>
          <w:szCs w:val="32"/>
        </w:rPr>
        <w:t>1</w:t>
      </w:r>
      <w:r>
        <w:rPr>
          <w:rFonts w:hint="eastAsia" w:ascii="楷体" w:hAnsi="楷体" w:eastAsia="楷体"/>
          <w:sz w:val="32"/>
          <w:szCs w:val="32"/>
        </w:rPr>
        <w:t>、党委</w:t>
      </w:r>
      <w:r>
        <w:rPr>
          <w:rFonts w:hint="eastAsia" w:ascii="仿宋" w:hAnsi="仿宋" w:eastAsia="仿宋"/>
          <w:sz w:val="32"/>
          <w:szCs w:val="32"/>
        </w:rPr>
        <w:t>：负责贯彻、执行党的路线、方针、政策、法律、法规和上级党委、政府、镇党委的指示、决定、决议。</w:t>
      </w:r>
    </w:p>
    <w:p>
      <w:pPr>
        <w:spacing w:line="584" w:lineRule="exact"/>
        <w:ind w:firstLine="640" w:firstLineChars="200"/>
        <w:rPr>
          <w:rFonts w:ascii="仿宋" w:hAnsi="仿宋" w:eastAsia="仿宋"/>
          <w:sz w:val="32"/>
          <w:szCs w:val="32"/>
        </w:rPr>
      </w:pPr>
      <w:r>
        <w:rPr>
          <w:rFonts w:ascii="楷体" w:hAnsi="楷体" w:eastAsia="楷体"/>
          <w:sz w:val="32"/>
          <w:szCs w:val="32"/>
        </w:rPr>
        <w:t>2</w:t>
      </w:r>
      <w:r>
        <w:rPr>
          <w:rFonts w:hint="eastAsia" w:ascii="楷体" w:hAnsi="楷体" w:eastAsia="楷体"/>
          <w:sz w:val="32"/>
          <w:szCs w:val="32"/>
        </w:rPr>
        <w:t>、政府</w:t>
      </w:r>
      <w:r>
        <w:rPr>
          <w:rFonts w:hint="eastAsia" w:ascii="仿宋" w:hAnsi="仿宋" w:eastAsia="仿宋"/>
          <w:sz w:val="32"/>
          <w:szCs w:val="32"/>
        </w:rPr>
        <w:t>：负责全镇的经济建设、计划统筹、人事劳动、财政、统计、乡镇企业管理、劳务管理和信访工作。</w:t>
      </w:r>
    </w:p>
    <w:p>
      <w:pPr>
        <w:spacing w:line="584" w:lineRule="exact"/>
        <w:ind w:firstLine="640" w:firstLineChars="200"/>
        <w:rPr>
          <w:rFonts w:ascii="仿宋" w:hAnsi="仿宋" w:eastAsia="仿宋"/>
          <w:sz w:val="32"/>
          <w:szCs w:val="32"/>
        </w:rPr>
      </w:pPr>
      <w:r>
        <w:rPr>
          <w:rFonts w:ascii="楷体" w:hAnsi="楷体" w:eastAsia="楷体"/>
          <w:sz w:val="32"/>
          <w:szCs w:val="32"/>
        </w:rPr>
        <w:t>3</w:t>
      </w:r>
      <w:r>
        <w:rPr>
          <w:rFonts w:hint="eastAsia" w:ascii="楷体" w:hAnsi="楷体" w:eastAsia="楷体"/>
          <w:sz w:val="32"/>
          <w:szCs w:val="32"/>
        </w:rPr>
        <w:t>、人大</w:t>
      </w:r>
      <w:r>
        <w:rPr>
          <w:rFonts w:hint="eastAsia" w:ascii="仿宋" w:hAnsi="仿宋" w:eastAsia="仿宋"/>
          <w:sz w:val="32"/>
          <w:szCs w:val="32"/>
        </w:rPr>
        <w:t>：负责全镇人大各方面工作。</w:t>
      </w:r>
    </w:p>
    <w:p>
      <w:pPr>
        <w:spacing w:line="584" w:lineRule="exact"/>
        <w:ind w:firstLine="640" w:firstLineChars="200"/>
        <w:rPr>
          <w:rFonts w:ascii="仿宋" w:hAnsi="仿宋" w:eastAsia="仿宋"/>
          <w:sz w:val="32"/>
          <w:szCs w:val="32"/>
        </w:rPr>
      </w:pPr>
      <w:r>
        <w:rPr>
          <w:rFonts w:ascii="楷体" w:hAnsi="楷体" w:eastAsia="楷体"/>
          <w:sz w:val="32"/>
          <w:szCs w:val="32"/>
        </w:rPr>
        <w:t>4</w:t>
      </w:r>
      <w:r>
        <w:rPr>
          <w:rFonts w:hint="eastAsia" w:ascii="楷体" w:hAnsi="楷体" w:eastAsia="楷体"/>
          <w:sz w:val="32"/>
          <w:szCs w:val="32"/>
        </w:rPr>
        <w:t>、财政</w:t>
      </w:r>
      <w:r>
        <w:rPr>
          <w:rFonts w:hint="eastAsia" w:ascii="仿宋" w:hAnsi="仿宋" w:eastAsia="仿宋"/>
          <w:sz w:val="32"/>
          <w:szCs w:val="32"/>
        </w:rPr>
        <w:t>：负责乡镇财政收支、预决算的编制执行、财政资金使用监管、国有资产管理工作、各项惠农补贴发放工作。</w:t>
      </w:r>
    </w:p>
    <w:p>
      <w:pPr>
        <w:spacing w:line="584" w:lineRule="exact"/>
        <w:ind w:firstLine="640" w:firstLineChars="200"/>
        <w:rPr>
          <w:rFonts w:ascii="仿宋" w:hAnsi="仿宋" w:eastAsia="仿宋"/>
          <w:sz w:val="32"/>
          <w:szCs w:val="32"/>
        </w:rPr>
      </w:pPr>
      <w:r>
        <w:rPr>
          <w:rFonts w:ascii="楷体" w:hAnsi="楷体" w:eastAsia="楷体"/>
          <w:sz w:val="32"/>
          <w:szCs w:val="32"/>
        </w:rPr>
        <w:t>5</w:t>
      </w:r>
      <w:r>
        <w:rPr>
          <w:rFonts w:hint="eastAsia" w:ascii="楷体" w:hAnsi="楷体" w:eastAsia="楷体"/>
          <w:sz w:val="32"/>
          <w:szCs w:val="32"/>
        </w:rPr>
        <w:t>、计生</w:t>
      </w:r>
      <w:r>
        <w:rPr>
          <w:rFonts w:hint="eastAsia" w:ascii="仿宋" w:hAnsi="仿宋" w:eastAsia="仿宋"/>
          <w:sz w:val="32"/>
          <w:szCs w:val="32"/>
        </w:rPr>
        <w:t>：负责宣传贯彻上级关于人口和计划生育法律、法规、方针、政策；制定本乡镇人口发展的中长期规划和年度计划；负责辖区内常住、暂住、流动人口的计划生育行政管理；受理计划生育来信来访，查处违反计划生育政策的案件；监督指导计划生育服务中心的工作。</w:t>
      </w:r>
    </w:p>
    <w:p>
      <w:pPr>
        <w:spacing w:line="584" w:lineRule="exact"/>
        <w:ind w:firstLine="640" w:firstLineChars="200"/>
        <w:rPr>
          <w:rFonts w:ascii="仿宋" w:hAnsi="仿宋" w:eastAsia="仿宋"/>
          <w:sz w:val="32"/>
          <w:szCs w:val="32"/>
        </w:rPr>
      </w:pPr>
      <w:r>
        <w:rPr>
          <w:rFonts w:ascii="楷体" w:hAnsi="楷体" w:eastAsia="楷体"/>
          <w:sz w:val="32"/>
          <w:szCs w:val="32"/>
        </w:rPr>
        <w:t>6</w:t>
      </w:r>
      <w:r>
        <w:rPr>
          <w:rFonts w:hint="eastAsia" w:ascii="楷体" w:hAnsi="楷体" w:eastAsia="楷体"/>
          <w:sz w:val="32"/>
          <w:szCs w:val="32"/>
        </w:rPr>
        <w:t>、农业：</w:t>
      </w:r>
      <w:r>
        <w:rPr>
          <w:rFonts w:hint="eastAsia" w:ascii="仿宋" w:hAnsi="仿宋" w:eastAsia="仿宋"/>
          <w:sz w:val="32"/>
          <w:szCs w:val="32"/>
        </w:rPr>
        <w:t>负责全镇的科学发展技术工作、农业综合开发工作、农村经济工作和林业工作。</w:t>
      </w:r>
    </w:p>
    <w:p>
      <w:pPr>
        <w:spacing w:line="584" w:lineRule="exact"/>
        <w:ind w:firstLine="640" w:firstLineChars="200"/>
        <w:rPr>
          <w:rFonts w:ascii="仿宋" w:hAnsi="仿宋" w:eastAsia="仿宋"/>
          <w:sz w:val="32"/>
          <w:szCs w:val="32"/>
        </w:rPr>
      </w:pPr>
      <w:r>
        <w:rPr>
          <w:rFonts w:ascii="楷体" w:hAnsi="楷体" w:eastAsia="楷体"/>
          <w:sz w:val="32"/>
          <w:szCs w:val="32"/>
        </w:rPr>
        <w:t>7</w:t>
      </w:r>
      <w:r>
        <w:rPr>
          <w:rFonts w:hint="eastAsia" w:ascii="楷体" w:hAnsi="楷体" w:eastAsia="楷体"/>
          <w:sz w:val="32"/>
          <w:szCs w:val="32"/>
        </w:rPr>
        <w:t>、水利</w:t>
      </w:r>
      <w:r>
        <w:rPr>
          <w:rFonts w:hint="eastAsia" w:ascii="仿宋" w:hAnsi="仿宋" w:eastAsia="仿宋"/>
          <w:sz w:val="32"/>
          <w:szCs w:val="32"/>
        </w:rPr>
        <w:t>：负责全镇水利各方面工作。</w:t>
      </w:r>
    </w:p>
    <w:p>
      <w:pPr>
        <w:spacing w:line="584" w:lineRule="exact"/>
        <w:ind w:firstLine="640" w:firstLineChars="200"/>
        <w:rPr>
          <w:rFonts w:ascii="仿宋" w:hAnsi="仿宋" w:eastAsia="仿宋"/>
          <w:sz w:val="32"/>
          <w:szCs w:val="32"/>
        </w:rPr>
      </w:pPr>
      <w:r>
        <w:rPr>
          <w:rFonts w:ascii="楷体" w:hAnsi="楷体" w:eastAsia="楷体"/>
          <w:sz w:val="32"/>
          <w:szCs w:val="32"/>
        </w:rPr>
        <w:t>8</w:t>
      </w:r>
      <w:r>
        <w:rPr>
          <w:rFonts w:hint="eastAsia" w:ascii="楷体" w:hAnsi="楷体" w:eastAsia="楷体"/>
          <w:sz w:val="32"/>
          <w:szCs w:val="32"/>
        </w:rPr>
        <w:t>、广播</w:t>
      </w:r>
      <w:r>
        <w:rPr>
          <w:rFonts w:hint="eastAsia" w:ascii="仿宋" w:hAnsi="仿宋" w:eastAsia="仿宋"/>
          <w:sz w:val="32"/>
          <w:szCs w:val="32"/>
        </w:rPr>
        <w:t>：组织开展科普教育活动，引导农民开展健康有益的文娱体育活动；负责群众文艺骨干辅导和培训工作；搜集、整理民间文化艺术遗产；负责文物保护工作。</w:t>
      </w:r>
    </w:p>
    <w:p>
      <w:pPr>
        <w:pStyle w:val="3"/>
        <w:spacing w:before="0" w:after="0" w:line="584" w:lineRule="exact"/>
        <w:ind w:firstLine="640" w:firstLineChars="200"/>
        <w:rPr>
          <w:rFonts w:ascii="Times New Roman" w:hAnsi="Times New Roman" w:eastAsia="黑体"/>
          <w:b w:val="0"/>
          <w:kern w:val="0"/>
        </w:rPr>
      </w:pPr>
      <w:r>
        <w:rPr>
          <w:rFonts w:ascii="Times New Roman" w:hAnsi="Times New Roman" w:eastAsia="黑体"/>
          <w:b w:val="0"/>
          <w:kern w:val="0"/>
        </w:rPr>
        <w:t>二、部门决算单位构成</w:t>
      </w:r>
    </w:p>
    <w:p>
      <w:pPr>
        <w:spacing w:line="584" w:lineRule="exact"/>
        <w:ind w:firstLine="640" w:firstLineChars="200"/>
        <w:rPr>
          <w:rFonts w:ascii="仿宋" w:hAnsi="仿宋" w:eastAsia="仿宋"/>
          <w:sz w:val="32"/>
          <w:szCs w:val="32"/>
        </w:rPr>
      </w:pPr>
      <w:r>
        <w:rPr>
          <w:rFonts w:ascii="仿宋" w:hAnsi="仿宋" w:eastAsia="仿宋"/>
          <w:sz w:val="32"/>
          <w:szCs w:val="32"/>
        </w:rPr>
        <w:t>2017 年度，纳入本部门决算汇编范围的独立核算单位（以下简称“单位”）共</w:t>
      </w:r>
      <w:r>
        <w:rPr>
          <w:rFonts w:hint="eastAsia" w:ascii="仿宋" w:hAnsi="仿宋" w:eastAsia="仿宋"/>
          <w:sz w:val="32"/>
          <w:szCs w:val="32"/>
        </w:rPr>
        <w:t>6</w:t>
      </w:r>
      <w:r>
        <w:rPr>
          <w:rFonts w:ascii="仿宋" w:hAnsi="仿宋" w:eastAsia="仿宋"/>
          <w:sz w:val="32"/>
          <w:szCs w:val="32"/>
        </w:rPr>
        <w:t>个，分别是（</w:t>
      </w:r>
      <w:r>
        <w:rPr>
          <w:rFonts w:hint="eastAsia" w:ascii="仿宋" w:hAnsi="仿宋" w:eastAsia="仿宋"/>
          <w:sz w:val="32"/>
          <w:szCs w:val="32"/>
        </w:rPr>
        <w:t>见下表</w:t>
      </w:r>
      <w:r>
        <w:rPr>
          <w:rFonts w:ascii="仿宋" w:hAnsi="仿宋" w:eastAsia="仿宋"/>
          <w:sz w:val="32"/>
          <w:szCs w:val="32"/>
        </w:rPr>
        <w:t>）。</w:t>
      </w:r>
    </w:p>
    <w:p>
      <w:pPr>
        <w:autoSpaceDE w:val="0"/>
        <w:autoSpaceDN w:val="0"/>
        <w:adjustRightInd w:val="0"/>
        <w:spacing w:line="584" w:lineRule="exact"/>
        <w:ind w:firstLine="640" w:firstLineChars="200"/>
        <w:jc w:val="left"/>
        <w:rPr>
          <w:rFonts w:eastAsia="仿宋_GB2312"/>
          <w:kern w:val="0"/>
          <w:sz w:val="32"/>
          <w:szCs w:val="32"/>
        </w:rPr>
      </w:pPr>
    </w:p>
    <w:tbl>
      <w:tblPr>
        <w:tblStyle w:val="10"/>
        <w:tblW w:w="9416" w:type="dxa"/>
        <w:tblInd w:w="108" w:type="dxa"/>
        <w:tblLayout w:type="fixed"/>
        <w:tblCellMar>
          <w:top w:w="0" w:type="dxa"/>
          <w:left w:w="108" w:type="dxa"/>
          <w:bottom w:w="0" w:type="dxa"/>
          <w:right w:w="108" w:type="dxa"/>
        </w:tblCellMar>
      </w:tblPr>
      <w:tblGrid>
        <w:gridCol w:w="2309"/>
        <w:gridCol w:w="2308"/>
        <w:gridCol w:w="2308"/>
        <w:gridCol w:w="2491"/>
      </w:tblGrid>
      <w:tr>
        <w:tblPrEx>
          <w:tblCellMar>
            <w:top w:w="0" w:type="dxa"/>
            <w:left w:w="108" w:type="dxa"/>
            <w:bottom w:w="0" w:type="dxa"/>
            <w:right w:w="108" w:type="dxa"/>
          </w:tblCellMar>
        </w:tblPrEx>
        <w:trPr>
          <w:trHeight w:val="735" w:hRule="atLeast"/>
        </w:trPr>
        <w:tc>
          <w:tcPr>
            <w:tcW w:w="9416" w:type="dxa"/>
            <w:gridSpan w:val="4"/>
            <w:tcBorders>
              <w:top w:val="nil"/>
              <w:left w:val="nil"/>
              <w:bottom w:val="single" w:color="000000" w:sz="8" w:space="0"/>
              <w:right w:val="nil"/>
            </w:tcBorders>
            <w:shd w:val="clear" w:color="auto" w:fill="auto"/>
            <w:vAlign w:val="center"/>
          </w:tcPr>
          <w:p>
            <w:pPr>
              <w:widowControl/>
              <w:jc w:val="center"/>
              <w:rPr>
                <w:rFonts w:ascii="宋体" w:hAnsi="宋体" w:cs="宋体"/>
                <w:kern w:val="0"/>
                <w:sz w:val="32"/>
                <w:szCs w:val="32"/>
              </w:rPr>
            </w:pPr>
            <w:r>
              <w:rPr>
                <w:rFonts w:hint="eastAsia" w:ascii="宋体" w:hAnsi="宋体" w:cs="宋体"/>
                <w:kern w:val="0"/>
                <w:sz w:val="32"/>
                <w:szCs w:val="32"/>
              </w:rPr>
              <w:t>部门决算单位构成情况</w:t>
            </w:r>
          </w:p>
        </w:tc>
      </w:tr>
      <w:tr>
        <w:tblPrEx>
          <w:tblCellMar>
            <w:top w:w="0" w:type="dxa"/>
            <w:left w:w="108" w:type="dxa"/>
            <w:bottom w:w="0" w:type="dxa"/>
            <w:right w:w="108" w:type="dxa"/>
          </w:tblCellMar>
        </w:tblPrEx>
        <w:trPr>
          <w:trHeight w:val="624" w:hRule="atLeast"/>
        </w:trPr>
        <w:tc>
          <w:tcPr>
            <w:tcW w:w="230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b/>
                <w:bCs/>
                <w:kern w:val="0"/>
                <w:szCs w:val="21"/>
              </w:rPr>
            </w:pPr>
            <w:r>
              <w:rPr>
                <w:rFonts w:hint="eastAsia" w:ascii="宋体" w:hAnsi="宋体" w:cs="宋体"/>
                <w:b/>
                <w:bCs/>
                <w:kern w:val="0"/>
                <w:szCs w:val="21"/>
              </w:rPr>
              <w:t>单位名称</w:t>
            </w:r>
          </w:p>
        </w:tc>
        <w:tc>
          <w:tcPr>
            <w:tcW w:w="2308"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b/>
                <w:bCs/>
                <w:kern w:val="0"/>
                <w:szCs w:val="21"/>
              </w:rPr>
            </w:pPr>
            <w:r>
              <w:rPr>
                <w:rFonts w:hint="eastAsia" w:ascii="宋体" w:hAnsi="宋体" w:cs="宋体"/>
                <w:b/>
                <w:bCs/>
                <w:kern w:val="0"/>
                <w:szCs w:val="21"/>
              </w:rPr>
              <w:t>单位性质</w:t>
            </w:r>
          </w:p>
        </w:tc>
        <w:tc>
          <w:tcPr>
            <w:tcW w:w="2308"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b/>
                <w:bCs/>
                <w:kern w:val="0"/>
                <w:szCs w:val="21"/>
              </w:rPr>
            </w:pPr>
            <w:r>
              <w:rPr>
                <w:rFonts w:hint="eastAsia" w:ascii="宋体" w:hAnsi="宋体" w:cs="宋体"/>
                <w:b/>
                <w:bCs/>
                <w:kern w:val="0"/>
                <w:szCs w:val="21"/>
              </w:rPr>
              <w:t>单位规格</w:t>
            </w:r>
          </w:p>
        </w:tc>
        <w:tc>
          <w:tcPr>
            <w:tcW w:w="2491"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b/>
                <w:bCs/>
                <w:kern w:val="0"/>
                <w:szCs w:val="21"/>
              </w:rPr>
            </w:pPr>
            <w:r>
              <w:rPr>
                <w:rFonts w:hint="eastAsia" w:ascii="宋体" w:hAnsi="宋体" w:cs="宋体"/>
                <w:b/>
                <w:bCs/>
                <w:kern w:val="0"/>
                <w:szCs w:val="21"/>
              </w:rPr>
              <w:t>经费保障形式</w:t>
            </w:r>
          </w:p>
        </w:tc>
      </w:tr>
      <w:tr>
        <w:tblPrEx>
          <w:tblCellMar>
            <w:top w:w="0" w:type="dxa"/>
            <w:left w:w="108" w:type="dxa"/>
            <w:bottom w:w="0" w:type="dxa"/>
            <w:right w:w="108" w:type="dxa"/>
          </w:tblCellMar>
        </w:tblPrEx>
        <w:trPr>
          <w:trHeight w:val="624" w:hRule="atLeast"/>
        </w:trPr>
        <w:tc>
          <w:tcPr>
            <w:tcW w:w="2309" w:type="dxa"/>
            <w:vMerge w:val="continue"/>
            <w:tcBorders>
              <w:top w:val="nil"/>
              <w:left w:val="single" w:color="000000" w:sz="8" w:space="0"/>
              <w:bottom w:val="single" w:color="000000" w:sz="8" w:space="0"/>
              <w:right w:val="single" w:color="000000" w:sz="8" w:space="0"/>
            </w:tcBorders>
            <w:vAlign w:val="center"/>
          </w:tcPr>
          <w:p>
            <w:pPr>
              <w:widowControl/>
              <w:jc w:val="left"/>
              <w:rPr>
                <w:rFonts w:ascii="方正书宋_GBK" w:hAnsi="宋体" w:eastAsia="方正书宋_GBK" w:cs="宋体"/>
                <w:b/>
                <w:bCs/>
                <w:kern w:val="0"/>
                <w:szCs w:val="21"/>
              </w:rPr>
            </w:pPr>
          </w:p>
        </w:tc>
        <w:tc>
          <w:tcPr>
            <w:tcW w:w="2308" w:type="dxa"/>
            <w:vMerge w:val="continue"/>
            <w:tcBorders>
              <w:top w:val="nil"/>
              <w:left w:val="single" w:color="000000" w:sz="8" w:space="0"/>
              <w:bottom w:val="single" w:color="000000" w:sz="8" w:space="0"/>
              <w:right w:val="single" w:color="000000" w:sz="8" w:space="0"/>
            </w:tcBorders>
            <w:vAlign w:val="center"/>
          </w:tcPr>
          <w:p>
            <w:pPr>
              <w:widowControl/>
              <w:jc w:val="left"/>
              <w:rPr>
                <w:rFonts w:ascii="方正书宋_GBK" w:hAnsi="宋体" w:eastAsia="方正书宋_GBK" w:cs="宋体"/>
                <w:b/>
                <w:bCs/>
                <w:kern w:val="0"/>
                <w:szCs w:val="21"/>
              </w:rPr>
            </w:pPr>
          </w:p>
        </w:tc>
        <w:tc>
          <w:tcPr>
            <w:tcW w:w="2308" w:type="dxa"/>
            <w:vMerge w:val="continue"/>
            <w:tcBorders>
              <w:top w:val="nil"/>
              <w:left w:val="single" w:color="000000" w:sz="8" w:space="0"/>
              <w:bottom w:val="single" w:color="000000" w:sz="8" w:space="0"/>
              <w:right w:val="single" w:color="000000" w:sz="8" w:space="0"/>
            </w:tcBorders>
            <w:vAlign w:val="center"/>
          </w:tcPr>
          <w:p>
            <w:pPr>
              <w:widowControl/>
              <w:jc w:val="left"/>
              <w:rPr>
                <w:rFonts w:ascii="方正书宋_GBK" w:hAnsi="宋体" w:eastAsia="方正书宋_GBK" w:cs="宋体"/>
                <w:b/>
                <w:bCs/>
                <w:kern w:val="0"/>
                <w:szCs w:val="21"/>
              </w:rPr>
            </w:pPr>
          </w:p>
        </w:tc>
        <w:tc>
          <w:tcPr>
            <w:tcW w:w="2491" w:type="dxa"/>
            <w:vMerge w:val="continue"/>
            <w:tcBorders>
              <w:top w:val="nil"/>
              <w:left w:val="single" w:color="000000" w:sz="8" w:space="0"/>
              <w:bottom w:val="single" w:color="000000" w:sz="8" w:space="0"/>
              <w:right w:val="single" w:color="000000" w:sz="8" w:space="0"/>
            </w:tcBorders>
            <w:vAlign w:val="center"/>
          </w:tcPr>
          <w:p>
            <w:pPr>
              <w:widowControl/>
              <w:jc w:val="left"/>
              <w:rPr>
                <w:rFonts w:ascii="方正书宋_GBK" w:hAnsi="宋体" w:eastAsia="方正书宋_GBK" w:cs="宋体"/>
                <w:b/>
                <w:bCs/>
                <w:kern w:val="0"/>
                <w:szCs w:val="21"/>
              </w:rPr>
            </w:pPr>
          </w:p>
        </w:tc>
      </w:tr>
      <w:tr>
        <w:tblPrEx>
          <w:tblCellMar>
            <w:top w:w="0" w:type="dxa"/>
            <w:left w:w="108" w:type="dxa"/>
            <w:bottom w:w="0" w:type="dxa"/>
            <w:right w:w="108" w:type="dxa"/>
          </w:tblCellMar>
        </w:tblPrEx>
        <w:trPr>
          <w:trHeight w:val="660" w:hRule="atLeast"/>
        </w:trPr>
        <w:tc>
          <w:tcPr>
            <w:tcW w:w="2309"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平舒镇政府</w:t>
            </w:r>
          </w:p>
        </w:tc>
        <w:tc>
          <w:tcPr>
            <w:tcW w:w="2308"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行政</w:t>
            </w:r>
          </w:p>
        </w:tc>
        <w:tc>
          <w:tcPr>
            <w:tcW w:w="2308"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正科级</w:t>
            </w:r>
          </w:p>
        </w:tc>
        <w:tc>
          <w:tcPr>
            <w:tcW w:w="2491"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财政拨款</w:t>
            </w:r>
          </w:p>
        </w:tc>
      </w:tr>
      <w:tr>
        <w:tblPrEx>
          <w:tblCellMar>
            <w:top w:w="0" w:type="dxa"/>
            <w:left w:w="108" w:type="dxa"/>
            <w:bottom w:w="0" w:type="dxa"/>
            <w:right w:w="108" w:type="dxa"/>
          </w:tblCellMar>
        </w:tblPrEx>
        <w:trPr>
          <w:trHeight w:val="660" w:hRule="atLeast"/>
        </w:trPr>
        <w:tc>
          <w:tcPr>
            <w:tcW w:w="2309"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平舒镇党委</w:t>
            </w:r>
          </w:p>
        </w:tc>
        <w:tc>
          <w:tcPr>
            <w:tcW w:w="2308"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行政</w:t>
            </w:r>
          </w:p>
        </w:tc>
        <w:tc>
          <w:tcPr>
            <w:tcW w:w="2308"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正科级</w:t>
            </w:r>
          </w:p>
        </w:tc>
        <w:tc>
          <w:tcPr>
            <w:tcW w:w="2491"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财政拨款</w:t>
            </w:r>
          </w:p>
        </w:tc>
      </w:tr>
      <w:tr>
        <w:tblPrEx>
          <w:tblCellMar>
            <w:top w:w="0" w:type="dxa"/>
            <w:left w:w="108" w:type="dxa"/>
            <w:bottom w:w="0" w:type="dxa"/>
            <w:right w:w="108" w:type="dxa"/>
          </w:tblCellMar>
        </w:tblPrEx>
        <w:trPr>
          <w:trHeight w:val="660" w:hRule="atLeast"/>
        </w:trPr>
        <w:tc>
          <w:tcPr>
            <w:tcW w:w="2309"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平舒镇财政所</w:t>
            </w:r>
          </w:p>
        </w:tc>
        <w:tc>
          <w:tcPr>
            <w:tcW w:w="2308"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事业</w:t>
            </w:r>
          </w:p>
        </w:tc>
        <w:tc>
          <w:tcPr>
            <w:tcW w:w="2308"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股级</w:t>
            </w:r>
          </w:p>
        </w:tc>
        <w:tc>
          <w:tcPr>
            <w:tcW w:w="2491"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财政性资金基本保证</w:t>
            </w:r>
          </w:p>
        </w:tc>
      </w:tr>
      <w:tr>
        <w:tblPrEx>
          <w:tblCellMar>
            <w:top w:w="0" w:type="dxa"/>
            <w:left w:w="108" w:type="dxa"/>
            <w:bottom w:w="0" w:type="dxa"/>
            <w:right w:w="108" w:type="dxa"/>
          </w:tblCellMar>
        </w:tblPrEx>
        <w:trPr>
          <w:trHeight w:val="660" w:hRule="atLeast"/>
        </w:trPr>
        <w:tc>
          <w:tcPr>
            <w:tcW w:w="2309"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平舒镇农业服务中心</w:t>
            </w:r>
          </w:p>
        </w:tc>
        <w:tc>
          <w:tcPr>
            <w:tcW w:w="2308"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事业</w:t>
            </w:r>
          </w:p>
        </w:tc>
        <w:tc>
          <w:tcPr>
            <w:tcW w:w="2308"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股级</w:t>
            </w:r>
          </w:p>
        </w:tc>
        <w:tc>
          <w:tcPr>
            <w:tcW w:w="2491"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财政性资金基本保证</w:t>
            </w:r>
          </w:p>
        </w:tc>
      </w:tr>
      <w:tr>
        <w:tblPrEx>
          <w:tblCellMar>
            <w:top w:w="0" w:type="dxa"/>
            <w:left w:w="108" w:type="dxa"/>
            <w:bottom w:w="0" w:type="dxa"/>
            <w:right w:w="108" w:type="dxa"/>
          </w:tblCellMar>
        </w:tblPrEx>
        <w:trPr>
          <w:trHeight w:val="660" w:hRule="atLeast"/>
        </w:trPr>
        <w:tc>
          <w:tcPr>
            <w:tcW w:w="2309" w:type="dxa"/>
            <w:tcBorders>
              <w:top w:val="nil"/>
              <w:left w:val="single" w:color="000000" w:sz="8" w:space="0"/>
              <w:bottom w:val="single" w:color="000000" w:sz="8" w:space="0"/>
              <w:right w:val="single" w:color="000000" w:sz="8" w:space="0"/>
            </w:tcBorders>
            <w:shd w:val="clear" w:color="auto" w:fill="auto"/>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平舒镇文化广播服务中心</w:t>
            </w:r>
          </w:p>
        </w:tc>
        <w:tc>
          <w:tcPr>
            <w:tcW w:w="2308"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事业</w:t>
            </w:r>
          </w:p>
        </w:tc>
        <w:tc>
          <w:tcPr>
            <w:tcW w:w="2308"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股级</w:t>
            </w:r>
          </w:p>
        </w:tc>
        <w:tc>
          <w:tcPr>
            <w:tcW w:w="2491"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财政性资金基本保证</w:t>
            </w:r>
          </w:p>
        </w:tc>
      </w:tr>
      <w:tr>
        <w:tblPrEx>
          <w:tblCellMar>
            <w:top w:w="0" w:type="dxa"/>
            <w:left w:w="108" w:type="dxa"/>
            <w:bottom w:w="0" w:type="dxa"/>
            <w:right w:w="108" w:type="dxa"/>
          </w:tblCellMar>
        </w:tblPrEx>
        <w:trPr>
          <w:trHeight w:val="660" w:hRule="atLeast"/>
        </w:trPr>
        <w:tc>
          <w:tcPr>
            <w:tcW w:w="2309"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平舒镇计生服务中心</w:t>
            </w:r>
          </w:p>
        </w:tc>
        <w:tc>
          <w:tcPr>
            <w:tcW w:w="2308"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事业</w:t>
            </w:r>
          </w:p>
        </w:tc>
        <w:tc>
          <w:tcPr>
            <w:tcW w:w="2308"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股级</w:t>
            </w:r>
          </w:p>
        </w:tc>
        <w:tc>
          <w:tcPr>
            <w:tcW w:w="2491"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财政性资金基本保证</w:t>
            </w:r>
          </w:p>
        </w:tc>
      </w:tr>
    </w:tbl>
    <w:p>
      <w:pPr>
        <w:autoSpaceDE w:val="0"/>
        <w:autoSpaceDN w:val="0"/>
        <w:adjustRightInd w:val="0"/>
        <w:spacing w:line="584" w:lineRule="exact"/>
        <w:ind w:firstLine="640" w:firstLineChars="200"/>
        <w:jc w:val="left"/>
        <w:rPr>
          <w:rFonts w:eastAsia="仿宋_GB2312"/>
          <w:kern w:val="0"/>
          <w:sz w:val="32"/>
          <w:szCs w:val="32"/>
        </w:rPr>
        <w:sectPr>
          <w:footerReference r:id="rId3" w:type="default"/>
          <w:footerReference r:id="rId4" w:type="even"/>
          <w:pgSz w:w="11906" w:h="16838"/>
          <w:pgMar w:top="1985" w:right="1531" w:bottom="1985" w:left="1531" w:header="851" w:footer="1418" w:gutter="0"/>
          <w:pgNumType w:start="1"/>
          <w:cols w:space="425" w:num="1"/>
          <w:docGrid w:type="lines" w:linePitch="312" w:charSpace="0"/>
        </w:sectPr>
      </w:pPr>
    </w:p>
    <w:p>
      <w:pPr>
        <w:spacing w:line="584" w:lineRule="exact"/>
        <w:jc w:val="center"/>
        <w:rPr>
          <w:rFonts w:eastAsia="黑体"/>
          <w:bCs/>
          <w:kern w:val="0"/>
          <w:sz w:val="52"/>
          <w:szCs w:val="52"/>
        </w:rPr>
      </w:pPr>
    </w:p>
    <w:p>
      <w:pPr>
        <w:pStyle w:val="2"/>
        <w:spacing w:before="0" w:after="0" w:line="584" w:lineRule="exact"/>
        <w:jc w:val="center"/>
        <w:rPr>
          <w:color w:val="000000"/>
          <w:kern w:val="0"/>
        </w:rPr>
      </w:pPr>
      <w:r>
        <w:rPr>
          <w:color w:val="000000"/>
          <w:kern w:val="0"/>
        </w:rPr>
        <w:t>第二部分 2017年度部门决算报表</w:t>
      </w:r>
    </w:p>
    <w:p/>
    <w:p>
      <w:pPr>
        <w:pStyle w:val="2"/>
        <w:spacing w:before="0" w:after="0" w:line="584" w:lineRule="exact"/>
        <w:jc w:val="center"/>
        <w:rPr>
          <w:color w:val="000000"/>
          <w:kern w:val="0"/>
        </w:rPr>
      </w:pPr>
      <w:r>
        <w:rPr>
          <w:rFonts w:hint="eastAsia"/>
          <w:color w:val="000000"/>
          <w:kern w:val="0"/>
        </w:rPr>
        <w:t>（见附表）</w:t>
      </w:r>
    </w:p>
    <w:p/>
    <w:p/>
    <w:p/>
    <w:p/>
    <w:p/>
    <w:p/>
    <w:p/>
    <w:p/>
    <w:p/>
    <w:p/>
    <w:p/>
    <w:p/>
    <w:p/>
    <w:p/>
    <w:p/>
    <w:p/>
    <w:p/>
    <w:p/>
    <w:p/>
    <w:p/>
    <w:p/>
    <w:p/>
    <w:p/>
    <w:p/>
    <w:p/>
    <w:p/>
    <w:p/>
    <w:p/>
    <w:p/>
    <w:p/>
    <w:p/>
    <w:p/>
    <w:p/>
    <w:p/>
    <w:p/>
    <w:p/>
    <w:p>
      <w:pPr>
        <w:pStyle w:val="2"/>
        <w:spacing w:before="0" w:after="0" w:line="584" w:lineRule="exact"/>
        <w:jc w:val="center"/>
        <w:rPr>
          <w:color w:val="000000"/>
          <w:kern w:val="0"/>
        </w:rPr>
      </w:pPr>
      <w:r>
        <w:rPr>
          <w:color w:val="000000"/>
          <w:kern w:val="0"/>
        </w:rPr>
        <w:t>第三部分部门决算情况说明</w:t>
      </w:r>
    </w:p>
    <w:p/>
    <w:p>
      <w:pPr>
        <w:pStyle w:val="3"/>
        <w:spacing w:before="0" w:after="0" w:line="584" w:lineRule="exact"/>
        <w:ind w:firstLine="640" w:firstLineChars="200"/>
        <w:rPr>
          <w:rFonts w:ascii="Times New Roman" w:hAnsi="Times New Roman" w:eastAsia="黑体"/>
          <w:b w:val="0"/>
          <w:kern w:val="0"/>
        </w:rPr>
      </w:pPr>
      <w:r>
        <w:rPr>
          <w:rFonts w:ascii="Times New Roman" w:hAnsi="Times New Roman" w:eastAsia="黑体"/>
          <w:b w:val="0"/>
          <w:kern w:val="0"/>
        </w:rPr>
        <w:t>一、收入支出决算总体情况说明</w:t>
      </w:r>
    </w:p>
    <w:p>
      <w:pPr>
        <w:spacing w:line="584" w:lineRule="exact"/>
        <w:ind w:firstLine="640" w:firstLineChars="200"/>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年度预算收入为</w:t>
      </w:r>
      <w:r>
        <w:rPr>
          <w:rFonts w:ascii="仿宋" w:hAnsi="仿宋" w:eastAsia="仿宋"/>
          <w:sz w:val="32"/>
          <w:szCs w:val="32"/>
        </w:rPr>
        <w:t>5859</w:t>
      </w:r>
      <w:r>
        <w:rPr>
          <w:rFonts w:hint="eastAsia" w:ascii="仿宋" w:hAnsi="仿宋" w:eastAsia="仿宋"/>
          <w:sz w:val="32"/>
          <w:szCs w:val="32"/>
        </w:rPr>
        <w:t>万元,比</w:t>
      </w:r>
      <w:r>
        <w:rPr>
          <w:rFonts w:ascii="仿宋" w:hAnsi="仿宋" w:eastAsia="仿宋"/>
          <w:sz w:val="32"/>
          <w:szCs w:val="32"/>
        </w:rPr>
        <w:t>2016</w:t>
      </w:r>
      <w:r>
        <w:rPr>
          <w:rFonts w:hint="eastAsia" w:ascii="仿宋" w:hAnsi="仿宋" w:eastAsia="仿宋"/>
          <w:sz w:val="32"/>
          <w:szCs w:val="32"/>
        </w:rPr>
        <w:t>年度预算收入增加了</w:t>
      </w:r>
      <w:r>
        <w:rPr>
          <w:rFonts w:ascii="仿宋" w:hAnsi="仿宋" w:eastAsia="仿宋"/>
          <w:sz w:val="32"/>
          <w:szCs w:val="32"/>
        </w:rPr>
        <w:t>2823</w:t>
      </w:r>
      <w:r>
        <w:rPr>
          <w:rFonts w:hint="eastAsia" w:ascii="仿宋" w:hAnsi="仿宋" w:eastAsia="仿宋"/>
          <w:sz w:val="32"/>
          <w:szCs w:val="32"/>
        </w:rPr>
        <w:t>万元，同比增加</w:t>
      </w:r>
      <w:r>
        <w:rPr>
          <w:rFonts w:ascii="仿宋" w:hAnsi="仿宋" w:eastAsia="仿宋"/>
          <w:sz w:val="32"/>
          <w:szCs w:val="32"/>
        </w:rPr>
        <w:t>92.9</w:t>
      </w:r>
      <w:r>
        <w:rPr>
          <w:rFonts w:hint="eastAsia" w:ascii="仿宋" w:hAnsi="仿宋" w:eastAsia="仿宋"/>
          <w:sz w:val="32"/>
          <w:szCs w:val="32"/>
        </w:rPr>
        <w:t>%。原因：</w:t>
      </w:r>
      <w:r>
        <w:rPr>
          <w:rFonts w:ascii="仿宋" w:hAnsi="仿宋" w:eastAsia="仿宋"/>
          <w:sz w:val="32"/>
          <w:szCs w:val="32"/>
        </w:rPr>
        <w:t>2017</w:t>
      </w:r>
      <w:r>
        <w:rPr>
          <w:rFonts w:hint="eastAsia" w:ascii="仿宋" w:hAnsi="仿宋" w:eastAsia="仿宋"/>
          <w:sz w:val="32"/>
          <w:szCs w:val="32"/>
        </w:rPr>
        <w:t>年度加大城乡社区公共建设和农村“气代煤”改造工程，包括泰恒置业房地产开发有限公司土地征用补偿金、“气代煤”改造工程燃气具补贴及安全评估资金等。</w:t>
      </w:r>
      <w:r>
        <w:rPr>
          <w:rFonts w:ascii="仿宋" w:hAnsi="仿宋" w:eastAsia="仿宋"/>
          <w:sz w:val="32"/>
          <w:szCs w:val="32"/>
        </w:rPr>
        <w:t>2017</w:t>
      </w:r>
      <w:r>
        <w:rPr>
          <w:rFonts w:hint="eastAsia" w:ascii="仿宋" w:hAnsi="仿宋" w:eastAsia="仿宋"/>
          <w:sz w:val="32"/>
          <w:szCs w:val="32"/>
        </w:rPr>
        <w:t>年度预算支出为</w:t>
      </w:r>
      <w:r>
        <w:rPr>
          <w:rFonts w:ascii="仿宋" w:hAnsi="仿宋" w:eastAsia="仿宋"/>
          <w:sz w:val="32"/>
          <w:szCs w:val="32"/>
        </w:rPr>
        <w:t>5859</w:t>
      </w:r>
      <w:r>
        <w:rPr>
          <w:rFonts w:hint="eastAsia" w:ascii="仿宋" w:hAnsi="仿宋" w:eastAsia="仿宋"/>
          <w:sz w:val="32"/>
          <w:szCs w:val="32"/>
        </w:rPr>
        <w:t>万元，其中：基本支出</w:t>
      </w:r>
      <w:r>
        <w:rPr>
          <w:rFonts w:ascii="仿宋" w:hAnsi="仿宋" w:eastAsia="仿宋"/>
          <w:sz w:val="32"/>
          <w:szCs w:val="32"/>
        </w:rPr>
        <w:t>1573.4</w:t>
      </w:r>
      <w:r>
        <w:rPr>
          <w:rFonts w:hint="eastAsia" w:ascii="仿宋" w:hAnsi="仿宋" w:eastAsia="仿宋"/>
          <w:sz w:val="32"/>
          <w:szCs w:val="32"/>
        </w:rPr>
        <w:t>万元（人员经费支出</w:t>
      </w:r>
      <w:r>
        <w:rPr>
          <w:rFonts w:ascii="仿宋" w:hAnsi="仿宋" w:eastAsia="仿宋"/>
          <w:sz w:val="32"/>
          <w:szCs w:val="32"/>
        </w:rPr>
        <w:t>1297.7</w:t>
      </w:r>
      <w:r>
        <w:rPr>
          <w:rFonts w:hint="eastAsia" w:ascii="仿宋" w:hAnsi="仿宋" w:eastAsia="仿宋"/>
          <w:sz w:val="32"/>
          <w:szCs w:val="32"/>
        </w:rPr>
        <w:t>万元；公用经费支出</w:t>
      </w:r>
      <w:r>
        <w:rPr>
          <w:rFonts w:ascii="仿宋" w:hAnsi="仿宋" w:eastAsia="仿宋"/>
          <w:sz w:val="32"/>
          <w:szCs w:val="32"/>
        </w:rPr>
        <w:t>275.7</w:t>
      </w:r>
      <w:r>
        <w:rPr>
          <w:rFonts w:hint="eastAsia" w:ascii="仿宋" w:hAnsi="仿宋" w:eastAsia="仿宋"/>
          <w:sz w:val="32"/>
          <w:szCs w:val="32"/>
        </w:rPr>
        <w:t>） ；项目支出</w:t>
      </w:r>
      <w:r>
        <w:rPr>
          <w:rFonts w:ascii="仿宋" w:hAnsi="仿宋" w:eastAsia="仿宋"/>
          <w:sz w:val="32"/>
          <w:szCs w:val="32"/>
        </w:rPr>
        <w:t>4285.6</w:t>
      </w:r>
      <w:r>
        <w:rPr>
          <w:rFonts w:hint="eastAsia" w:ascii="仿宋" w:hAnsi="仿宋" w:eastAsia="仿宋"/>
          <w:sz w:val="32"/>
          <w:szCs w:val="32"/>
        </w:rPr>
        <w:t>万元。比</w:t>
      </w:r>
      <w:r>
        <w:rPr>
          <w:rFonts w:ascii="仿宋" w:hAnsi="仿宋" w:eastAsia="仿宋"/>
          <w:sz w:val="32"/>
          <w:szCs w:val="32"/>
        </w:rPr>
        <w:t>2016</w:t>
      </w:r>
      <w:r>
        <w:rPr>
          <w:rFonts w:hint="eastAsia" w:ascii="仿宋" w:hAnsi="仿宋" w:eastAsia="仿宋"/>
          <w:sz w:val="32"/>
          <w:szCs w:val="32"/>
        </w:rPr>
        <w:t>年度预算支出增加了</w:t>
      </w:r>
      <w:r>
        <w:rPr>
          <w:rFonts w:ascii="仿宋" w:hAnsi="仿宋" w:eastAsia="仿宋"/>
          <w:sz w:val="32"/>
          <w:szCs w:val="32"/>
        </w:rPr>
        <w:t>2823</w:t>
      </w:r>
      <w:r>
        <w:rPr>
          <w:rFonts w:hint="eastAsia" w:ascii="仿宋" w:hAnsi="仿宋" w:eastAsia="仿宋"/>
          <w:sz w:val="32"/>
          <w:szCs w:val="32"/>
        </w:rPr>
        <w:t>万元，同比增加了</w:t>
      </w:r>
      <w:r>
        <w:rPr>
          <w:rFonts w:ascii="仿宋" w:hAnsi="仿宋" w:eastAsia="仿宋"/>
          <w:sz w:val="32"/>
          <w:szCs w:val="32"/>
        </w:rPr>
        <w:t>92.9</w:t>
      </w:r>
      <w:r>
        <w:rPr>
          <w:rFonts w:hint="eastAsia" w:ascii="仿宋" w:hAnsi="仿宋" w:eastAsia="仿宋"/>
          <w:sz w:val="32"/>
          <w:szCs w:val="32"/>
        </w:rPr>
        <w:t>%，由于</w:t>
      </w:r>
      <w:r>
        <w:rPr>
          <w:rFonts w:ascii="仿宋" w:hAnsi="仿宋" w:eastAsia="仿宋"/>
          <w:sz w:val="32"/>
          <w:szCs w:val="32"/>
        </w:rPr>
        <w:t>2017</w:t>
      </w:r>
      <w:r>
        <w:rPr>
          <w:rFonts w:hint="eastAsia" w:ascii="仿宋" w:hAnsi="仿宋" w:eastAsia="仿宋"/>
          <w:sz w:val="32"/>
          <w:szCs w:val="32"/>
        </w:rPr>
        <w:t>年度增加了城乡社区公共建设及农村“气代煤”改造工程等支出。</w:t>
      </w:r>
    </w:p>
    <w:p>
      <w:pPr>
        <w:pStyle w:val="3"/>
        <w:spacing w:before="0" w:after="0" w:line="584" w:lineRule="exact"/>
        <w:ind w:firstLine="640" w:firstLineChars="200"/>
        <w:rPr>
          <w:rFonts w:ascii="Times New Roman" w:hAnsi="Times New Roman" w:eastAsia="黑体"/>
          <w:b w:val="0"/>
          <w:kern w:val="0"/>
        </w:rPr>
      </w:pPr>
      <w:r>
        <w:rPr>
          <w:rFonts w:ascii="Times New Roman" w:hAnsi="Times New Roman" w:eastAsia="黑体"/>
          <w:b w:val="0"/>
          <w:kern w:val="0"/>
        </w:rPr>
        <w:t>二、收入决算情况说明</w:t>
      </w:r>
    </w:p>
    <w:p>
      <w:pPr>
        <w:spacing w:line="584" w:lineRule="exact"/>
        <w:ind w:firstLine="640" w:firstLineChars="200"/>
        <w:rPr>
          <w:rFonts w:ascii="仿宋" w:hAnsi="仿宋" w:eastAsia="仿宋"/>
          <w:sz w:val="32"/>
          <w:szCs w:val="32"/>
        </w:rPr>
      </w:pPr>
      <w:r>
        <w:rPr>
          <w:rFonts w:ascii="仿宋" w:hAnsi="仿宋" w:eastAsia="仿宋"/>
          <w:sz w:val="32"/>
          <w:szCs w:val="32"/>
        </w:rPr>
        <w:t>本部门2017年度本年收入合计</w:t>
      </w:r>
      <w:r>
        <w:rPr>
          <w:rFonts w:hint="eastAsia" w:ascii="仿宋" w:hAnsi="仿宋" w:eastAsia="仿宋"/>
          <w:sz w:val="32"/>
          <w:szCs w:val="32"/>
        </w:rPr>
        <w:t>5859</w:t>
      </w:r>
      <w:r>
        <w:rPr>
          <w:rFonts w:ascii="仿宋" w:hAnsi="仿宋" w:eastAsia="仿宋"/>
          <w:sz w:val="32"/>
          <w:szCs w:val="32"/>
        </w:rPr>
        <w:t>万元，其中：财政拨款收入</w:t>
      </w:r>
      <w:r>
        <w:rPr>
          <w:rFonts w:hint="eastAsia" w:ascii="仿宋" w:hAnsi="仿宋" w:eastAsia="仿宋"/>
          <w:sz w:val="32"/>
          <w:szCs w:val="32"/>
        </w:rPr>
        <w:t>5859</w:t>
      </w:r>
      <w:r>
        <w:rPr>
          <w:rFonts w:ascii="仿宋" w:hAnsi="仿宋" w:eastAsia="仿宋"/>
          <w:sz w:val="32"/>
          <w:szCs w:val="32"/>
        </w:rPr>
        <w:t>万元，占</w:t>
      </w:r>
      <w:r>
        <w:rPr>
          <w:rFonts w:hint="eastAsia" w:ascii="仿宋" w:hAnsi="仿宋" w:eastAsia="仿宋"/>
          <w:sz w:val="32"/>
          <w:szCs w:val="32"/>
        </w:rPr>
        <w:t>100</w:t>
      </w:r>
      <w:r>
        <w:rPr>
          <w:rFonts w:ascii="仿宋" w:hAnsi="仿宋" w:eastAsia="仿宋"/>
          <w:sz w:val="32"/>
          <w:szCs w:val="32"/>
        </w:rPr>
        <w:t>%；事业收入</w:t>
      </w:r>
      <w:r>
        <w:rPr>
          <w:rFonts w:hint="eastAsia" w:ascii="仿宋" w:hAnsi="仿宋" w:eastAsia="仿宋"/>
          <w:sz w:val="32"/>
          <w:szCs w:val="32"/>
        </w:rPr>
        <w:t>0</w:t>
      </w:r>
      <w:r>
        <w:rPr>
          <w:rFonts w:ascii="仿宋" w:hAnsi="仿宋" w:eastAsia="仿宋"/>
          <w:sz w:val="32"/>
          <w:szCs w:val="32"/>
        </w:rPr>
        <w:t>万元，占</w:t>
      </w:r>
      <w:r>
        <w:rPr>
          <w:rFonts w:hint="eastAsia" w:ascii="仿宋" w:hAnsi="仿宋" w:eastAsia="仿宋"/>
          <w:sz w:val="32"/>
          <w:szCs w:val="32"/>
        </w:rPr>
        <w:t>0</w:t>
      </w:r>
      <w:r>
        <w:rPr>
          <w:rFonts w:ascii="仿宋" w:hAnsi="仿宋" w:eastAsia="仿宋"/>
          <w:sz w:val="32"/>
          <w:szCs w:val="32"/>
        </w:rPr>
        <w:t>%；经营收入</w:t>
      </w:r>
      <w:r>
        <w:rPr>
          <w:rFonts w:hint="eastAsia" w:ascii="仿宋" w:hAnsi="仿宋" w:eastAsia="仿宋"/>
          <w:sz w:val="32"/>
          <w:szCs w:val="32"/>
        </w:rPr>
        <w:t>0</w:t>
      </w:r>
      <w:r>
        <w:rPr>
          <w:rFonts w:ascii="仿宋" w:hAnsi="仿宋" w:eastAsia="仿宋"/>
          <w:sz w:val="32"/>
          <w:szCs w:val="32"/>
        </w:rPr>
        <w:t>万元，占</w:t>
      </w:r>
      <w:r>
        <w:rPr>
          <w:rFonts w:hint="eastAsia" w:ascii="仿宋" w:hAnsi="仿宋" w:eastAsia="仿宋"/>
          <w:sz w:val="32"/>
          <w:szCs w:val="32"/>
        </w:rPr>
        <w:t>0</w:t>
      </w:r>
      <w:r>
        <w:rPr>
          <w:rFonts w:ascii="仿宋" w:hAnsi="仿宋" w:eastAsia="仿宋"/>
          <w:sz w:val="32"/>
          <w:szCs w:val="32"/>
        </w:rPr>
        <w:t>%；其他收入</w:t>
      </w:r>
      <w:r>
        <w:rPr>
          <w:rFonts w:hint="eastAsia" w:ascii="仿宋" w:hAnsi="仿宋" w:eastAsia="仿宋"/>
          <w:sz w:val="32"/>
          <w:szCs w:val="32"/>
        </w:rPr>
        <w:t>0</w:t>
      </w:r>
      <w:r>
        <w:rPr>
          <w:rFonts w:ascii="仿宋" w:hAnsi="仿宋" w:eastAsia="仿宋"/>
          <w:sz w:val="32"/>
          <w:szCs w:val="32"/>
        </w:rPr>
        <w:t>万元，占</w:t>
      </w:r>
      <w:r>
        <w:rPr>
          <w:rFonts w:hint="eastAsia" w:ascii="仿宋" w:hAnsi="仿宋" w:eastAsia="仿宋"/>
          <w:sz w:val="32"/>
          <w:szCs w:val="32"/>
        </w:rPr>
        <w:t>0</w:t>
      </w:r>
      <w:r>
        <w:rPr>
          <w:rFonts w:ascii="仿宋" w:hAnsi="仿宋" w:eastAsia="仿宋"/>
          <w:sz w:val="32"/>
          <w:szCs w:val="32"/>
        </w:rPr>
        <w:t>%。如图所示：</w:t>
      </w:r>
    </w:p>
    <w:p>
      <w:pPr>
        <w:adjustRightInd w:val="0"/>
        <w:snapToGrid w:val="0"/>
        <w:spacing w:line="584" w:lineRule="exact"/>
        <w:jc w:val="center"/>
        <w:rPr>
          <w:rFonts w:eastAsia="仿宋_GB2312"/>
          <w:sz w:val="32"/>
          <w:szCs w:val="32"/>
        </w:rPr>
      </w:pPr>
      <w:r>
        <w:rPr>
          <w:rFonts w:eastAsia="仿宋_GB2312"/>
          <w:sz w:val="32"/>
          <w:szCs w:val="32"/>
        </w:rPr>
        <w:t>图1：收入决算结构图</w:t>
      </w:r>
    </w:p>
    <w:p>
      <w:pPr>
        <w:adjustRightInd w:val="0"/>
        <w:snapToGrid w:val="0"/>
        <w:spacing w:line="584" w:lineRule="exact"/>
        <w:jc w:val="center"/>
        <w:rPr>
          <w:rFonts w:eastAsia="仿宋_GB2312"/>
          <w:sz w:val="32"/>
          <w:szCs w:val="32"/>
        </w:rPr>
      </w:pPr>
    </w:p>
    <w:p>
      <w:pPr>
        <w:adjustRightInd w:val="0"/>
        <w:snapToGrid w:val="0"/>
        <w:spacing w:line="300" w:lineRule="auto"/>
        <w:ind w:firstLine="640" w:firstLineChars="200"/>
        <w:rPr>
          <w:rFonts w:eastAsia="仿宋_GB2312"/>
          <w:sz w:val="32"/>
          <w:szCs w:val="32"/>
        </w:rPr>
      </w:pPr>
      <w:r>
        <w:rPr>
          <w:rFonts w:eastAsia="仿宋_GB2312"/>
          <w:sz w:val="32"/>
          <w:szCs w:val="32"/>
        </w:rPr>
        <w:drawing>
          <wp:inline distT="0" distB="0" distL="114300" distR="114300">
            <wp:extent cx="2852420" cy="1926590"/>
            <wp:effectExtent l="5080" t="4445" r="19050" b="1206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eastAsia="仿宋_GB2312"/>
          <w:sz w:val="32"/>
          <w:szCs w:val="32"/>
        </w:rPr>
        <w:pict>
          <v:shape id="_x0000_s1028" o:spid="_x0000_s1028" o:spt="202" type="#_x0000_t202" style="position:absolute;left:0pt;margin-left:378.75pt;margin-top:246pt;height:16.2pt;width:52.5pt;z-index:251659264;mso-width-relative:margin;mso-height-relative:margin;" stroked="f" coordsize="21600,21600">
            <v:path/>
            <v:fill focussize="0,0"/>
            <v:stroke on="f" joinstyle="miter"/>
            <v:imagedata o:title=""/>
            <o:lock v:ext="edit"/>
            <v:textbox>
              <w:txbxContent>
                <w:p/>
              </w:txbxContent>
            </v:textbox>
          </v:shape>
        </w:pict>
      </w:r>
    </w:p>
    <w:p>
      <w:pPr>
        <w:pStyle w:val="3"/>
        <w:spacing w:before="0" w:after="0" w:line="584" w:lineRule="exact"/>
        <w:ind w:firstLine="640" w:firstLineChars="200"/>
        <w:rPr>
          <w:rFonts w:ascii="Times New Roman" w:hAnsi="Times New Roman" w:eastAsia="黑体"/>
          <w:b w:val="0"/>
          <w:kern w:val="0"/>
        </w:rPr>
      </w:pPr>
      <w:r>
        <w:rPr>
          <w:rFonts w:ascii="Times New Roman" w:hAnsi="Times New Roman" w:eastAsia="黑体"/>
          <w:b w:val="0"/>
          <w:kern w:val="0"/>
        </w:rPr>
        <w:t>三、支出决算情况说明</w:t>
      </w:r>
    </w:p>
    <w:p>
      <w:pPr>
        <w:spacing w:line="584" w:lineRule="exact"/>
        <w:ind w:firstLine="640" w:firstLineChars="200"/>
        <w:rPr>
          <w:rFonts w:ascii="仿宋" w:hAnsi="仿宋" w:eastAsia="仿宋"/>
          <w:sz w:val="32"/>
          <w:szCs w:val="32"/>
        </w:rPr>
      </w:pPr>
      <w:r>
        <w:rPr>
          <w:rFonts w:ascii="仿宋" w:hAnsi="仿宋" w:eastAsia="仿宋"/>
          <w:sz w:val="32"/>
          <w:szCs w:val="32"/>
        </w:rPr>
        <w:t>本部门2017年度本年支出合计</w:t>
      </w:r>
      <w:r>
        <w:rPr>
          <w:rFonts w:hint="eastAsia" w:ascii="仿宋" w:hAnsi="仿宋" w:eastAsia="仿宋"/>
          <w:sz w:val="32"/>
          <w:szCs w:val="32"/>
        </w:rPr>
        <w:t>5859</w:t>
      </w:r>
      <w:r>
        <w:rPr>
          <w:rFonts w:ascii="仿宋" w:hAnsi="仿宋" w:eastAsia="仿宋"/>
          <w:sz w:val="32"/>
          <w:szCs w:val="32"/>
        </w:rPr>
        <w:t>万元，其中：基本支出</w:t>
      </w:r>
      <w:r>
        <w:rPr>
          <w:rFonts w:hint="eastAsia" w:ascii="仿宋" w:hAnsi="仿宋" w:eastAsia="仿宋"/>
          <w:sz w:val="32"/>
          <w:szCs w:val="32"/>
        </w:rPr>
        <w:t>1573.4</w:t>
      </w:r>
      <w:r>
        <w:rPr>
          <w:rFonts w:ascii="仿宋" w:hAnsi="仿宋" w:eastAsia="仿宋"/>
          <w:sz w:val="32"/>
          <w:szCs w:val="32"/>
        </w:rPr>
        <w:t>万元，占</w:t>
      </w:r>
      <w:r>
        <w:rPr>
          <w:rFonts w:hint="eastAsia" w:ascii="仿宋" w:hAnsi="仿宋" w:eastAsia="仿宋"/>
          <w:sz w:val="32"/>
          <w:szCs w:val="32"/>
        </w:rPr>
        <w:t>26.85</w:t>
      </w:r>
      <w:r>
        <w:rPr>
          <w:rFonts w:ascii="仿宋" w:hAnsi="仿宋" w:eastAsia="仿宋"/>
          <w:sz w:val="32"/>
          <w:szCs w:val="32"/>
        </w:rPr>
        <w:t>%；项目支出</w:t>
      </w:r>
      <w:r>
        <w:rPr>
          <w:rFonts w:hint="eastAsia" w:ascii="仿宋" w:hAnsi="仿宋" w:eastAsia="仿宋"/>
          <w:sz w:val="32"/>
          <w:szCs w:val="32"/>
        </w:rPr>
        <w:t>4285.6</w:t>
      </w:r>
      <w:r>
        <w:rPr>
          <w:rFonts w:ascii="仿宋" w:hAnsi="仿宋" w:eastAsia="仿宋"/>
          <w:sz w:val="32"/>
          <w:szCs w:val="32"/>
        </w:rPr>
        <w:t>万元，占</w:t>
      </w:r>
      <w:r>
        <w:rPr>
          <w:rFonts w:hint="eastAsia" w:ascii="仿宋" w:hAnsi="仿宋" w:eastAsia="仿宋"/>
          <w:sz w:val="32"/>
          <w:szCs w:val="32"/>
        </w:rPr>
        <w:t>73.1</w:t>
      </w:r>
      <w:r>
        <w:rPr>
          <w:rFonts w:ascii="仿宋" w:hAnsi="仿宋" w:eastAsia="仿宋"/>
          <w:sz w:val="32"/>
          <w:szCs w:val="32"/>
        </w:rPr>
        <w:t>%；经营支出</w:t>
      </w:r>
      <w:r>
        <w:rPr>
          <w:rFonts w:hint="eastAsia" w:ascii="仿宋" w:hAnsi="仿宋" w:eastAsia="仿宋"/>
          <w:sz w:val="32"/>
          <w:szCs w:val="32"/>
        </w:rPr>
        <w:t>0</w:t>
      </w:r>
      <w:r>
        <w:rPr>
          <w:rFonts w:ascii="仿宋" w:hAnsi="仿宋" w:eastAsia="仿宋"/>
          <w:sz w:val="32"/>
          <w:szCs w:val="32"/>
        </w:rPr>
        <w:t>万元，占</w:t>
      </w:r>
      <w:r>
        <w:rPr>
          <w:rFonts w:hint="eastAsia" w:ascii="仿宋" w:hAnsi="仿宋" w:eastAsia="仿宋"/>
          <w:sz w:val="32"/>
          <w:szCs w:val="32"/>
        </w:rPr>
        <w:t>0</w:t>
      </w:r>
      <w:r>
        <w:rPr>
          <w:rFonts w:ascii="仿宋" w:hAnsi="仿宋" w:eastAsia="仿宋"/>
          <w:sz w:val="32"/>
          <w:szCs w:val="32"/>
        </w:rPr>
        <w:t>%。如图所示：</w:t>
      </w:r>
    </w:p>
    <w:p>
      <w:pPr>
        <w:adjustRightInd w:val="0"/>
        <w:snapToGrid w:val="0"/>
        <w:spacing w:line="584" w:lineRule="exact"/>
        <w:ind w:firstLine="1920" w:firstLineChars="600"/>
        <w:rPr>
          <w:rFonts w:eastAsia="仿宋_GB2312"/>
          <w:sz w:val="32"/>
          <w:szCs w:val="32"/>
        </w:rPr>
      </w:pPr>
      <w:r>
        <w:rPr>
          <w:rFonts w:eastAsia="仿宋_GB2312"/>
          <w:sz w:val="32"/>
          <w:szCs w:val="32"/>
        </w:rPr>
        <w:t>图2：支出决算结构饼状图</w:t>
      </w:r>
    </w:p>
    <w:p>
      <w:pPr>
        <w:adjustRightInd w:val="0"/>
        <w:snapToGrid w:val="0"/>
        <w:spacing w:line="584" w:lineRule="exact"/>
        <w:ind w:firstLine="1920" w:firstLineChars="600"/>
        <w:rPr>
          <w:rFonts w:eastAsia="仿宋_GB2312"/>
          <w:sz w:val="32"/>
          <w:szCs w:val="32"/>
        </w:rPr>
      </w:pPr>
    </w:p>
    <w:p>
      <w:pPr>
        <w:adjustRightInd w:val="0"/>
        <w:snapToGrid w:val="0"/>
        <w:spacing w:line="360" w:lineRule="auto"/>
        <w:ind w:firstLine="640" w:firstLineChars="200"/>
        <w:rPr>
          <w:rFonts w:eastAsia="仿宋_GB2312"/>
          <w:sz w:val="32"/>
          <w:szCs w:val="32"/>
        </w:rPr>
      </w:pPr>
      <w:r>
        <w:rPr>
          <w:rFonts w:eastAsia="仿宋_GB2312"/>
          <w:sz w:val="32"/>
          <w:szCs w:val="32"/>
        </w:rPr>
        <w:pict>
          <v:shape id="_x0000_s1029" o:spid="_x0000_s1029" o:spt="202" type="#_x0000_t202" style="position:absolute;left:0pt;margin-left:348.75pt;margin-top:206.25pt;height:25.5pt;width:77.25pt;z-index:251660288;mso-width-relative:margin;mso-height-relative:margin;" stroked="f" coordsize="21600,21600">
            <v:path/>
            <v:fill focussize="0,0"/>
            <v:stroke on="f" joinstyle="miter"/>
            <v:imagedata o:title=""/>
            <o:lock v:ext="edit"/>
            <v:textbox>
              <w:txbxContent>
                <w:p>
                  <w:r>
                    <w:rPr>
                      <w:rFonts w:hint="eastAsia"/>
                    </w:rPr>
                    <w:t>单位：万元</w:t>
                  </w:r>
                </w:p>
                <w:p/>
              </w:txbxContent>
            </v:textbox>
          </v:shape>
        </w:pict>
      </w:r>
      <w:r>
        <w:rPr>
          <w:rFonts w:eastAsia="仿宋_GB2312"/>
          <w:sz w:val="32"/>
          <w:szCs w:val="32"/>
        </w:rPr>
        <w:drawing>
          <wp:inline distT="0" distB="0" distL="114300" distR="114300">
            <wp:extent cx="5080000" cy="3810000"/>
            <wp:effectExtent l="4445" t="4445" r="20955" b="1460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adjustRightInd w:val="0"/>
        <w:snapToGrid w:val="0"/>
        <w:spacing w:line="360" w:lineRule="auto"/>
        <w:rPr>
          <w:rFonts w:eastAsia="仿宋_GB2312"/>
          <w:sz w:val="32"/>
          <w:szCs w:val="32"/>
        </w:rPr>
      </w:pPr>
    </w:p>
    <w:p>
      <w:pPr>
        <w:pStyle w:val="3"/>
        <w:spacing w:before="0" w:after="0" w:line="584" w:lineRule="exact"/>
        <w:ind w:firstLine="640" w:firstLineChars="200"/>
        <w:rPr>
          <w:rFonts w:ascii="Times New Roman" w:hAnsi="Times New Roman" w:eastAsia="黑体"/>
          <w:b w:val="0"/>
          <w:kern w:val="0"/>
        </w:rPr>
      </w:pPr>
      <w:r>
        <w:rPr>
          <w:rFonts w:ascii="Times New Roman" w:hAnsi="Times New Roman" w:eastAsia="黑体"/>
          <w:b w:val="0"/>
          <w:kern w:val="0"/>
        </w:rPr>
        <w:t>四、财政拨款收入支出决算总体情况说明</w:t>
      </w:r>
    </w:p>
    <w:p>
      <w:pPr>
        <w:spacing w:line="584" w:lineRule="exact"/>
        <w:ind w:firstLine="640" w:firstLineChars="200"/>
        <w:rPr>
          <w:rFonts w:ascii="楷体" w:hAnsi="楷体" w:eastAsia="楷体"/>
          <w:bCs/>
          <w:sz w:val="32"/>
          <w:szCs w:val="32"/>
        </w:rPr>
      </w:pPr>
      <w:r>
        <w:rPr>
          <w:rFonts w:ascii="楷体" w:hAnsi="楷体" w:eastAsia="楷体"/>
          <w:bCs/>
          <w:sz w:val="32"/>
          <w:szCs w:val="32"/>
        </w:rPr>
        <w:t>（一）财政拨款收支与2016 年度决算对比情况</w:t>
      </w:r>
    </w:p>
    <w:p>
      <w:pPr>
        <w:spacing w:line="584" w:lineRule="exact"/>
        <w:ind w:firstLine="640" w:firstLineChars="200"/>
        <w:rPr>
          <w:rFonts w:ascii="仿宋" w:hAnsi="仿宋" w:eastAsia="仿宋"/>
          <w:sz w:val="32"/>
          <w:szCs w:val="32"/>
        </w:rPr>
      </w:pPr>
      <w:r>
        <w:rPr>
          <w:rFonts w:ascii="仿宋" w:hAnsi="仿宋" w:eastAsia="仿宋"/>
          <w:sz w:val="32"/>
          <w:szCs w:val="32"/>
        </w:rPr>
        <w:t>本部门2017年度财政拨款年初结转和结余</w:t>
      </w:r>
      <w:r>
        <w:rPr>
          <w:rFonts w:hint="eastAsia" w:ascii="仿宋" w:hAnsi="仿宋" w:eastAsia="仿宋"/>
          <w:sz w:val="32"/>
          <w:szCs w:val="32"/>
        </w:rPr>
        <w:t>0</w:t>
      </w:r>
      <w:r>
        <w:rPr>
          <w:rFonts w:ascii="仿宋" w:hAnsi="仿宋" w:eastAsia="仿宋"/>
          <w:sz w:val="32"/>
          <w:szCs w:val="32"/>
        </w:rPr>
        <w:t>万元</w:t>
      </w:r>
      <w:r>
        <w:rPr>
          <w:rFonts w:hint="eastAsia" w:ascii="仿宋" w:hAnsi="仿宋" w:eastAsia="仿宋"/>
          <w:sz w:val="32"/>
          <w:szCs w:val="32"/>
        </w:rPr>
        <w:t>，</w:t>
      </w:r>
      <w:r>
        <w:rPr>
          <w:rFonts w:ascii="仿宋" w:hAnsi="仿宋" w:eastAsia="仿宋"/>
          <w:sz w:val="32"/>
          <w:szCs w:val="32"/>
        </w:rPr>
        <w:t>本年收入</w:t>
      </w:r>
      <w:r>
        <w:rPr>
          <w:rFonts w:hint="eastAsia" w:ascii="仿宋" w:hAnsi="仿宋" w:eastAsia="仿宋"/>
          <w:sz w:val="32"/>
          <w:szCs w:val="32"/>
        </w:rPr>
        <w:t>5859</w:t>
      </w:r>
      <w:r>
        <w:rPr>
          <w:rFonts w:ascii="仿宋" w:hAnsi="仿宋" w:eastAsia="仿宋"/>
          <w:sz w:val="32"/>
          <w:szCs w:val="32"/>
        </w:rPr>
        <w:t>万元；本年支出</w:t>
      </w:r>
      <w:r>
        <w:rPr>
          <w:rFonts w:hint="eastAsia" w:ascii="仿宋" w:hAnsi="仿宋" w:eastAsia="仿宋"/>
          <w:sz w:val="32"/>
          <w:szCs w:val="32"/>
        </w:rPr>
        <w:t>5859</w:t>
      </w:r>
      <w:r>
        <w:rPr>
          <w:rFonts w:ascii="仿宋" w:hAnsi="仿宋" w:eastAsia="仿宋"/>
          <w:sz w:val="32"/>
          <w:szCs w:val="32"/>
        </w:rPr>
        <w:t>万元</w:t>
      </w:r>
      <w:r>
        <w:rPr>
          <w:rFonts w:hint="eastAsia" w:ascii="仿宋" w:hAnsi="仿宋" w:eastAsia="仿宋"/>
          <w:sz w:val="32"/>
          <w:szCs w:val="32"/>
        </w:rPr>
        <w:t>，</w:t>
      </w:r>
      <w:r>
        <w:rPr>
          <w:rFonts w:ascii="仿宋" w:hAnsi="仿宋" w:eastAsia="仿宋"/>
          <w:sz w:val="32"/>
          <w:szCs w:val="32"/>
        </w:rPr>
        <w:t>年末结转和结余</w:t>
      </w:r>
      <w:r>
        <w:rPr>
          <w:rFonts w:hint="eastAsia" w:ascii="仿宋" w:hAnsi="仿宋" w:eastAsia="仿宋"/>
          <w:sz w:val="32"/>
          <w:szCs w:val="32"/>
        </w:rPr>
        <w:t>0</w:t>
      </w:r>
      <w:r>
        <w:rPr>
          <w:rFonts w:ascii="仿宋" w:hAnsi="仿宋" w:eastAsia="仿宋"/>
          <w:sz w:val="32"/>
          <w:szCs w:val="32"/>
        </w:rPr>
        <w:t>万元。与2016年度决算相比，财政拨款本年收入</w:t>
      </w:r>
      <w:r>
        <w:rPr>
          <w:rFonts w:hint="eastAsia" w:ascii="仿宋" w:hAnsi="仿宋" w:eastAsia="仿宋"/>
          <w:sz w:val="32"/>
          <w:szCs w:val="32"/>
        </w:rPr>
        <w:t>增加2823</w:t>
      </w:r>
      <w:r>
        <w:rPr>
          <w:rFonts w:ascii="仿宋" w:hAnsi="仿宋" w:eastAsia="仿宋"/>
          <w:sz w:val="32"/>
          <w:szCs w:val="32"/>
        </w:rPr>
        <w:t>万元，</w:t>
      </w:r>
      <w:r>
        <w:rPr>
          <w:rFonts w:hint="eastAsia" w:ascii="仿宋" w:hAnsi="仿宋" w:eastAsia="仿宋"/>
          <w:sz w:val="32"/>
          <w:szCs w:val="32"/>
        </w:rPr>
        <w:t>增加92.9</w:t>
      </w:r>
      <w:r>
        <w:rPr>
          <w:rFonts w:ascii="仿宋" w:hAnsi="仿宋" w:eastAsia="仿宋"/>
          <w:sz w:val="32"/>
          <w:szCs w:val="32"/>
        </w:rPr>
        <w:t>%，</w:t>
      </w:r>
      <w:r>
        <w:rPr>
          <w:rFonts w:hint="eastAsia" w:ascii="仿宋" w:hAnsi="仿宋" w:eastAsia="仿宋"/>
          <w:sz w:val="32"/>
          <w:szCs w:val="32"/>
        </w:rPr>
        <w:t>原因：2017年度加大城乡社区公共建设和农村“气代煤”改造工程，包括泰恒置业房地产开发有限公司土地征用补偿金、“气代煤”改造工程燃气具补贴及安全评估资金等。</w:t>
      </w:r>
      <w:r>
        <w:rPr>
          <w:rFonts w:ascii="仿宋" w:hAnsi="仿宋" w:eastAsia="仿宋"/>
          <w:sz w:val="32"/>
          <w:szCs w:val="32"/>
        </w:rPr>
        <w:t>本年支出</w:t>
      </w:r>
      <w:r>
        <w:rPr>
          <w:rFonts w:hint="eastAsia" w:ascii="仿宋" w:hAnsi="仿宋" w:eastAsia="仿宋"/>
          <w:sz w:val="32"/>
          <w:szCs w:val="32"/>
        </w:rPr>
        <w:t>增加2823</w:t>
      </w:r>
      <w:r>
        <w:rPr>
          <w:rFonts w:ascii="仿宋" w:hAnsi="仿宋" w:eastAsia="仿宋"/>
          <w:sz w:val="32"/>
          <w:szCs w:val="32"/>
        </w:rPr>
        <w:t>万元，</w:t>
      </w:r>
      <w:r>
        <w:rPr>
          <w:rFonts w:hint="eastAsia" w:ascii="仿宋" w:hAnsi="仿宋" w:eastAsia="仿宋"/>
          <w:sz w:val="32"/>
          <w:szCs w:val="32"/>
        </w:rPr>
        <w:t>增加92.9</w:t>
      </w:r>
      <w:r>
        <w:rPr>
          <w:rFonts w:ascii="仿宋" w:hAnsi="仿宋" w:eastAsia="仿宋"/>
          <w:sz w:val="32"/>
          <w:szCs w:val="32"/>
        </w:rPr>
        <w:t>%，</w:t>
      </w:r>
      <w:r>
        <w:rPr>
          <w:rFonts w:hint="eastAsia" w:ascii="仿宋" w:hAnsi="仿宋" w:eastAsia="仿宋"/>
          <w:sz w:val="32"/>
          <w:szCs w:val="32"/>
        </w:rPr>
        <w:t>原因：2017年度加大城乡社区公共建设和农村“气代煤”改造工程，包括泰恒置业房地产开发有限公司土地征用补偿金、“气代煤”改造工程燃气具补贴及安全评估资金等支出。</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其中本部门2017年度一般公共预算财政拨款收入2359.6万元，与2016年度决算相比减少676.4万元，减少22.3%，主要原因是有一部分项目如城乡社区环境卫生列入了政府基金预算收入。一般公共预算财政拨款支出2359.6万元，比2016年度决算减少了676.4万元，减少22.3%，主要原因是有一部分项目如城乡社区环境卫生列入了政府基金预算支出。</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本部门</w:t>
      </w:r>
      <w:r>
        <w:rPr>
          <w:rFonts w:ascii="仿宋" w:hAnsi="仿宋" w:eastAsia="仿宋"/>
          <w:sz w:val="32"/>
          <w:szCs w:val="32"/>
        </w:rPr>
        <w:t>政府性基金预算财政拨款年初结转和结余</w:t>
      </w:r>
      <w:r>
        <w:rPr>
          <w:rFonts w:hint="eastAsia" w:ascii="仿宋" w:hAnsi="仿宋" w:eastAsia="仿宋"/>
          <w:sz w:val="32"/>
          <w:szCs w:val="32"/>
        </w:rPr>
        <w:t>0</w:t>
      </w:r>
      <w:r>
        <w:rPr>
          <w:rFonts w:ascii="仿宋" w:hAnsi="仿宋" w:eastAsia="仿宋"/>
          <w:sz w:val="32"/>
          <w:szCs w:val="32"/>
        </w:rPr>
        <w:t>万元</w:t>
      </w:r>
      <w:r>
        <w:rPr>
          <w:rFonts w:hint="eastAsia" w:ascii="仿宋" w:hAnsi="仿宋" w:eastAsia="仿宋"/>
          <w:sz w:val="32"/>
          <w:szCs w:val="32"/>
        </w:rPr>
        <w:t>，</w:t>
      </w:r>
      <w:r>
        <w:rPr>
          <w:rFonts w:ascii="仿宋" w:hAnsi="仿宋" w:eastAsia="仿宋"/>
          <w:sz w:val="32"/>
          <w:szCs w:val="32"/>
        </w:rPr>
        <w:t>本年收入</w:t>
      </w:r>
      <w:r>
        <w:rPr>
          <w:rFonts w:hint="eastAsia" w:ascii="仿宋" w:hAnsi="仿宋" w:eastAsia="仿宋"/>
          <w:sz w:val="32"/>
          <w:szCs w:val="32"/>
        </w:rPr>
        <w:t>3499.4</w:t>
      </w:r>
      <w:r>
        <w:rPr>
          <w:rFonts w:ascii="仿宋" w:hAnsi="仿宋" w:eastAsia="仿宋"/>
          <w:sz w:val="32"/>
          <w:szCs w:val="32"/>
        </w:rPr>
        <w:t>万元；本年支出</w:t>
      </w:r>
      <w:r>
        <w:rPr>
          <w:rFonts w:hint="eastAsia" w:ascii="仿宋" w:hAnsi="仿宋" w:eastAsia="仿宋"/>
          <w:sz w:val="32"/>
          <w:szCs w:val="32"/>
        </w:rPr>
        <w:t>3499.4</w:t>
      </w:r>
      <w:r>
        <w:rPr>
          <w:rFonts w:ascii="仿宋" w:hAnsi="仿宋" w:eastAsia="仿宋"/>
          <w:sz w:val="32"/>
          <w:szCs w:val="32"/>
        </w:rPr>
        <w:t>万元</w:t>
      </w:r>
      <w:r>
        <w:rPr>
          <w:rFonts w:hint="eastAsia" w:ascii="仿宋" w:hAnsi="仿宋" w:eastAsia="仿宋"/>
          <w:sz w:val="32"/>
          <w:szCs w:val="32"/>
        </w:rPr>
        <w:t>，</w:t>
      </w:r>
      <w:r>
        <w:rPr>
          <w:rFonts w:ascii="仿宋" w:hAnsi="仿宋" w:eastAsia="仿宋"/>
          <w:sz w:val="32"/>
          <w:szCs w:val="32"/>
        </w:rPr>
        <w:t>年末结转和结余</w:t>
      </w:r>
      <w:r>
        <w:rPr>
          <w:rFonts w:hint="eastAsia" w:ascii="仿宋" w:hAnsi="仿宋" w:eastAsia="仿宋"/>
          <w:sz w:val="32"/>
          <w:szCs w:val="32"/>
        </w:rPr>
        <w:t>0</w:t>
      </w:r>
      <w:r>
        <w:rPr>
          <w:rFonts w:ascii="仿宋" w:hAnsi="仿宋" w:eastAsia="仿宋"/>
          <w:sz w:val="32"/>
          <w:szCs w:val="32"/>
        </w:rPr>
        <w:t>万元。与2016年度决算相比，政府性基金预算财政拨款本年收入增加</w:t>
      </w:r>
      <w:r>
        <w:rPr>
          <w:rFonts w:hint="eastAsia" w:ascii="仿宋" w:hAnsi="仿宋" w:eastAsia="仿宋"/>
          <w:sz w:val="32"/>
          <w:szCs w:val="32"/>
        </w:rPr>
        <w:t>3499.4</w:t>
      </w:r>
      <w:r>
        <w:rPr>
          <w:rFonts w:ascii="仿宋" w:hAnsi="仿宋" w:eastAsia="仿宋"/>
          <w:sz w:val="32"/>
          <w:szCs w:val="32"/>
        </w:rPr>
        <w:t>万元，增长</w:t>
      </w:r>
      <w:r>
        <w:rPr>
          <w:rFonts w:hint="eastAsia" w:ascii="仿宋" w:hAnsi="仿宋" w:eastAsia="仿宋"/>
          <w:sz w:val="32"/>
          <w:szCs w:val="32"/>
        </w:rPr>
        <w:t>100</w:t>
      </w:r>
      <w:r>
        <w:rPr>
          <w:rFonts w:ascii="仿宋" w:hAnsi="仿宋" w:eastAsia="仿宋"/>
          <w:sz w:val="32"/>
          <w:szCs w:val="32"/>
        </w:rPr>
        <w:t>%，；</w:t>
      </w:r>
      <w:r>
        <w:rPr>
          <w:rFonts w:hint="eastAsia" w:ascii="仿宋" w:hAnsi="仿宋" w:eastAsia="仿宋"/>
          <w:sz w:val="32"/>
          <w:szCs w:val="32"/>
        </w:rPr>
        <w:t>主要原因泰恒置业房地产开发有限公司土地征用补偿金、“气代煤”改造工程燃气具补贴及安全评估资金等。</w:t>
      </w:r>
      <w:r>
        <w:rPr>
          <w:rFonts w:ascii="仿宋" w:hAnsi="仿宋" w:eastAsia="仿宋"/>
          <w:sz w:val="32"/>
          <w:szCs w:val="32"/>
        </w:rPr>
        <w:t>本年支出增加</w:t>
      </w:r>
      <w:r>
        <w:rPr>
          <w:rFonts w:hint="eastAsia" w:ascii="仿宋" w:hAnsi="仿宋" w:eastAsia="仿宋"/>
          <w:sz w:val="32"/>
          <w:szCs w:val="32"/>
        </w:rPr>
        <w:t>3499.4</w:t>
      </w:r>
      <w:r>
        <w:rPr>
          <w:rFonts w:ascii="仿宋" w:hAnsi="仿宋" w:eastAsia="仿宋"/>
          <w:sz w:val="32"/>
          <w:szCs w:val="32"/>
        </w:rPr>
        <w:t>万元，增长</w:t>
      </w:r>
      <w:r>
        <w:rPr>
          <w:rFonts w:hint="eastAsia" w:ascii="仿宋" w:hAnsi="仿宋" w:eastAsia="仿宋"/>
          <w:sz w:val="32"/>
          <w:szCs w:val="32"/>
        </w:rPr>
        <w:t>100</w:t>
      </w:r>
      <w:r>
        <w:rPr>
          <w:rFonts w:ascii="仿宋" w:hAnsi="仿宋" w:eastAsia="仿宋"/>
          <w:sz w:val="32"/>
          <w:szCs w:val="32"/>
        </w:rPr>
        <w:t>%，主要原因是</w:t>
      </w:r>
      <w:r>
        <w:rPr>
          <w:rFonts w:hint="eastAsia" w:ascii="仿宋" w:hAnsi="仿宋" w:eastAsia="仿宋"/>
          <w:sz w:val="32"/>
          <w:szCs w:val="32"/>
        </w:rPr>
        <w:t>2017年度加大城乡社区公共建设和农村“气代煤”改造工程，包括泰恒置业房地产开发有限公司土地征用补偿金、“气代煤”改造工程燃气具补贴及安全评估资金等支出。</w:t>
      </w:r>
    </w:p>
    <w:p>
      <w:pPr>
        <w:spacing w:line="584" w:lineRule="exact"/>
        <w:ind w:firstLine="640" w:firstLineChars="200"/>
        <w:rPr>
          <w:rFonts w:ascii="楷体" w:hAnsi="楷体" w:eastAsia="楷体"/>
          <w:bCs/>
          <w:sz w:val="32"/>
          <w:szCs w:val="32"/>
        </w:rPr>
      </w:pPr>
      <w:r>
        <w:rPr>
          <w:rFonts w:ascii="楷体" w:hAnsi="楷体" w:eastAsia="楷体"/>
          <w:bCs/>
          <w:sz w:val="32"/>
          <w:szCs w:val="32"/>
        </w:rPr>
        <w:t>（二）财政拨款收支与年初预算数对比情况</w:t>
      </w:r>
    </w:p>
    <w:p>
      <w:pPr>
        <w:spacing w:line="584" w:lineRule="exact"/>
        <w:ind w:firstLine="640" w:firstLineChars="200"/>
        <w:rPr>
          <w:rFonts w:ascii="仿宋" w:hAnsi="仿宋" w:eastAsia="仿宋"/>
          <w:sz w:val="32"/>
          <w:szCs w:val="32"/>
        </w:rPr>
      </w:pPr>
      <w:r>
        <w:rPr>
          <w:rFonts w:ascii="仿宋" w:hAnsi="仿宋" w:eastAsia="仿宋"/>
          <w:sz w:val="32"/>
          <w:szCs w:val="32"/>
        </w:rPr>
        <w:t>本部门2017年度财政拨款本年收入较2017年初预算增加</w:t>
      </w:r>
      <w:r>
        <w:rPr>
          <w:rFonts w:hint="eastAsia" w:ascii="仿宋" w:hAnsi="仿宋" w:eastAsia="仿宋"/>
          <w:sz w:val="32"/>
          <w:szCs w:val="32"/>
        </w:rPr>
        <w:t>3577.1</w:t>
      </w:r>
      <w:r>
        <w:rPr>
          <w:rFonts w:ascii="仿宋" w:hAnsi="仿宋" w:eastAsia="仿宋"/>
          <w:sz w:val="32"/>
          <w:szCs w:val="32"/>
        </w:rPr>
        <w:t>万元，增长</w:t>
      </w:r>
      <w:r>
        <w:rPr>
          <w:rFonts w:hint="eastAsia" w:ascii="仿宋" w:hAnsi="仿宋" w:eastAsia="仿宋"/>
          <w:sz w:val="32"/>
          <w:szCs w:val="32"/>
        </w:rPr>
        <w:t>156.8</w:t>
      </w:r>
      <w:r>
        <w:rPr>
          <w:rFonts w:ascii="仿宋" w:hAnsi="仿宋" w:eastAsia="仿宋"/>
          <w:sz w:val="32"/>
          <w:szCs w:val="32"/>
        </w:rPr>
        <w:t>%，主要原因是</w:t>
      </w:r>
      <w:r>
        <w:rPr>
          <w:rFonts w:hint="eastAsia" w:ascii="仿宋" w:hAnsi="仿宋" w:eastAsia="仿宋"/>
          <w:sz w:val="32"/>
          <w:szCs w:val="32"/>
        </w:rPr>
        <w:t>泰恒置业房地产开发有限公司土地征用补偿金、一事一议项目、村级运转经费、人员保险比例基数上调等</w:t>
      </w:r>
      <w:r>
        <w:rPr>
          <w:rFonts w:ascii="仿宋" w:hAnsi="仿宋" w:eastAsia="仿宋"/>
          <w:sz w:val="32"/>
          <w:szCs w:val="32"/>
        </w:rPr>
        <w:t>；本年支出增加</w:t>
      </w:r>
      <w:r>
        <w:rPr>
          <w:rFonts w:hint="eastAsia" w:ascii="仿宋" w:hAnsi="仿宋" w:eastAsia="仿宋"/>
          <w:sz w:val="32"/>
          <w:szCs w:val="32"/>
        </w:rPr>
        <w:t>3577.1</w:t>
      </w:r>
      <w:r>
        <w:rPr>
          <w:rFonts w:ascii="仿宋" w:hAnsi="仿宋" w:eastAsia="仿宋"/>
          <w:sz w:val="32"/>
          <w:szCs w:val="32"/>
        </w:rPr>
        <w:t>万元，增长</w:t>
      </w:r>
      <w:r>
        <w:rPr>
          <w:rFonts w:hint="eastAsia" w:ascii="仿宋" w:hAnsi="仿宋" w:eastAsia="仿宋"/>
          <w:sz w:val="32"/>
          <w:szCs w:val="32"/>
        </w:rPr>
        <w:t>156.8</w:t>
      </w:r>
      <w:r>
        <w:rPr>
          <w:rFonts w:ascii="仿宋" w:hAnsi="仿宋" w:eastAsia="仿宋"/>
          <w:sz w:val="32"/>
          <w:szCs w:val="32"/>
        </w:rPr>
        <w:t>%，主要原因是</w:t>
      </w:r>
      <w:r>
        <w:rPr>
          <w:rFonts w:hint="eastAsia" w:ascii="仿宋" w:hAnsi="仿宋" w:eastAsia="仿宋"/>
          <w:sz w:val="32"/>
          <w:szCs w:val="32"/>
        </w:rPr>
        <w:t>泰恒置业房地产开发有限公司土地征用补偿金、一事一议项目、村级运转经费、人员保险比例基数上调等。</w:t>
      </w:r>
    </w:p>
    <w:p>
      <w:pPr>
        <w:spacing w:line="584" w:lineRule="exact"/>
        <w:ind w:firstLine="640" w:firstLineChars="200"/>
        <w:rPr>
          <w:rFonts w:ascii="仿宋" w:hAnsi="仿宋" w:eastAsia="仿宋"/>
          <w:sz w:val="32"/>
          <w:szCs w:val="32"/>
        </w:rPr>
      </w:pPr>
      <w:r>
        <w:rPr>
          <w:rFonts w:ascii="仿宋" w:hAnsi="仿宋" w:eastAsia="仿宋"/>
          <w:sz w:val="32"/>
          <w:szCs w:val="32"/>
        </w:rPr>
        <w:t>其中，本部门2017年度一般公共预算财政拨款本年收入较2017年初预算增加</w:t>
      </w:r>
      <w:r>
        <w:rPr>
          <w:rFonts w:hint="eastAsia" w:ascii="仿宋" w:hAnsi="仿宋" w:eastAsia="仿宋"/>
          <w:sz w:val="32"/>
          <w:szCs w:val="32"/>
        </w:rPr>
        <w:t>938.2</w:t>
      </w:r>
      <w:r>
        <w:rPr>
          <w:rFonts w:ascii="仿宋" w:hAnsi="仿宋" w:eastAsia="仿宋"/>
          <w:sz w:val="32"/>
          <w:szCs w:val="32"/>
        </w:rPr>
        <w:t>万元，增长</w:t>
      </w:r>
      <w:r>
        <w:rPr>
          <w:rFonts w:hint="eastAsia" w:ascii="仿宋" w:hAnsi="仿宋" w:eastAsia="仿宋"/>
          <w:sz w:val="32"/>
          <w:szCs w:val="32"/>
        </w:rPr>
        <w:t>66</w:t>
      </w:r>
      <w:r>
        <w:rPr>
          <w:rFonts w:ascii="仿宋" w:hAnsi="仿宋" w:eastAsia="仿宋"/>
          <w:sz w:val="32"/>
          <w:szCs w:val="32"/>
        </w:rPr>
        <w:t>%，主要原因是</w:t>
      </w:r>
      <w:r>
        <w:rPr>
          <w:rFonts w:hint="eastAsia" w:ascii="仿宋" w:hAnsi="仿宋" w:eastAsia="仿宋"/>
          <w:sz w:val="32"/>
          <w:szCs w:val="32"/>
        </w:rPr>
        <w:t>一事一议项目、乡镇殡葬执法项目、村级运转经费、信访维稳项目、人员保险比例基数上调等</w:t>
      </w:r>
      <w:r>
        <w:rPr>
          <w:rFonts w:ascii="仿宋" w:hAnsi="仿宋" w:eastAsia="仿宋"/>
          <w:sz w:val="32"/>
          <w:szCs w:val="32"/>
        </w:rPr>
        <w:t>；本年支出增加</w:t>
      </w:r>
      <w:r>
        <w:rPr>
          <w:rFonts w:hint="eastAsia" w:ascii="仿宋" w:hAnsi="仿宋" w:eastAsia="仿宋"/>
          <w:sz w:val="32"/>
          <w:szCs w:val="32"/>
        </w:rPr>
        <w:t>938.2</w:t>
      </w:r>
      <w:r>
        <w:rPr>
          <w:rFonts w:ascii="仿宋" w:hAnsi="仿宋" w:eastAsia="仿宋"/>
          <w:sz w:val="32"/>
          <w:szCs w:val="32"/>
        </w:rPr>
        <w:t>万元，增长</w:t>
      </w:r>
      <w:r>
        <w:rPr>
          <w:rFonts w:hint="eastAsia" w:ascii="仿宋" w:hAnsi="仿宋" w:eastAsia="仿宋"/>
          <w:sz w:val="32"/>
          <w:szCs w:val="32"/>
        </w:rPr>
        <w:t>66</w:t>
      </w:r>
      <w:r>
        <w:rPr>
          <w:rFonts w:ascii="仿宋" w:hAnsi="仿宋" w:eastAsia="仿宋"/>
          <w:sz w:val="32"/>
          <w:szCs w:val="32"/>
        </w:rPr>
        <w:t>%，主要原因是</w:t>
      </w:r>
      <w:r>
        <w:rPr>
          <w:rFonts w:hint="eastAsia" w:ascii="仿宋" w:hAnsi="仿宋" w:eastAsia="仿宋"/>
          <w:sz w:val="32"/>
          <w:szCs w:val="32"/>
        </w:rPr>
        <w:t>一事一议项目、乡镇殡葬执法项目、村级运转经费、信访维稳项目、人员保险比例基数上调等</w:t>
      </w:r>
      <w:r>
        <w:rPr>
          <w:rFonts w:ascii="仿宋" w:hAnsi="仿宋" w:eastAsia="仿宋"/>
          <w:sz w:val="32"/>
          <w:szCs w:val="32"/>
        </w:rPr>
        <w:t>。</w:t>
      </w:r>
    </w:p>
    <w:p>
      <w:pPr>
        <w:spacing w:line="584" w:lineRule="exact"/>
        <w:ind w:firstLine="640" w:firstLineChars="200"/>
        <w:rPr>
          <w:rFonts w:ascii="仿宋" w:hAnsi="仿宋" w:eastAsia="仿宋"/>
          <w:sz w:val="32"/>
          <w:szCs w:val="32"/>
        </w:rPr>
      </w:pPr>
      <w:r>
        <w:rPr>
          <w:rFonts w:ascii="仿宋" w:hAnsi="仿宋" w:eastAsia="仿宋"/>
          <w:sz w:val="32"/>
          <w:szCs w:val="32"/>
        </w:rPr>
        <w:t>本部门2017年度政府性基金预算财政拨款本年收入较2017年初预算</w:t>
      </w:r>
      <w:r>
        <w:rPr>
          <w:rFonts w:hint="eastAsia" w:ascii="仿宋" w:hAnsi="仿宋" w:eastAsia="仿宋"/>
          <w:sz w:val="32"/>
          <w:szCs w:val="32"/>
        </w:rPr>
        <w:t>增加2638.9</w:t>
      </w:r>
      <w:r>
        <w:rPr>
          <w:rFonts w:ascii="仿宋" w:hAnsi="仿宋" w:eastAsia="仿宋"/>
          <w:sz w:val="32"/>
          <w:szCs w:val="32"/>
        </w:rPr>
        <w:t>万元，</w:t>
      </w:r>
      <w:r>
        <w:rPr>
          <w:rFonts w:hint="eastAsia" w:ascii="仿宋" w:hAnsi="仿宋" w:eastAsia="仿宋"/>
          <w:sz w:val="32"/>
          <w:szCs w:val="32"/>
        </w:rPr>
        <w:t>增加306.7</w:t>
      </w:r>
      <w:r>
        <w:rPr>
          <w:rFonts w:ascii="仿宋" w:hAnsi="仿宋" w:eastAsia="仿宋"/>
          <w:sz w:val="32"/>
          <w:szCs w:val="32"/>
        </w:rPr>
        <w:t>%，主要原因是</w:t>
      </w:r>
      <w:r>
        <w:rPr>
          <w:rFonts w:hint="eastAsia" w:ascii="仿宋" w:hAnsi="仿宋" w:eastAsia="仿宋"/>
          <w:sz w:val="32"/>
          <w:szCs w:val="32"/>
        </w:rPr>
        <w:t>泰恒置业房地产开发有限公司土地征用补偿金。</w:t>
      </w:r>
    </w:p>
    <w:p>
      <w:pPr>
        <w:pStyle w:val="3"/>
        <w:spacing w:before="0" w:after="0" w:line="584" w:lineRule="exact"/>
        <w:ind w:firstLine="640" w:firstLineChars="200"/>
        <w:rPr>
          <w:rFonts w:ascii="Times New Roman" w:hAnsi="Times New Roman" w:eastAsia="黑体"/>
        </w:rPr>
      </w:pPr>
      <w:r>
        <w:rPr>
          <w:rFonts w:ascii="Times New Roman" w:hAnsi="Times New Roman" w:eastAsia="黑体"/>
          <w:b w:val="0"/>
          <w:kern w:val="0"/>
        </w:rPr>
        <w:t>五、一般公共预算财政拨款“三公” 经费支出决算情况说明</w:t>
      </w:r>
    </w:p>
    <w:p>
      <w:pPr>
        <w:adjustRightInd w:val="0"/>
        <w:snapToGrid w:val="0"/>
        <w:spacing w:line="584" w:lineRule="exact"/>
        <w:ind w:firstLine="640" w:firstLineChars="200"/>
        <w:rPr>
          <w:rFonts w:eastAsia="仿宋_GB2312"/>
          <w:sz w:val="32"/>
          <w:szCs w:val="32"/>
        </w:rPr>
      </w:pPr>
      <w:r>
        <w:rPr>
          <w:rFonts w:ascii="仿宋" w:hAnsi="仿宋" w:eastAsia="仿宋"/>
          <w:sz w:val="32"/>
          <w:szCs w:val="32"/>
        </w:rPr>
        <w:t>本部门2017年度一般公共预算财政拨款“三公”经费支出共计</w:t>
      </w:r>
      <w:r>
        <w:rPr>
          <w:rFonts w:hint="eastAsia" w:ascii="仿宋" w:hAnsi="仿宋" w:eastAsia="仿宋"/>
          <w:sz w:val="32"/>
          <w:szCs w:val="32"/>
        </w:rPr>
        <w:t>4.71</w:t>
      </w:r>
      <w:r>
        <w:rPr>
          <w:rFonts w:ascii="仿宋" w:hAnsi="仿宋" w:eastAsia="仿宋"/>
          <w:sz w:val="32"/>
          <w:szCs w:val="32"/>
        </w:rPr>
        <w:t>万元，较年初预算减少</w:t>
      </w:r>
      <w:r>
        <w:rPr>
          <w:rFonts w:hint="eastAsia" w:ascii="仿宋" w:hAnsi="仿宋" w:eastAsia="仿宋"/>
          <w:sz w:val="32"/>
          <w:szCs w:val="32"/>
        </w:rPr>
        <w:t>4.79</w:t>
      </w:r>
      <w:r>
        <w:rPr>
          <w:rFonts w:ascii="仿宋" w:hAnsi="仿宋" w:eastAsia="仿宋"/>
          <w:sz w:val="32"/>
          <w:szCs w:val="32"/>
        </w:rPr>
        <w:t>万元，降低</w:t>
      </w:r>
      <w:r>
        <w:rPr>
          <w:rFonts w:hint="eastAsia" w:ascii="仿宋" w:hAnsi="仿宋" w:eastAsia="仿宋"/>
          <w:sz w:val="32"/>
          <w:szCs w:val="32"/>
        </w:rPr>
        <w:t>50.4</w:t>
      </w:r>
      <w:r>
        <w:rPr>
          <w:rFonts w:ascii="仿宋" w:hAnsi="仿宋" w:eastAsia="仿宋"/>
          <w:sz w:val="32"/>
          <w:szCs w:val="32"/>
        </w:rPr>
        <w:t>%，主要原因是</w:t>
      </w:r>
      <w:r>
        <w:rPr>
          <w:rFonts w:hint="eastAsia" w:ascii="仿宋" w:hAnsi="仿宋" w:eastAsia="仿宋"/>
          <w:sz w:val="32"/>
          <w:szCs w:val="32"/>
        </w:rPr>
        <w:t>公务用车维护费减少</w:t>
      </w:r>
      <w:r>
        <w:rPr>
          <w:rFonts w:ascii="仿宋" w:hAnsi="仿宋" w:eastAsia="仿宋"/>
          <w:sz w:val="32"/>
          <w:szCs w:val="32"/>
        </w:rPr>
        <w:t>；较2016年度决算减少</w:t>
      </w:r>
      <w:r>
        <w:rPr>
          <w:rFonts w:hint="eastAsia" w:ascii="仿宋" w:hAnsi="仿宋" w:eastAsia="仿宋"/>
          <w:sz w:val="32"/>
          <w:szCs w:val="32"/>
        </w:rPr>
        <w:t>0.24</w:t>
      </w:r>
      <w:r>
        <w:rPr>
          <w:rFonts w:ascii="仿宋" w:hAnsi="仿宋" w:eastAsia="仿宋"/>
          <w:sz w:val="32"/>
          <w:szCs w:val="32"/>
        </w:rPr>
        <w:t>万元，主要原因是</w:t>
      </w:r>
      <w:r>
        <w:rPr>
          <w:rFonts w:hint="eastAsia" w:ascii="仿宋" w:hAnsi="仿宋" w:eastAsia="仿宋"/>
          <w:sz w:val="32"/>
          <w:szCs w:val="32"/>
        </w:rPr>
        <w:t>公务用车维护费减少及公务招待费减少</w:t>
      </w:r>
      <w:r>
        <w:rPr>
          <w:rFonts w:ascii="仿宋" w:hAnsi="仿宋" w:eastAsia="仿宋"/>
          <w:sz w:val="32"/>
          <w:szCs w:val="32"/>
        </w:rPr>
        <w:t>。具体情况如下</w:t>
      </w:r>
      <w:r>
        <w:rPr>
          <w:rFonts w:eastAsia="仿宋_GB2312"/>
          <w:sz w:val="32"/>
          <w:szCs w:val="32"/>
        </w:rPr>
        <w:t>：</w:t>
      </w:r>
    </w:p>
    <w:p>
      <w:pPr>
        <w:adjustRightInd w:val="0"/>
        <w:snapToGrid w:val="0"/>
        <w:spacing w:line="584" w:lineRule="exact"/>
        <w:ind w:firstLine="640" w:firstLineChars="200"/>
        <w:rPr>
          <w:rFonts w:ascii="仿宋" w:hAnsi="仿宋" w:eastAsia="仿宋"/>
          <w:sz w:val="32"/>
          <w:szCs w:val="32"/>
        </w:rPr>
      </w:pPr>
      <w:r>
        <w:rPr>
          <w:rFonts w:ascii="楷体" w:hAnsi="楷体" w:eastAsia="楷体"/>
          <w:bCs/>
          <w:sz w:val="32"/>
          <w:szCs w:val="32"/>
        </w:rPr>
        <w:t>（一）因公出国（境）费支出</w:t>
      </w:r>
      <w:r>
        <w:rPr>
          <w:rFonts w:hint="eastAsia" w:ascii="楷体" w:hAnsi="楷体" w:eastAsia="楷体"/>
          <w:bCs/>
          <w:sz w:val="32"/>
          <w:szCs w:val="32"/>
        </w:rPr>
        <w:t>0</w:t>
      </w:r>
      <w:r>
        <w:rPr>
          <w:rFonts w:ascii="楷体" w:hAnsi="楷体" w:eastAsia="楷体"/>
          <w:bCs/>
          <w:sz w:val="32"/>
          <w:szCs w:val="32"/>
        </w:rPr>
        <w:t>万元。</w:t>
      </w:r>
      <w:r>
        <w:rPr>
          <w:rFonts w:ascii="仿宋" w:hAnsi="仿宋" w:eastAsia="仿宋"/>
          <w:sz w:val="32"/>
          <w:szCs w:val="32"/>
        </w:rPr>
        <w:t>本部门2017年度因公出国（境）团组</w:t>
      </w:r>
      <w:r>
        <w:rPr>
          <w:rFonts w:hint="eastAsia" w:ascii="仿宋" w:hAnsi="仿宋" w:eastAsia="仿宋"/>
          <w:sz w:val="32"/>
          <w:szCs w:val="32"/>
        </w:rPr>
        <w:t>0</w:t>
      </w:r>
      <w:r>
        <w:rPr>
          <w:rFonts w:ascii="仿宋" w:hAnsi="仿宋" w:eastAsia="仿宋"/>
          <w:sz w:val="32"/>
          <w:szCs w:val="32"/>
        </w:rPr>
        <w:t xml:space="preserve"> 个，因公出国（境）人次数</w:t>
      </w:r>
      <w:r>
        <w:rPr>
          <w:rFonts w:hint="eastAsia" w:ascii="仿宋" w:hAnsi="仿宋" w:eastAsia="仿宋"/>
          <w:sz w:val="32"/>
          <w:szCs w:val="32"/>
        </w:rPr>
        <w:t>0</w:t>
      </w:r>
      <w:r>
        <w:rPr>
          <w:rFonts w:ascii="仿宋" w:hAnsi="仿宋" w:eastAsia="仿宋"/>
          <w:sz w:val="32"/>
          <w:szCs w:val="32"/>
        </w:rPr>
        <w:t>人。因公出国（境）费支出较年初预算增加（减少）</w:t>
      </w:r>
      <w:r>
        <w:rPr>
          <w:rFonts w:hint="eastAsia" w:ascii="仿宋" w:hAnsi="仿宋" w:eastAsia="仿宋"/>
          <w:sz w:val="32"/>
          <w:szCs w:val="32"/>
        </w:rPr>
        <w:t>0</w:t>
      </w:r>
      <w:r>
        <w:rPr>
          <w:rFonts w:ascii="仿宋" w:hAnsi="仿宋" w:eastAsia="仿宋"/>
          <w:sz w:val="32"/>
          <w:szCs w:val="32"/>
        </w:rPr>
        <w:t>万元，增长（降低）</w:t>
      </w:r>
      <w:r>
        <w:rPr>
          <w:rFonts w:hint="eastAsia" w:ascii="仿宋" w:hAnsi="仿宋" w:eastAsia="仿宋"/>
          <w:sz w:val="32"/>
          <w:szCs w:val="32"/>
        </w:rPr>
        <w:t>0</w:t>
      </w:r>
      <w:r>
        <w:rPr>
          <w:rFonts w:ascii="仿宋" w:hAnsi="仿宋" w:eastAsia="仿宋"/>
          <w:sz w:val="32"/>
          <w:szCs w:val="32"/>
        </w:rPr>
        <w:t>%；较2016年度决算增加（减少）</w:t>
      </w:r>
      <w:r>
        <w:rPr>
          <w:rFonts w:hint="eastAsia" w:ascii="仿宋" w:hAnsi="仿宋" w:eastAsia="仿宋"/>
          <w:sz w:val="32"/>
          <w:szCs w:val="32"/>
        </w:rPr>
        <w:t>0</w:t>
      </w:r>
      <w:r>
        <w:rPr>
          <w:rFonts w:ascii="仿宋" w:hAnsi="仿宋" w:eastAsia="仿宋"/>
          <w:sz w:val="32"/>
          <w:szCs w:val="32"/>
        </w:rPr>
        <w:t>万元，增长（降低）</w:t>
      </w:r>
      <w:r>
        <w:rPr>
          <w:rFonts w:hint="eastAsia" w:ascii="仿宋" w:hAnsi="仿宋" w:eastAsia="仿宋"/>
          <w:sz w:val="32"/>
          <w:szCs w:val="32"/>
        </w:rPr>
        <w:t>0</w:t>
      </w:r>
      <w:r>
        <w:rPr>
          <w:rFonts w:ascii="仿宋" w:hAnsi="仿宋" w:eastAsia="仿宋"/>
          <w:sz w:val="32"/>
          <w:szCs w:val="32"/>
        </w:rPr>
        <w:t>%,</w:t>
      </w:r>
      <w:r>
        <w:rPr>
          <w:rFonts w:hint="eastAsia" w:ascii="仿宋" w:hAnsi="仿宋" w:eastAsia="仿宋"/>
          <w:sz w:val="32"/>
          <w:szCs w:val="32"/>
        </w:rPr>
        <w:t>未发生</w:t>
      </w:r>
      <w:r>
        <w:rPr>
          <w:rFonts w:ascii="仿宋" w:hAnsi="仿宋" w:eastAsia="仿宋"/>
          <w:sz w:val="32"/>
          <w:szCs w:val="32"/>
        </w:rPr>
        <w:t>因公出国（境）费支出。</w:t>
      </w:r>
    </w:p>
    <w:p>
      <w:pPr>
        <w:spacing w:line="584" w:lineRule="exact"/>
        <w:ind w:firstLine="640" w:firstLineChars="200"/>
        <w:rPr>
          <w:rFonts w:ascii="楷体" w:hAnsi="楷体" w:eastAsia="楷体"/>
          <w:bCs/>
          <w:sz w:val="32"/>
          <w:szCs w:val="32"/>
        </w:rPr>
      </w:pPr>
      <w:r>
        <w:rPr>
          <w:rFonts w:ascii="楷体" w:hAnsi="楷体" w:eastAsia="楷体"/>
          <w:bCs/>
          <w:sz w:val="32"/>
          <w:szCs w:val="32"/>
        </w:rPr>
        <w:t>（二）公务用车购置及运行维护费支出</w:t>
      </w:r>
      <w:r>
        <w:rPr>
          <w:rFonts w:hint="eastAsia" w:ascii="楷体" w:hAnsi="楷体" w:eastAsia="楷体"/>
          <w:bCs/>
          <w:sz w:val="32"/>
          <w:szCs w:val="32"/>
        </w:rPr>
        <w:t>4.28</w:t>
      </w:r>
      <w:r>
        <w:rPr>
          <w:rFonts w:ascii="楷体" w:hAnsi="楷体" w:eastAsia="楷体"/>
          <w:bCs/>
          <w:sz w:val="32"/>
          <w:szCs w:val="32"/>
        </w:rPr>
        <w:t>万元。其中：</w:t>
      </w:r>
    </w:p>
    <w:p>
      <w:pPr>
        <w:adjustRightInd w:val="0"/>
        <w:snapToGrid w:val="0"/>
        <w:spacing w:line="584" w:lineRule="exact"/>
        <w:ind w:firstLine="640" w:firstLineChars="200"/>
        <w:rPr>
          <w:rFonts w:eastAsia="仿宋_GB2312"/>
          <w:sz w:val="32"/>
          <w:szCs w:val="32"/>
        </w:rPr>
      </w:pPr>
      <w:r>
        <w:rPr>
          <w:rFonts w:ascii="楷体" w:hAnsi="楷体" w:eastAsia="楷体"/>
          <w:bCs/>
          <w:sz w:val="32"/>
          <w:szCs w:val="32"/>
        </w:rPr>
        <w:t>公务用车购置费支出</w:t>
      </w:r>
      <w:r>
        <w:rPr>
          <w:rFonts w:hint="eastAsia" w:ascii="楷体" w:hAnsi="楷体" w:eastAsia="楷体"/>
          <w:bCs/>
          <w:sz w:val="32"/>
          <w:szCs w:val="32"/>
        </w:rPr>
        <w:t>0</w:t>
      </w:r>
      <w:r>
        <w:rPr>
          <w:rFonts w:ascii="楷体" w:hAnsi="楷体" w:eastAsia="楷体"/>
          <w:bCs/>
          <w:sz w:val="32"/>
          <w:szCs w:val="32"/>
        </w:rPr>
        <w:t>万元。</w:t>
      </w:r>
      <w:r>
        <w:rPr>
          <w:rFonts w:ascii="仿宋" w:hAnsi="仿宋" w:eastAsia="仿宋"/>
          <w:sz w:val="32"/>
          <w:szCs w:val="32"/>
        </w:rPr>
        <w:t>本部门2017年度公务用车购置</w:t>
      </w:r>
      <w:r>
        <w:rPr>
          <w:rFonts w:hint="eastAsia" w:ascii="仿宋" w:hAnsi="仿宋" w:eastAsia="仿宋"/>
          <w:sz w:val="32"/>
          <w:szCs w:val="32"/>
        </w:rPr>
        <w:t>数</w:t>
      </w:r>
      <w:r>
        <w:rPr>
          <w:rFonts w:ascii="仿宋" w:hAnsi="仿宋" w:eastAsia="仿宋"/>
          <w:sz w:val="32"/>
          <w:szCs w:val="32"/>
        </w:rPr>
        <w:t>量</w:t>
      </w:r>
      <w:r>
        <w:rPr>
          <w:rFonts w:hint="eastAsia" w:ascii="仿宋" w:hAnsi="仿宋" w:eastAsia="仿宋"/>
          <w:sz w:val="32"/>
          <w:szCs w:val="32"/>
        </w:rPr>
        <w:t>0</w:t>
      </w:r>
      <w:r>
        <w:rPr>
          <w:rFonts w:ascii="仿宋" w:hAnsi="仿宋" w:eastAsia="仿宋"/>
          <w:sz w:val="32"/>
          <w:szCs w:val="32"/>
        </w:rPr>
        <w:t>辆。公务用车购置费支出较年初预算增加（减少）</w:t>
      </w:r>
      <w:r>
        <w:rPr>
          <w:rFonts w:hint="eastAsia" w:ascii="仿宋" w:hAnsi="仿宋" w:eastAsia="仿宋"/>
          <w:sz w:val="32"/>
          <w:szCs w:val="32"/>
        </w:rPr>
        <w:t>0</w:t>
      </w:r>
      <w:r>
        <w:rPr>
          <w:rFonts w:ascii="仿宋" w:hAnsi="仿宋" w:eastAsia="仿宋"/>
          <w:sz w:val="32"/>
          <w:szCs w:val="32"/>
        </w:rPr>
        <w:t>万元，增长（降低）</w:t>
      </w:r>
      <w:r>
        <w:rPr>
          <w:rFonts w:hint="eastAsia" w:ascii="仿宋" w:hAnsi="仿宋" w:eastAsia="仿宋"/>
          <w:sz w:val="32"/>
          <w:szCs w:val="32"/>
        </w:rPr>
        <w:t>0</w:t>
      </w:r>
      <w:r>
        <w:rPr>
          <w:rFonts w:ascii="仿宋" w:hAnsi="仿宋" w:eastAsia="仿宋"/>
          <w:sz w:val="32"/>
          <w:szCs w:val="32"/>
        </w:rPr>
        <w:t>%,；较2016年度决算增加（减少）</w:t>
      </w:r>
      <w:r>
        <w:rPr>
          <w:rFonts w:hint="eastAsia" w:ascii="仿宋" w:hAnsi="仿宋" w:eastAsia="仿宋"/>
          <w:sz w:val="32"/>
          <w:szCs w:val="32"/>
        </w:rPr>
        <w:t>0</w:t>
      </w:r>
      <w:r>
        <w:rPr>
          <w:rFonts w:ascii="仿宋" w:hAnsi="仿宋" w:eastAsia="仿宋"/>
          <w:sz w:val="32"/>
          <w:szCs w:val="32"/>
        </w:rPr>
        <w:t>万元，增长（降低）</w:t>
      </w:r>
      <w:r>
        <w:rPr>
          <w:rFonts w:hint="eastAsia" w:ascii="仿宋" w:hAnsi="仿宋" w:eastAsia="仿宋"/>
          <w:sz w:val="32"/>
          <w:szCs w:val="32"/>
        </w:rPr>
        <w:t>0</w:t>
      </w:r>
      <w:r>
        <w:rPr>
          <w:rFonts w:ascii="仿宋" w:hAnsi="仿宋" w:eastAsia="仿宋"/>
          <w:sz w:val="32"/>
          <w:szCs w:val="32"/>
        </w:rPr>
        <w:t>%,</w:t>
      </w:r>
      <w:r>
        <w:rPr>
          <w:rFonts w:hint="eastAsia" w:ascii="仿宋" w:hAnsi="仿宋" w:eastAsia="仿宋"/>
          <w:sz w:val="32"/>
          <w:szCs w:val="32"/>
        </w:rPr>
        <w:t>未发生公务用车购置费支出</w:t>
      </w:r>
      <w:r>
        <w:rPr>
          <w:rFonts w:ascii="仿宋" w:hAnsi="仿宋" w:eastAsia="仿宋"/>
          <w:sz w:val="32"/>
          <w:szCs w:val="32"/>
        </w:rPr>
        <w:t>。</w:t>
      </w:r>
    </w:p>
    <w:p>
      <w:pPr>
        <w:adjustRightInd w:val="0"/>
        <w:snapToGrid w:val="0"/>
        <w:spacing w:line="584" w:lineRule="exact"/>
        <w:ind w:firstLine="640" w:firstLineChars="200"/>
        <w:rPr>
          <w:rFonts w:ascii="仿宋" w:hAnsi="仿宋" w:eastAsia="仿宋"/>
          <w:sz w:val="32"/>
          <w:szCs w:val="32"/>
        </w:rPr>
      </w:pPr>
      <w:r>
        <w:rPr>
          <w:rFonts w:ascii="楷体" w:hAnsi="楷体" w:eastAsia="楷体"/>
          <w:bCs/>
          <w:sz w:val="32"/>
          <w:szCs w:val="32"/>
        </w:rPr>
        <w:t>公务用车运行维护费支出</w:t>
      </w:r>
      <w:r>
        <w:rPr>
          <w:rFonts w:hint="eastAsia" w:ascii="楷体" w:hAnsi="楷体" w:eastAsia="楷体"/>
          <w:bCs/>
          <w:sz w:val="32"/>
          <w:szCs w:val="32"/>
        </w:rPr>
        <w:t>4.28</w:t>
      </w:r>
      <w:r>
        <w:rPr>
          <w:rFonts w:ascii="楷体" w:hAnsi="楷体" w:eastAsia="楷体"/>
          <w:bCs/>
          <w:sz w:val="32"/>
          <w:szCs w:val="32"/>
        </w:rPr>
        <w:t>万元。</w:t>
      </w:r>
      <w:r>
        <w:rPr>
          <w:rFonts w:ascii="仿宋" w:hAnsi="仿宋" w:eastAsia="仿宋"/>
          <w:sz w:val="32"/>
          <w:szCs w:val="32"/>
        </w:rPr>
        <w:t>本部门2017年末单位公务用车保有量</w:t>
      </w:r>
      <w:r>
        <w:rPr>
          <w:rFonts w:hint="eastAsia" w:ascii="仿宋" w:hAnsi="仿宋" w:eastAsia="仿宋"/>
          <w:sz w:val="32"/>
          <w:szCs w:val="32"/>
        </w:rPr>
        <w:t>2</w:t>
      </w:r>
      <w:r>
        <w:rPr>
          <w:rFonts w:ascii="仿宋" w:hAnsi="仿宋" w:eastAsia="仿宋"/>
          <w:sz w:val="32"/>
          <w:szCs w:val="32"/>
        </w:rPr>
        <w:t>辆。公车运行维护费支出较年初预算减少</w:t>
      </w:r>
      <w:r>
        <w:rPr>
          <w:rFonts w:hint="eastAsia" w:ascii="仿宋" w:hAnsi="仿宋" w:eastAsia="仿宋"/>
          <w:sz w:val="32"/>
          <w:szCs w:val="32"/>
        </w:rPr>
        <w:t>3.72</w:t>
      </w:r>
      <w:r>
        <w:rPr>
          <w:rFonts w:ascii="仿宋" w:hAnsi="仿宋" w:eastAsia="仿宋"/>
          <w:sz w:val="32"/>
          <w:szCs w:val="32"/>
        </w:rPr>
        <w:t>万元，降低</w:t>
      </w:r>
      <w:r>
        <w:rPr>
          <w:rFonts w:hint="eastAsia" w:ascii="仿宋" w:hAnsi="仿宋" w:eastAsia="仿宋"/>
          <w:sz w:val="32"/>
          <w:szCs w:val="32"/>
        </w:rPr>
        <w:t>46.5</w:t>
      </w:r>
      <w:r>
        <w:rPr>
          <w:rFonts w:ascii="仿宋" w:hAnsi="仿宋" w:eastAsia="仿宋"/>
          <w:sz w:val="32"/>
          <w:szCs w:val="32"/>
        </w:rPr>
        <w:t>%,主要原因是</w:t>
      </w:r>
      <w:r>
        <w:rPr>
          <w:rFonts w:hint="eastAsia" w:ascii="仿宋" w:hAnsi="仿宋" w:eastAsia="仿宋"/>
          <w:sz w:val="32"/>
          <w:szCs w:val="32"/>
        </w:rPr>
        <w:t>单位严格实行中央八项规定，压缩“三公经费”支出，厉行节约</w:t>
      </w:r>
      <w:r>
        <w:rPr>
          <w:rFonts w:ascii="仿宋" w:hAnsi="仿宋" w:eastAsia="仿宋"/>
          <w:sz w:val="32"/>
          <w:szCs w:val="32"/>
        </w:rPr>
        <w:t>；较2016年度决算减少</w:t>
      </w:r>
      <w:r>
        <w:rPr>
          <w:rFonts w:hint="eastAsia" w:ascii="仿宋" w:hAnsi="仿宋" w:eastAsia="仿宋"/>
          <w:sz w:val="32"/>
          <w:szCs w:val="32"/>
        </w:rPr>
        <w:t>0.22</w:t>
      </w:r>
      <w:r>
        <w:rPr>
          <w:rFonts w:ascii="仿宋" w:hAnsi="仿宋" w:eastAsia="仿宋"/>
          <w:sz w:val="32"/>
          <w:szCs w:val="32"/>
        </w:rPr>
        <w:t>万元，主要原因</w:t>
      </w:r>
      <w:r>
        <w:rPr>
          <w:rFonts w:hint="eastAsia" w:ascii="仿宋" w:hAnsi="仿宋" w:eastAsia="仿宋"/>
          <w:sz w:val="32"/>
          <w:szCs w:val="32"/>
        </w:rPr>
        <w:t>单位严格实行中央八项规定，压缩“三公经费”支出，</w:t>
      </w:r>
      <w:r>
        <w:rPr>
          <w:rFonts w:ascii="仿宋" w:hAnsi="仿宋" w:eastAsia="仿宋"/>
          <w:sz w:val="32"/>
          <w:szCs w:val="32"/>
        </w:rPr>
        <w:t>是</w:t>
      </w:r>
      <w:r>
        <w:rPr>
          <w:rFonts w:hint="eastAsia" w:ascii="仿宋" w:hAnsi="仿宋" w:eastAsia="仿宋"/>
          <w:sz w:val="32"/>
          <w:szCs w:val="32"/>
        </w:rPr>
        <w:t>厉行节约。</w:t>
      </w:r>
    </w:p>
    <w:p>
      <w:pPr>
        <w:adjustRightInd w:val="0"/>
        <w:snapToGrid w:val="0"/>
        <w:spacing w:line="584" w:lineRule="exact"/>
        <w:ind w:firstLine="640" w:firstLineChars="200"/>
        <w:rPr>
          <w:rFonts w:ascii="仿宋" w:hAnsi="仿宋" w:eastAsia="仿宋"/>
          <w:sz w:val="32"/>
          <w:szCs w:val="32"/>
        </w:rPr>
      </w:pPr>
      <w:r>
        <w:rPr>
          <w:rFonts w:ascii="楷体" w:hAnsi="楷体" w:eastAsia="楷体"/>
          <w:bCs/>
          <w:sz w:val="32"/>
          <w:szCs w:val="32"/>
        </w:rPr>
        <w:t>（三）公务接待费支出</w:t>
      </w:r>
      <w:r>
        <w:rPr>
          <w:rFonts w:hint="eastAsia" w:ascii="楷体" w:hAnsi="楷体" w:eastAsia="楷体"/>
          <w:bCs/>
          <w:sz w:val="32"/>
          <w:szCs w:val="32"/>
        </w:rPr>
        <w:t>0.43</w:t>
      </w:r>
      <w:r>
        <w:rPr>
          <w:rFonts w:ascii="楷体" w:hAnsi="楷体" w:eastAsia="楷体"/>
          <w:bCs/>
          <w:sz w:val="32"/>
          <w:szCs w:val="32"/>
        </w:rPr>
        <w:t>万元。</w:t>
      </w:r>
      <w:r>
        <w:rPr>
          <w:rFonts w:ascii="仿宋" w:hAnsi="仿宋" w:eastAsia="仿宋"/>
          <w:sz w:val="32"/>
          <w:szCs w:val="32"/>
        </w:rPr>
        <w:t>本部门2017年度公务接待共</w:t>
      </w:r>
      <w:r>
        <w:rPr>
          <w:rFonts w:hint="eastAsia" w:ascii="仿宋" w:hAnsi="仿宋" w:eastAsia="仿宋"/>
          <w:sz w:val="32"/>
          <w:szCs w:val="32"/>
        </w:rPr>
        <w:t>13</w:t>
      </w:r>
      <w:r>
        <w:rPr>
          <w:rFonts w:ascii="仿宋" w:hAnsi="仿宋" w:eastAsia="仿宋"/>
          <w:sz w:val="32"/>
          <w:szCs w:val="32"/>
        </w:rPr>
        <w:t>批次、</w:t>
      </w:r>
      <w:r>
        <w:rPr>
          <w:rFonts w:hint="eastAsia" w:ascii="仿宋" w:hAnsi="仿宋" w:eastAsia="仿宋"/>
          <w:sz w:val="32"/>
          <w:szCs w:val="32"/>
        </w:rPr>
        <w:t>98</w:t>
      </w:r>
      <w:r>
        <w:rPr>
          <w:rFonts w:ascii="仿宋" w:hAnsi="仿宋" w:eastAsia="仿宋"/>
          <w:sz w:val="32"/>
          <w:szCs w:val="32"/>
        </w:rPr>
        <w:t>人次。公务接待费支出较年初预算减少</w:t>
      </w:r>
      <w:r>
        <w:rPr>
          <w:rFonts w:hint="eastAsia" w:ascii="仿宋" w:hAnsi="仿宋" w:eastAsia="仿宋"/>
          <w:sz w:val="32"/>
          <w:szCs w:val="32"/>
        </w:rPr>
        <w:t>1.07</w:t>
      </w:r>
      <w:r>
        <w:rPr>
          <w:rFonts w:ascii="仿宋" w:hAnsi="仿宋" w:eastAsia="仿宋"/>
          <w:sz w:val="32"/>
          <w:szCs w:val="32"/>
        </w:rPr>
        <w:t>万元，降低</w:t>
      </w:r>
      <w:r>
        <w:rPr>
          <w:rFonts w:hint="eastAsia" w:ascii="仿宋" w:hAnsi="仿宋" w:eastAsia="仿宋"/>
          <w:sz w:val="32"/>
          <w:szCs w:val="32"/>
        </w:rPr>
        <w:t>71.3</w:t>
      </w:r>
      <w:r>
        <w:rPr>
          <w:rFonts w:ascii="仿宋" w:hAnsi="仿宋" w:eastAsia="仿宋"/>
          <w:sz w:val="32"/>
          <w:szCs w:val="32"/>
        </w:rPr>
        <w:t>%,主要原因</w:t>
      </w:r>
      <w:r>
        <w:rPr>
          <w:rFonts w:hint="eastAsia" w:ascii="仿宋" w:hAnsi="仿宋" w:eastAsia="仿宋"/>
          <w:sz w:val="32"/>
          <w:szCs w:val="32"/>
        </w:rPr>
        <w:t>是单位严格实行中央八项规定，压缩“三公经费”支出，厉行节约。</w:t>
      </w:r>
      <w:r>
        <w:rPr>
          <w:rFonts w:ascii="仿宋" w:hAnsi="仿宋" w:eastAsia="仿宋"/>
          <w:sz w:val="32"/>
          <w:szCs w:val="32"/>
        </w:rPr>
        <w:t>较2016年度决算减少</w:t>
      </w:r>
      <w:r>
        <w:rPr>
          <w:rFonts w:hint="eastAsia" w:ascii="仿宋" w:hAnsi="仿宋" w:eastAsia="仿宋"/>
          <w:sz w:val="32"/>
          <w:szCs w:val="32"/>
        </w:rPr>
        <w:t>0.02</w:t>
      </w:r>
      <w:r>
        <w:rPr>
          <w:rFonts w:ascii="仿宋" w:hAnsi="仿宋" w:eastAsia="仿宋"/>
          <w:sz w:val="32"/>
          <w:szCs w:val="32"/>
        </w:rPr>
        <w:t>万元，主要原因</w:t>
      </w:r>
      <w:r>
        <w:rPr>
          <w:rFonts w:hint="eastAsia" w:ascii="仿宋" w:hAnsi="仿宋" w:eastAsia="仿宋"/>
          <w:sz w:val="32"/>
          <w:szCs w:val="32"/>
        </w:rPr>
        <w:t>单位严格实行中央八项规定，压缩“三公经费”支出，厉行节约。</w:t>
      </w:r>
    </w:p>
    <w:p>
      <w:pPr>
        <w:pStyle w:val="3"/>
        <w:spacing w:before="0" w:after="0" w:line="584" w:lineRule="exact"/>
        <w:ind w:firstLine="640" w:firstLineChars="200"/>
        <w:rPr>
          <w:rFonts w:ascii="Times New Roman" w:hAnsi="Times New Roman" w:eastAsia="黑体"/>
          <w:b w:val="0"/>
          <w:kern w:val="0"/>
        </w:rPr>
      </w:pPr>
      <w:r>
        <w:rPr>
          <w:rFonts w:ascii="Times New Roman" w:hAnsi="Times New Roman" w:eastAsia="黑体"/>
          <w:b w:val="0"/>
          <w:kern w:val="0"/>
        </w:rPr>
        <w:t>六、绩效预算管理工作开展情况说明</w:t>
      </w:r>
    </w:p>
    <w:p>
      <w:pPr>
        <w:spacing w:line="584" w:lineRule="exact"/>
        <w:ind w:firstLine="640" w:firstLineChars="200"/>
        <w:rPr>
          <w:rFonts w:ascii="楷体" w:hAnsi="楷体" w:eastAsia="楷体"/>
          <w:bCs/>
          <w:sz w:val="32"/>
          <w:szCs w:val="32"/>
        </w:rPr>
      </w:pPr>
      <w:r>
        <w:rPr>
          <w:rFonts w:ascii="楷体" w:hAnsi="楷体" w:eastAsia="楷体"/>
          <w:bCs/>
          <w:sz w:val="32"/>
          <w:szCs w:val="32"/>
        </w:rPr>
        <w:t>（一）绩效管理工作开展情况</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为深入贯</w:t>
      </w:r>
      <w:r>
        <w:rPr>
          <w:rFonts w:hint="eastAsia" w:ascii="仿宋" w:hAnsi="仿宋" w:eastAsia="仿宋"/>
          <w:sz w:val="32"/>
          <w:szCs w:val="32"/>
          <w:lang w:eastAsia="zh-CN"/>
        </w:rPr>
        <w:t>彻</w:t>
      </w:r>
      <w:bookmarkStart w:id="0" w:name="_GoBack"/>
      <w:bookmarkEnd w:id="0"/>
      <w:r>
        <w:rPr>
          <w:rFonts w:hint="eastAsia" w:ascii="仿宋" w:hAnsi="仿宋" w:eastAsia="仿宋"/>
          <w:sz w:val="32"/>
          <w:szCs w:val="32"/>
        </w:rPr>
        <w:t>落实预算法，进一步建立科学规范的绩效预算运行监控体系，提高财政资金使用绩效，根据《河北省省级绩效预算运行监控管理办法(试行)》（冀财库【2016】47号）和有关规定，结合我镇单位实际制定了《平舒镇绩效预算运行监控管理办法(试行)》。</w:t>
      </w:r>
    </w:p>
    <w:p>
      <w:pPr>
        <w:spacing w:line="584" w:lineRule="exact"/>
        <w:ind w:firstLine="640" w:firstLineChars="20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7年，进一步建立科学规范的绩效预算运行监控体系，提高财政资金使用绩效，我单位按照预算绩效管理改革要求，以绩效为导向，严格执行绩效预算管理。按照省市县文件要求，我单位重新修订了部门职责、工作活动及绩效评价指标，对预算项目执行及工作活动进行了绩效评价，并将绩效评价结果应用到实际工作中，进一步提升了部门预算绩效管理工作水平。</w:t>
      </w:r>
    </w:p>
    <w:p>
      <w:pPr>
        <w:spacing w:line="584" w:lineRule="exact"/>
        <w:ind w:firstLine="640" w:firstLineChars="200"/>
        <w:rPr>
          <w:rFonts w:ascii="楷体" w:hAnsi="楷体" w:eastAsia="楷体"/>
          <w:bCs/>
          <w:sz w:val="32"/>
          <w:szCs w:val="32"/>
        </w:rPr>
      </w:pPr>
      <w:r>
        <w:rPr>
          <w:rFonts w:ascii="楷体" w:hAnsi="楷体" w:eastAsia="楷体"/>
          <w:bCs/>
          <w:sz w:val="32"/>
          <w:szCs w:val="32"/>
        </w:rPr>
        <w:t>（二）预算项目绩效评价开展情况</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为深入推进全过程预算绩效管理，不断完善项目管理，进一步落实支出责任，加快预算执行进度，更好地实现绩效目标，我单位对《“气代煤”改造工程燃气具补贴》、《泰恒置业房地产开发有限公司土地征用补偿金》等项目开展绩效监控工作。建立了“部门职责-工作活动-预算项目”三个层级的绩效预算管理结构和绩效目标指标管理体系，预算编制进一步科学、规范、高效。一方面通过对典型部门的典型项目实施全程监控，实现一个项目从“预算绩效指标建立-项目实施-绩效评价”贯彻始终的全过程绩效管理模式，及时发现问题，积累经验，为全面规范预算管理，提高财政资金使用绩效夯实基础。另一方面建立绩效考核机制和激励机制。对于在年度执行过程中绩效评价结果较好的部门，在下一年度预算安排项目时优先列入预算，对于绩效评价结果较差的项目扣减资金额度，或不再安排。预算安排一定额度的资金作为绩效预算管理改革先进单位奖励经费，鼓励先进，激励后进。</w:t>
      </w:r>
    </w:p>
    <w:p>
      <w:pPr>
        <w:spacing w:line="584" w:lineRule="exact"/>
        <w:ind w:firstLine="640" w:firstLineChars="200"/>
        <w:rPr>
          <w:rFonts w:ascii="楷体" w:hAnsi="楷体" w:eastAsia="楷体"/>
          <w:bCs/>
          <w:sz w:val="32"/>
          <w:szCs w:val="32"/>
        </w:rPr>
      </w:pPr>
      <w:r>
        <w:rPr>
          <w:rFonts w:ascii="楷体" w:hAnsi="楷体" w:eastAsia="楷体"/>
          <w:bCs/>
          <w:sz w:val="32"/>
          <w:szCs w:val="32"/>
        </w:rPr>
        <w:t>（三）预算项目绩效自评选例</w:t>
      </w:r>
    </w:p>
    <w:p>
      <w:pPr>
        <w:pStyle w:val="3"/>
        <w:spacing w:before="0" w:after="0" w:line="584" w:lineRule="exact"/>
        <w:ind w:firstLine="640" w:firstLineChars="200"/>
        <w:rPr>
          <w:rFonts w:ascii="Times New Roman" w:hAnsi="Times New Roman" w:eastAsia="黑体"/>
          <w:b w:val="0"/>
          <w:kern w:val="0"/>
        </w:rPr>
      </w:pPr>
      <w:r>
        <w:rPr>
          <w:rFonts w:hint="eastAsia" w:ascii="仿宋" w:hAnsi="仿宋" w:eastAsia="仿宋" w:cs="Times New Roman"/>
          <w:b w:val="0"/>
          <w:bCs w:val="0"/>
          <w:kern w:val="2"/>
          <w:sz w:val="32"/>
          <w:szCs w:val="32"/>
          <w:lang w:val="en-US" w:eastAsia="zh-CN" w:bidi="ar-SA"/>
        </w:rPr>
        <w:t>按照市财政预算绩效管理要求，对2017年我部门绩效预算执行情况全面开展了自评，自评结果为良好。我部门对预算绩效评价结果进行了认真分析，对管理中存在的问题，提出改进措施。预算绩效管理工作有效的减少了我部门资金使用管理中的损失浪费现象，使资金达到了合理、优化配给。</w:t>
      </w:r>
      <w:r>
        <w:rPr>
          <w:rFonts w:ascii="Times New Roman" w:hAnsi="Times New Roman" w:eastAsia="黑体"/>
          <w:b w:val="0"/>
          <w:kern w:val="0"/>
        </w:rPr>
        <w:t>七、其他重要事项的说明</w:t>
      </w:r>
    </w:p>
    <w:p>
      <w:pPr>
        <w:spacing w:line="584" w:lineRule="exact"/>
        <w:ind w:firstLine="640" w:firstLineChars="200"/>
        <w:rPr>
          <w:rFonts w:ascii="楷体" w:hAnsi="楷体" w:eastAsia="楷体"/>
          <w:bCs/>
          <w:sz w:val="32"/>
          <w:szCs w:val="32"/>
        </w:rPr>
      </w:pPr>
      <w:r>
        <w:rPr>
          <w:rFonts w:ascii="楷体" w:hAnsi="楷体" w:eastAsia="楷体"/>
          <w:bCs/>
          <w:sz w:val="32"/>
          <w:szCs w:val="32"/>
        </w:rPr>
        <w:t>（一）机关运行经费情况</w:t>
      </w:r>
    </w:p>
    <w:p>
      <w:pPr>
        <w:adjustRightInd w:val="0"/>
        <w:snapToGrid w:val="0"/>
        <w:spacing w:line="584" w:lineRule="exact"/>
        <w:ind w:firstLine="640" w:firstLineChars="200"/>
        <w:rPr>
          <w:rFonts w:eastAsia="仿宋_GB2312"/>
          <w:sz w:val="32"/>
          <w:szCs w:val="32"/>
        </w:rPr>
      </w:pPr>
      <w:r>
        <w:rPr>
          <w:rFonts w:ascii="仿宋" w:hAnsi="仿宋" w:eastAsia="仿宋"/>
          <w:sz w:val="32"/>
          <w:szCs w:val="32"/>
        </w:rPr>
        <w:t>本部门2017年度机关运行经费支出</w:t>
      </w:r>
      <w:r>
        <w:rPr>
          <w:rFonts w:hint="eastAsia" w:ascii="仿宋" w:hAnsi="仿宋" w:eastAsia="仿宋"/>
          <w:sz w:val="32"/>
          <w:szCs w:val="32"/>
        </w:rPr>
        <w:t>275.7</w:t>
      </w:r>
      <w:r>
        <w:rPr>
          <w:rFonts w:ascii="仿宋" w:hAnsi="仿宋" w:eastAsia="仿宋"/>
          <w:sz w:val="32"/>
          <w:szCs w:val="32"/>
        </w:rPr>
        <w:t>万元，比2016年度减少</w:t>
      </w:r>
      <w:r>
        <w:rPr>
          <w:rFonts w:hint="eastAsia" w:ascii="仿宋" w:hAnsi="仿宋" w:eastAsia="仿宋"/>
          <w:sz w:val="32"/>
          <w:szCs w:val="32"/>
        </w:rPr>
        <w:t>252.5</w:t>
      </w:r>
      <w:r>
        <w:rPr>
          <w:rFonts w:ascii="仿宋" w:hAnsi="仿宋" w:eastAsia="仿宋"/>
          <w:sz w:val="32"/>
          <w:szCs w:val="32"/>
        </w:rPr>
        <w:t>万元，降低</w:t>
      </w:r>
      <w:r>
        <w:rPr>
          <w:rFonts w:hint="eastAsia" w:ascii="仿宋" w:hAnsi="仿宋" w:eastAsia="仿宋"/>
          <w:sz w:val="32"/>
          <w:szCs w:val="32"/>
        </w:rPr>
        <w:t>47.8</w:t>
      </w:r>
      <w:r>
        <w:rPr>
          <w:rFonts w:ascii="仿宋" w:hAnsi="仿宋" w:eastAsia="仿宋"/>
          <w:sz w:val="32"/>
          <w:szCs w:val="32"/>
        </w:rPr>
        <w:t>%。主要原因是</w:t>
      </w:r>
      <w:r>
        <w:rPr>
          <w:rFonts w:hint="eastAsia" w:ascii="仿宋" w:hAnsi="仿宋" w:eastAsia="仿宋"/>
          <w:sz w:val="32"/>
          <w:szCs w:val="32"/>
        </w:rPr>
        <w:t>厉行节约，严控经费支出</w:t>
      </w:r>
      <w:r>
        <w:rPr>
          <w:rFonts w:eastAsia="仿宋_GB2312"/>
          <w:sz w:val="32"/>
          <w:szCs w:val="32"/>
        </w:rPr>
        <w:t>。</w:t>
      </w:r>
    </w:p>
    <w:p>
      <w:pPr>
        <w:spacing w:line="584" w:lineRule="exact"/>
        <w:ind w:firstLine="640" w:firstLineChars="200"/>
        <w:rPr>
          <w:rFonts w:ascii="楷体" w:hAnsi="楷体" w:eastAsia="楷体"/>
          <w:bCs/>
          <w:sz w:val="32"/>
          <w:szCs w:val="32"/>
        </w:rPr>
      </w:pPr>
      <w:r>
        <w:rPr>
          <w:rFonts w:ascii="楷体" w:hAnsi="楷体" w:eastAsia="楷体"/>
          <w:bCs/>
          <w:sz w:val="32"/>
          <w:szCs w:val="32"/>
        </w:rPr>
        <w:t>（二）政府采购情况</w:t>
      </w:r>
    </w:p>
    <w:p>
      <w:pPr>
        <w:adjustRightInd w:val="0"/>
        <w:snapToGrid w:val="0"/>
        <w:spacing w:line="584" w:lineRule="exact"/>
        <w:ind w:firstLine="640" w:firstLineChars="200"/>
        <w:rPr>
          <w:rFonts w:ascii="仿宋" w:hAnsi="仿宋" w:eastAsia="仿宋"/>
          <w:sz w:val="32"/>
          <w:szCs w:val="32"/>
        </w:rPr>
      </w:pPr>
      <w:r>
        <w:rPr>
          <w:rFonts w:ascii="仿宋" w:hAnsi="仿宋" w:eastAsia="仿宋"/>
          <w:sz w:val="32"/>
          <w:szCs w:val="32"/>
        </w:rPr>
        <w:t>本部门2017年度政府采购支出总额</w:t>
      </w:r>
      <w:r>
        <w:rPr>
          <w:rFonts w:hint="eastAsia" w:ascii="仿宋" w:hAnsi="仿宋" w:eastAsia="仿宋"/>
          <w:sz w:val="32"/>
          <w:szCs w:val="32"/>
        </w:rPr>
        <w:t>239.01</w:t>
      </w:r>
      <w:r>
        <w:rPr>
          <w:rFonts w:ascii="仿宋" w:hAnsi="仿宋" w:eastAsia="仿宋"/>
          <w:sz w:val="32"/>
          <w:szCs w:val="32"/>
        </w:rPr>
        <w:t>万元，其中：政府采购货物支出</w:t>
      </w:r>
      <w:r>
        <w:rPr>
          <w:rFonts w:hint="eastAsia" w:ascii="仿宋" w:hAnsi="仿宋" w:eastAsia="仿宋"/>
          <w:sz w:val="32"/>
          <w:szCs w:val="32"/>
        </w:rPr>
        <w:t>0</w:t>
      </w:r>
      <w:r>
        <w:rPr>
          <w:rFonts w:ascii="仿宋" w:hAnsi="仿宋" w:eastAsia="仿宋"/>
          <w:sz w:val="32"/>
          <w:szCs w:val="32"/>
        </w:rPr>
        <w:t>万元、政府采购工程支出</w:t>
      </w:r>
      <w:r>
        <w:rPr>
          <w:rFonts w:hint="eastAsia" w:ascii="仿宋" w:hAnsi="仿宋" w:eastAsia="仿宋"/>
          <w:sz w:val="32"/>
          <w:szCs w:val="32"/>
        </w:rPr>
        <w:t>172.32</w:t>
      </w:r>
      <w:r>
        <w:rPr>
          <w:rFonts w:ascii="仿宋" w:hAnsi="仿宋" w:eastAsia="仿宋"/>
          <w:sz w:val="32"/>
          <w:szCs w:val="32"/>
        </w:rPr>
        <w:t>万元、政府采购服务支出</w:t>
      </w:r>
      <w:r>
        <w:rPr>
          <w:rFonts w:hint="eastAsia" w:ascii="仿宋" w:hAnsi="仿宋" w:eastAsia="仿宋"/>
          <w:sz w:val="32"/>
          <w:szCs w:val="32"/>
        </w:rPr>
        <w:t>66.69</w:t>
      </w:r>
      <w:r>
        <w:rPr>
          <w:rFonts w:ascii="仿宋" w:hAnsi="仿宋" w:eastAsia="仿宋"/>
          <w:sz w:val="32"/>
          <w:szCs w:val="32"/>
        </w:rPr>
        <w:t>万元</w:t>
      </w:r>
      <w:r>
        <w:rPr>
          <w:rFonts w:hint="eastAsia" w:ascii="仿宋" w:hAnsi="仿宋" w:eastAsia="仿宋"/>
          <w:sz w:val="32"/>
          <w:szCs w:val="32"/>
        </w:rPr>
        <w:t>。</w:t>
      </w:r>
    </w:p>
    <w:p>
      <w:pPr>
        <w:spacing w:line="584" w:lineRule="exact"/>
        <w:ind w:firstLine="640" w:firstLineChars="200"/>
        <w:rPr>
          <w:rFonts w:ascii="楷体" w:hAnsi="楷体" w:eastAsia="楷体"/>
          <w:bCs/>
          <w:sz w:val="32"/>
          <w:szCs w:val="32"/>
        </w:rPr>
      </w:pPr>
      <w:r>
        <w:rPr>
          <w:rFonts w:ascii="楷体" w:hAnsi="楷体" w:eastAsia="楷体"/>
          <w:bCs/>
          <w:sz w:val="32"/>
          <w:szCs w:val="32"/>
        </w:rPr>
        <w:t>（三）国有资产占用情况</w:t>
      </w:r>
    </w:p>
    <w:p>
      <w:pPr>
        <w:autoSpaceDN w:val="0"/>
        <w:ind w:firstLine="640" w:firstLineChars="200"/>
        <w:rPr>
          <w:rFonts w:hint="eastAsia" w:ascii="楷体" w:hAnsi="楷体" w:eastAsia="楷体"/>
          <w:bCs/>
          <w:sz w:val="32"/>
          <w:szCs w:val="32"/>
        </w:rPr>
      </w:pPr>
      <w:r>
        <w:rPr>
          <w:rFonts w:ascii="仿宋" w:hAnsi="仿宋" w:eastAsia="仿宋"/>
          <w:sz w:val="32"/>
          <w:szCs w:val="32"/>
        </w:rPr>
        <w:t>截至2017年12月31日，本部门共有车辆</w:t>
      </w:r>
      <w:r>
        <w:rPr>
          <w:rFonts w:hint="eastAsia" w:ascii="仿宋" w:hAnsi="仿宋" w:eastAsia="仿宋"/>
          <w:sz w:val="32"/>
          <w:szCs w:val="32"/>
        </w:rPr>
        <w:t>2</w:t>
      </w:r>
      <w:r>
        <w:rPr>
          <w:rFonts w:ascii="仿宋" w:hAnsi="仿宋" w:eastAsia="仿宋"/>
          <w:sz w:val="32"/>
          <w:szCs w:val="32"/>
        </w:rPr>
        <w:t>辆，其中，市级领导干部用车</w:t>
      </w:r>
      <w:r>
        <w:rPr>
          <w:rFonts w:hint="eastAsia" w:ascii="仿宋" w:hAnsi="仿宋" w:eastAsia="仿宋"/>
          <w:sz w:val="32"/>
          <w:szCs w:val="32"/>
        </w:rPr>
        <w:t>0</w:t>
      </w:r>
      <w:r>
        <w:rPr>
          <w:rFonts w:ascii="仿宋" w:hAnsi="仿宋" w:eastAsia="仿宋"/>
          <w:sz w:val="32"/>
          <w:szCs w:val="32"/>
        </w:rPr>
        <w:t>辆、一般公务用车</w:t>
      </w:r>
      <w:r>
        <w:rPr>
          <w:rFonts w:hint="eastAsia" w:ascii="仿宋" w:hAnsi="仿宋" w:eastAsia="仿宋"/>
          <w:sz w:val="32"/>
          <w:szCs w:val="32"/>
        </w:rPr>
        <w:t>2</w:t>
      </w:r>
      <w:r>
        <w:rPr>
          <w:rFonts w:ascii="仿宋" w:hAnsi="仿宋" w:eastAsia="仿宋"/>
          <w:sz w:val="32"/>
          <w:szCs w:val="32"/>
        </w:rPr>
        <w:t>辆、一般执法执勤用车</w:t>
      </w:r>
      <w:r>
        <w:rPr>
          <w:rFonts w:hint="eastAsia" w:ascii="仿宋" w:hAnsi="仿宋" w:eastAsia="仿宋"/>
          <w:sz w:val="32"/>
          <w:szCs w:val="32"/>
        </w:rPr>
        <w:t>0</w:t>
      </w:r>
      <w:r>
        <w:rPr>
          <w:rFonts w:ascii="仿宋" w:hAnsi="仿宋" w:eastAsia="仿宋"/>
          <w:sz w:val="32"/>
          <w:szCs w:val="32"/>
        </w:rPr>
        <w:t>辆、特种专业技术用车</w:t>
      </w:r>
      <w:r>
        <w:rPr>
          <w:rFonts w:hint="eastAsia" w:ascii="仿宋" w:hAnsi="仿宋" w:eastAsia="仿宋"/>
          <w:sz w:val="32"/>
          <w:szCs w:val="32"/>
        </w:rPr>
        <w:t>0</w:t>
      </w:r>
      <w:r>
        <w:rPr>
          <w:rFonts w:ascii="仿宋" w:hAnsi="仿宋" w:eastAsia="仿宋"/>
          <w:sz w:val="32"/>
          <w:szCs w:val="32"/>
        </w:rPr>
        <w:t>辆、其他用车</w:t>
      </w:r>
      <w:r>
        <w:rPr>
          <w:rFonts w:hint="eastAsia" w:ascii="仿宋" w:hAnsi="仿宋" w:eastAsia="仿宋"/>
          <w:sz w:val="32"/>
          <w:szCs w:val="32"/>
        </w:rPr>
        <w:t>0</w:t>
      </w:r>
      <w:r>
        <w:rPr>
          <w:rFonts w:ascii="仿宋" w:hAnsi="仿宋" w:eastAsia="仿宋"/>
          <w:sz w:val="32"/>
          <w:szCs w:val="32"/>
        </w:rPr>
        <w:t>辆；单位价值50万元以上大型设备</w:t>
      </w:r>
      <w:r>
        <w:rPr>
          <w:rFonts w:hint="eastAsia" w:ascii="仿宋" w:hAnsi="仿宋" w:eastAsia="仿宋"/>
          <w:sz w:val="32"/>
          <w:szCs w:val="32"/>
        </w:rPr>
        <w:t>0</w:t>
      </w:r>
      <w:r>
        <w:rPr>
          <w:rFonts w:ascii="仿宋" w:hAnsi="仿宋" w:eastAsia="仿宋"/>
          <w:sz w:val="32"/>
          <w:szCs w:val="32"/>
        </w:rPr>
        <w:t>台（套），单位价值100万元以上大型设备</w:t>
      </w:r>
      <w:r>
        <w:rPr>
          <w:rFonts w:hint="eastAsia" w:ascii="仿宋" w:hAnsi="仿宋" w:eastAsia="仿宋"/>
          <w:sz w:val="32"/>
          <w:szCs w:val="32"/>
        </w:rPr>
        <w:t>0</w:t>
      </w:r>
      <w:r>
        <w:rPr>
          <w:rFonts w:ascii="仿宋" w:hAnsi="仿宋" w:eastAsia="仿宋"/>
          <w:sz w:val="32"/>
          <w:szCs w:val="32"/>
        </w:rPr>
        <w:t>台（套）。</w:t>
      </w:r>
      <w:r>
        <w:rPr>
          <w:rFonts w:hint="eastAsia" w:ascii="仿宋" w:hAnsi="仿宋" w:eastAsia="仿宋"/>
          <w:sz w:val="32"/>
          <w:szCs w:val="32"/>
        </w:rPr>
        <w:t>比</w:t>
      </w:r>
      <w:r>
        <w:rPr>
          <w:rFonts w:hint="eastAsia" w:ascii="仿宋" w:hAnsi="仿宋" w:eastAsia="仿宋"/>
          <w:sz w:val="32"/>
        </w:rPr>
        <w:t>上年决算增加0.28万元。新增其他固定资产0.28万元。</w:t>
      </w:r>
    </w:p>
    <w:tbl>
      <w:tblPr>
        <w:tblStyle w:val="10"/>
        <w:tblpPr w:leftFromText="180" w:rightFromText="180" w:vertAnchor="text" w:horzAnchor="page" w:tblpX="512" w:tblpY="665"/>
        <w:tblOverlap w:val="never"/>
        <w:tblW w:w="10980" w:type="dxa"/>
        <w:tblInd w:w="0" w:type="dxa"/>
        <w:tblLayout w:type="fixed"/>
        <w:tblCellMar>
          <w:top w:w="0" w:type="dxa"/>
          <w:left w:w="108" w:type="dxa"/>
          <w:bottom w:w="0" w:type="dxa"/>
          <w:right w:w="108" w:type="dxa"/>
        </w:tblCellMar>
      </w:tblPr>
      <w:tblGrid>
        <w:gridCol w:w="4476"/>
        <w:gridCol w:w="2353"/>
        <w:gridCol w:w="4151"/>
      </w:tblGrid>
      <w:tr>
        <w:tblPrEx>
          <w:tblCellMar>
            <w:top w:w="0" w:type="dxa"/>
            <w:left w:w="108" w:type="dxa"/>
            <w:bottom w:w="0" w:type="dxa"/>
            <w:right w:w="108" w:type="dxa"/>
          </w:tblCellMar>
        </w:tblPrEx>
        <w:trPr>
          <w:trHeight w:val="933" w:hRule="atLeast"/>
        </w:trPr>
        <w:tc>
          <w:tcPr>
            <w:tcW w:w="10980" w:type="dxa"/>
            <w:gridSpan w:val="3"/>
            <w:tcBorders>
              <w:top w:val="nil"/>
              <w:left w:val="nil"/>
              <w:bottom w:val="nil"/>
              <w:right w:val="nil"/>
            </w:tcBorders>
            <w:vAlign w:val="center"/>
          </w:tcPr>
          <w:p>
            <w:pPr>
              <w:widowControl/>
              <w:jc w:val="center"/>
              <w:rPr>
                <w:rFonts w:ascii="宋体" w:cs="宋体"/>
                <w:b/>
                <w:bCs/>
                <w:kern w:val="0"/>
                <w:sz w:val="28"/>
                <w:szCs w:val="28"/>
              </w:rPr>
            </w:pPr>
            <w:r>
              <w:rPr>
                <w:rFonts w:hint="eastAsia" w:ascii="宋体" w:hAnsi="宋体" w:cs="宋体"/>
                <w:b/>
                <w:bCs/>
                <w:kern w:val="0"/>
                <w:sz w:val="28"/>
                <w:szCs w:val="28"/>
              </w:rPr>
              <w:t>平舒镇人民政府部门固定资产占用情况表</w:t>
            </w:r>
          </w:p>
          <w:p>
            <w:pPr>
              <w:autoSpaceDE w:val="0"/>
              <w:autoSpaceDN w:val="0"/>
              <w:snapToGrid w:val="0"/>
              <w:ind w:firstLine="562" w:firstLineChars="200"/>
              <w:jc w:val="center"/>
              <w:rPr>
                <w:rFonts w:ascii="宋体" w:cs="宋体"/>
                <w:b/>
                <w:bCs/>
                <w:kern w:val="0"/>
                <w:sz w:val="28"/>
                <w:szCs w:val="28"/>
              </w:rPr>
            </w:pPr>
          </w:p>
        </w:tc>
      </w:tr>
      <w:tr>
        <w:tblPrEx>
          <w:tblCellMar>
            <w:top w:w="0" w:type="dxa"/>
            <w:left w:w="108" w:type="dxa"/>
            <w:bottom w:w="0" w:type="dxa"/>
            <w:right w:w="108" w:type="dxa"/>
          </w:tblCellMar>
        </w:tblPrEx>
        <w:trPr>
          <w:trHeight w:val="404" w:hRule="atLeast"/>
        </w:trPr>
        <w:tc>
          <w:tcPr>
            <w:tcW w:w="6829" w:type="dxa"/>
            <w:gridSpan w:val="2"/>
            <w:tcBorders>
              <w:top w:val="nil"/>
              <w:left w:val="nil"/>
              <w:bottom w:val="nil"/>
              <w:right w:val="nil"/>
            </w:tcBorders>
            <w:vAlign w:val="center"/>
          </w:tcPr>
          <w:p>
            <w:pPr>
              <w:widowControl/>
              <w:rPr>
                <w:kern w:val="0"/>
                <w:sz w:val="22"/>
              </w:rPr>
            </w:pPr>
            <w:r>
              <w:rPr>
                <w:rFonts w:hint="eastAsia" w:ascii="宋体" w:hAnsi="宋体" w:cs="宋体"/>
                <w:kern w:val="0"/>
                <w:sz w:val="22"/>
              </w:rPr>
              <w:t>编制部门：501平舒镇人民政府部门</w:t>
            </w:r>
          </w:p>
        </w:tc>
        <w:tc>
          <w:tcPr>
            <w:tcW w:w="4151" w:type="dxa"/>
            <w:tcBorders>
              <w:top w:val="nil"/>
              <w:left w:val="nil"/>
              <w:bottom w:val="nil"/>
              <w:right w:val="nil"/>
            </w:tcBorders>
            <w:vAlign w:val="center"/>
          </w:tcPr>
          <w:p>
            <w:pPr>
              <w:widowControl/>
              <w:ind w:right="440"/>
              <w:rPr>
                <w:kern w:val="0"/>
                <w:sz w:val="22"/>
              </w:rPr>
            </w:pPr>
            <w:r>
              <w:rPr>
                <w:rFonts w:hint="eastAsia"/>
                <w:kern w:val="0"/>
                <w:sz w:val="22"/>
              </w:rPr>
              <w:t>截止时间：</w:t>
            </w:r>
            <w:r>
              <w:rPr>
                <w:kern w:val="0"/>
                <w:sz w:val="22"/>
              </w:rPr>
              <w:t>2017</w:t>
            </w:r>
            <w:r>
              <w:rPr>
                <w:rFonts w:hint="eastAsia"/>
                <w:kern w:val="0"/>
                <w:sz w:val="22"/>
              </w:rPr>
              <w:t>年</w:t>
            </w:r>
            <w:r>
              <w:rPr>
                <w:kern w:val="0"/>
                <w:sz w:val="22"/>
              </w:rPr>
              <w:t>12</w:t>
            </w:r>
            <w:r>
              <w:rPr>
                <w:rFonts w:hint="eastAsia"/>
                <w:kern w:val="0"/>
                <w:sz w:val="22"/>
              </w:rPr>
              <w:t>月</w:t>
            </w:r>
            <w:r>
              <w:rPr>
                <w:kern w:val="0"/>
                <w:sz w:val="22"/>
              </w:rPr>
              <w:t>31</w:t>
            </w:r>
            <w:r>
              <w:rPr>
                <w:rFonts w:hint="eastAsia"/>
                <w:kern w:val="0"/>
                <w:sz w:val="22"/>
              </w:rPr>
              <w:t>日</w:t>
            </w:r>
          </w:p>
        </w:tc>
      </w:tr>
      <w:tr>
        <w:tblPrEx>
          <w:tblCellMar>
            <w:top w:w="0" w:type="dxa"/>
            <w:left w:w="108" w:type="dxa"/>
            <w:bottom w:w="0" w:type="dxa"/>
            <w:right w:w="108" w:type="dxa"/>
          </w:tblCellMar>
        </w:tblPrEx>
        <w:trPr>
          <w:trHeight w:val="494" w:hRule="atLeast"/>
        </w:trPr>
        <w:tc>
          <w:tcPr>
            <w:tcW w:w="4476" w:type="dxa"/>
            <w:tcBorders>
              <w:top w:val="single" w:color="auto" w:sz="4" w:space="0"/>
              <w:left w:val="single" w:color="auto" w:sz="4" w:space="0"/>
              <w:bottom w:val="single" w:color="auto" w:sz="4" w:space="0"/>
              <w:right w:val="single" w:color="auto" w:sz="4" w:space="0"/>
            </w:tcBorders>
            <w:vAlign w:val="center"/>
          </w:tcPr>
          <w:p>
            <w:pPr>
              <w:widowControl/>
              <w:ind w:firstLine="442" w:firstLineChars="200"/>
              <w:rPr>
                <w:b/>
                <w:bCs/>
                <w:kern w:val="0"/>
                <w:sz w:val="22"/>
              </w:rPr>
            </w:pPr>
            <w:r>
              <w:rPr>
                <w:rFonts w:hint="eastAsia"/>
                <w:b/>
                <w:bCs/>
                <w:kern w:val="0"/>
                <w:sz w:val="22"/>
              </w:rPr>
              <w:t>项</w:t>
            </w:r>
            <w:r>
              <w:rPr>
                <w:b/>
                <w:bCs/>
                <w:kern w:val="0"/>
                <w:sz w:val="22"/>
              </w:rPr>
              <w:t xml:space="preserve">  </w:t>
            </w:r>
            <w:r>
              <w:rPr>
                <w:rFonts w:hint="eastAsia"/>
                <w:b/>
                <w:bCs/>
                <w:kern w:val="0"/>
                <w:sz w:val="22"/>
              </w:rPr>
              <w:t>目</w:t>
            </w:r>
          </w:p>
        </w:tc>
        <w:tc>
          <w:tcPr>
            <w:tcW w:w="2353" w:type="dxa"/>
            <w:tcBorders>
              <w:top w:val="single" w:color="auto" w:sz="4" w:space="0"/>
              <w:left w:val="nil"/>
              <w:bottom w:val="single" w:color="auto" w:sz="4" w:space="0"/>
              <w:right w:val="single" w:color="auto" w:sz="4" w:space="0"/>
            </w:tcBorders>
            <w:vAlign w:val="center"/>
          </w:tcPr>
          <w:p>
            <w:pPr>
              <w:widowControl/>
              <w:ind w:firstLine="442" w:firstLineChars="200"/>
              <w:rPr>
                <w:b/>
                <w:bCs/>
                <w:kern w:val="0"/>
                <w:sz w:val="22"/>
              </w:rPr>
            </w:pPr>
            <w:r>
              <w:rPr>
                <w:rFonts w:hint="eastAsia"/>
                <w:b/>
                <w:bCs/>
                <w:kern w:val="0"/>
                <w:sz w:val="22"/>
              </w:rPr>
              <w:t>数量</w:t>
            </w:r>
          </w:p>
        </w:tc>
        <w:tc>
          <w:tcPr>
            <w:tcW w:w="4151" w:type="dxa"/>
            <w:tcBorders>
              <w:top w:val="single" w:color="auto" w:sz="4" w:space="0"/>
              <w:left w:val="nil"/>
              <w:bottom w:val="single" w:color="auto" w:sz="4" w:space="0"/>
              <w:right w:val="single" w:color="auto" w:sz="4" w:space="0"/>
            </w:tcBorders>
            <w:vAlign w:val="center"/>
          </w:tcPr>
          <w:p>
            <w:pPr>
              <w:widowControl/>
              <w:ind w:firstLine="442" w:firstLineChars="200"/>
              <w:rPr>
                <w:b/>
                <w:bCs/>
                <w:kern w:val="0"/>
                <w:sz w:val="22"/>
              </w:rPr>
            </w:pPr>
            <w:r>
              <w:rPr>
                <w:rFonts w:hint="eastAsia"/>
                <w:b/>
                <w:bCs/>
                <w:kern w:val="0"/>
                <w:sz w:val="22"/>
              </w:rPr>
              <w:t>价值（金额单位：万元）</w:t>
            </w:r>
          </w:p>
        </w:tc>
      </w:tr>
      <w:tr>
        <w:tblPrEx>
          <w:tblCellMar>
            <w:top w:w="0" w:type="dxa"/>
            <w:left w:w="108" w:type="dxa"/>
            <w:bottom w:w="0" w:type="dxa"/>
            <w:right w:w="108" w:type="dxa"/>
          </w:tblCellMar>
        </w:tblPrEx>
        <w:trPr>
          <w:trHeight w:val="494" w:hRule="atLeast"/>
        </w:trPr>
        <w:tc>
          <w:tcPr>
            <w:tcW w:w="4476" w:type="dxa"/>
            <w:tcBorders>
              <w:top w:val="nil"/>
              <w:left w:val="single" w:color="auto" w:sz="4" w:space="0"/>
              <w:bottom w:val="single" w:color="auto" w:sz="4" w:space="0"/>
              <w:right w:val="single" w:color="auto" w:sz="4" w:space="0"/>
            </w:tcBorders>
            <w:vAlign w:val="center"/>
          </w:tcPr>
          <w:p>
            <w:pPr>
              <w:widowControl/>
              <w:ind w:firstLine="440" w:firstLineChars="200"/>
              <w:rPr>
                <w:kern w:val="0"/>
                <w:sz w:val="22"/>
              </w:rPr>
            </w:pPr>
            <w:r>
              <w:rPr>
                <w:rFonts w:hint="eastAsia"/>
                <w:kern w:val="0"/>
                <w:sz w:val="22"/>
              </w:rPr>
              <w:t>资产总额</w:t>
            </w:r>
          </w:p>
        </w:tc>
        <w:tc>
          <w:tcPr>
            <w:tcW w:w="2353" w:type="dxa"/>
            <w:tcBorders>
              <w:top w:val="nil"/>
              <w:left w:val="nil"/>
              <w:bottom w:val="single" w:color="auto" w:sz="4" w:space="0"/>
              <w:right w:val="single" w:color="auto" w:sz="4" w:space="0"/>
            </w:tcBorders>
            <w:vAlign w:val="center"/>
          </w:tcPr>
          <w:p>
            <w:pPr>
              <w:widowControl/>
              <w:ind w:firstLine="440" w:firstLineChars="200"/>
              <w:rPr>
                <w:kern w:val="0"/>
                <w:sz w:val="22"/>
              </w:rPr>
            </w:pPr>
            <w:r>
              <w:rPr>
                <w:kern w:val="0"/>
                <w:sz w:val="22"/>
              </w:rPr>
              <w:t>——</w:t>
            </w:r>
          </w:p>
        </w:tc>
        <w:tc>
          <w:tcPr>
            <w:tcW w:w="4151" w:type="dxa"/>
            <w:tcBorders>
              <w:top w:val="nil"/>
              <w:left w:val="nil"/>
              <w:bottom w:val="single" w:color="auto" w:sz="4" w:space="0"/>
              <w:right w:val="single" w:color="auto" w:sz="4" w:space="0"/>
            </w:tcBorders>
            <w:vAlign w:val="center"/>
          </w:tcPr>
          <w:p>
            <w:pPr>
              <w:widowControl/>
              <w:ind w:firstLine="440" w:firstLineChars="200"/>
              <w:jc w:val="center"/>
              <w:rPr>
                <w:kern w:val="0"/>
                <w:sz w:val="22"/>
              </w:rPr>
            </w:pPr>
            <w:r>
              <w:rPr>
                <w:rFonts w:hint="eastAsia"/>
                <w:kern w:val="0"/>
                <w:sz w:val="22"/>
              </w:rPr>
              <w:t>678.33</w:t>
            </w:r>
          </w:p>
        </w:tc>
      </w:tr>
      <w:tr>
        <w:tblPrEx>
          <w:tblCellMar>
            <w:top w:w="0" w:type="dxa"/>
            <w:left w:w="108" w:type="dxa"/>
            <w:bottom w:w="0" w:type="dxa"/>
            <w:right w:w="108" w:type="dxa"/>
          </w:tblCellMar>
        </w:tblPrEx>
        <w:trPr>
          <w:trHeight w:val="494" w:hRule="atLeast"/>
        </w:trPr>
        <w:tc>
          <w:tcPr>
            <w:tcW w:w="4476" w:type="dxa"/>
            <w:tcBorders>
              <w:top w:val="nil"/>
              <w:left w:val="single" w:color="auto" w:sz="4" w:space="0"/>
              <w:bottom w:val="single" w:color="auto" w:sz="4" w:space="0"/>
              <w:right w:val="single" w:color="auto" w:sz="4" w:space="0"/>
            </w:tcBorders>
            <w:vAlign w:val="center"/>
          </w:tcPr>
          <w:p>
            <w:pPr>
              <w:widowControl/>
              <w:ind w:firstLine="440" w:firstLineChars="200"/>
              <w:rPr>
                <w:kern w:val="0"/>
                <w:sz w:val="22"/>
              </w:rPr>
            </w:pPr>
            <w:r>
              <w:rPr>
                <w:kern w:val="0"/>
                <w:sz w:val="22"/>
              </w:rPr>
              <w:t>1</w:t>
            </w:r>
            <w:r>
              <w:rPr>
                <w:rFonts w:hint="eastAsia"/>
                <w:kern w:val="0"/>
                <w:sz w:val="22"/>
              </w:rPr>
              <w:t>、房屋（平方米）</w:t>
            </w:r>
          </w:p>
        </w:tc>
        <w:tc>
          <w:tcPr>
            <w:tcW w:w="2353" w:type="dxa"/>
            <w:tcBorders>
              <w:top w:val="nil"/>
              <w:left w:val="nil"/>
              <w:bottom w:val="single" w:color="auto" w:sz="4" w:space="0"/>
              <w:right w:val="single" w:color="auto" w:sz="4" w:space="0"/>
            </w:tcBorders>
            <w:vAlign w:val="center"/>
          </w:tcPr>
          <w:p>
            <w:pPr>
              <w:widowControl/>
              <w:rPr>
                <w:kern w:val="0"/>
                <w:sz w:val="22"/>
              </w:rPr>
            </w:pPr>
            <w:r>
              <w:rPr>
                <w:rFonts w:hint="eastAsia"/>
                <w:kern w:val="0"/>
                <w:sz w:val="22"/>
              </w:rPr>
              <w:t>4000</w:t>
            </w:r>
          </w:p>
        </w:tc>
        <w:tc>
          <w:tcPr>
            <w:tcW w:w="4151" w:type="dxa"/>
            <w:tcBorders>
              <w:top w:val="nil"/>
              <w:left w:val="nil"/>
              <w:bottom w:val="single" w:color="auto" w:sz="4" w:space="0"/>
              <w:right w:val="single" w:color="auto" w:sz="4" w:space="0"/>
            </w:tcBorders>
            <w:vAlign w:val="center"/>
          </w:tcPr>
          <w:p>
            <w:pPr>
              <w:widowControl/>
              <w:ind w:firstLine="440" w:firstLineChars="200"/>
              <w:jc w:val="center"/>
              <w:rPr>
                <w:kern w:val="0"/>
                <w:sz w:val="22"/>
              </w:rPr>
            </w:pPr>
            <w:r>
              <w:rPr>
                <w:rFonts w:hint="eastAsia"/>
                <w:kern w:val="0"/>
                <w:sz w:val="22"/>
              </w:rPr>
              <w:t>573</w:t>
            </w:r>
          </w:p>
        </w:tc>
      </w:tr>
      <w:tr>
        <w:tblPrEx>
          <w:tblCellMar>
            <w:top w:w="0" w:type="dxa"/>
            <w:left w:w="108" w:type="dxa"/>
            <w:bottom w:w="0" w:type="dxa"/>
            <w:right w:w="108" w:type="dxa"/>
          </w:tblCellMar>
        </w:tblPrEx>
        <w:trPr>
          <w:trHeight w:val="494" w:hRule="atLeast"/>
        </w:trPr>
        <w:tc>
          <w:tcPr>
            <w:tcW w:w="4476" w:type="dxa"/>
            <w:tcBorders>
              <w:top w:val="nil"/>
              <w:left w:val="single" w:color="auto" w:sz="4" w:space="0"/>
              <w:bottom w:val="single" w:color="auto" w:sz="4" w:space="0"/>
              <w:right w:val="single" w:color="auto" w:sz="4" w:space="0"/>
            </w:tcBorders>
            <w:vAlign w:val="center"/>
          </w:tcPr>
          <w:p>
            <w:pPr>
              <w:widowControl/>
              <w:ind w:firstLine="440" w:firstLineChars="200"/>
              <w:rPr>
                <w:kern w:val="0"/>
                <w:sz w:val="22"/>
              </w:rPr>
            </w:pPr>
            <w:r>
              <w:rPr>
                <w:kern w:val="0"/>
                <w:sz w:val="22"/>
              </w:rPr>
              <w:t xml:space="preserve">    </w:t>
            </w:r>
            <w:r>
              <w:rPr>
                <w:rFonts w:hint="eastAsia"/>
                <w:kern w:val="0"/>
                <w:sz w:val="22"/>
              </w:rPr>
              <w:t>其中：办公用房（平方米）</w:t>
            </w:r>
          </w:p>
        </w:tc>
        <w:tc>
          <w:tcPr>
            <w:tcW w:w="2353" w:type="dxa"/>
            <w:tcBorders>
              <w:top w:val="nil"/>
              <w:left w:val="nil"/>
              <w:bottom w:val="single" w:color="auto" w:sz="4" w:space="0"/>
              <w:right w:val="single" w:color="auto" w:sz="4" w:space="0"/>
            </w:tcBorders>
            <w:vAlign w:val="center"/>
          </w:tcPr>
          <w:p>
            <w:pPr>
              <w:widowControl/>
              <w:ind w:firstLine="440" w:firstLineChars="200"/>
              <w:rPr>
                <w:kern w:val="0"/>
                <w:sz w:val="22"/>
              </w:rPr>
            </w:pPr>
            <w:r>
              <w:rPr>
                <w:rFonts w:hint="eastAsia"/>
                <w:kern w:val="0"/>
                <w:sz w:val="22"/>
              </w:rPr>
              <w:t>4000</w:t>
            </w:r>
          </w:p>
        </w:tc>
        <w:tc>
          <w:tcPr>
            <w:tcW w:w="4151" w:type="dxa"/>
            <w:tcBorders>
              <w:top w:val="nil"/>
              <w:left w:val="nil"/>
              <w:bottom w:val="single" w:color="auto" w:sz="4" w:space="0"/>
              <w:right w:val="single" w:color="auto" w:sz="4" w:space="0"/>
            </w:tcBorders>
            <w:vAlign w:val="center"/>
          </w:tcPr>
          <w:p>
            <w:pPr>
              <w:widowControl/>
              <w:ind w:firstLine="440" w:firstLineChars="200"/>
              <w:jc w:val="center"/>
              <w:rPr>
                <w:kern w:val="0"/>
                <w:sz w:val="22"/>
              </w:rPr>
            </w:pPr>
            <w:r>
              <w:rPr>
                <w:rFonts w:hint="eastAsia"/>
                <w:kern w:val="0"/>
                <w:sz w:val="22"/>
              </w:rPr>
              <w:t>573</w:t>
            </w:r>
          </w:p>
        </w:tc>
      </w:tr>
      <w:tr>
        <w:tblPrEx>
          <w:tblCellMar>
            <w:top w:w="0" w:type="dxa"/>
            <w:left w:w="108" w:type="dxa"/>
            <w:bottom w:w="0" w:type="dxa"/>
            <w:right w:w="108" w:type="dxa"/>
          </w:tblCellMar>
        </w:tblPrEx>
        <w:trPr>
          <w:trHeight w:val="494" w:hRule="atLeast"/>
        </w:trPr>
        <w:tc>
          <w:tcPr>
            <w:tcW w:w="4476" w:type="dxa"/>
            <w:tcBorders>
              <w:top w:val="nil"/>
              <w:left w:val="single" w:color="auto" w:sz="4" w:space="0"/>
              <w:bottom w:val="single" w:color="auto" w:sz="4" w:space="0"/>
              <w:right w:val="single" w:color="auto" w:sz="4" w:space="0"/>
            </w:tcBorders>
            <w:vAlign w:val="center"/>
          </w:tcPr>
          <w:p>
            <w:pPr>
              <w:widowControl/>
              <w:ind w:firstLine="440" w:firstLineChars="200"/>
              <w:rPr>
                <w:kern w:val="0"/>
                <w:sz w:val="22"/>
              </w:rPr>
            </w:pPr>
            <w:r>
              <w:rPr>
                <w:kern w:val="0"/>
                <w:sz w:val="22"/>
              </w:rPr>
              <w:t>2</w:t>
            </w:r>
            <w:r>
              <w:rPr>
                <w:rFonts w:hint="eastAsia"/>
                <w:kern w:val="0"/>
                <w:sz w:val="22"/>
              </w:rPr>
              <w:t>、车辆（台、辆）</w:t>
            </w:r>
          </w:p>
        </w:tc>
        <w:tc>
          <w:tcPr>
            <w:tcW w:w="2353" w:type="dxa"/>
            <w:tcBorders>
              <w:top w:val="nil"/>
              <w:left w:val="nil"/>
              <w:bottom w:val="single" w:color="auto" w:sz="4" w:space="0"/>
              <w:right w:val="single" w:color="auto" w:sz="4" w:space="0"/>
            </w:tcBorders>
            <w:vAlign w:val="center"/>
          </w:tcPr>
          <w:p>
            <w:pPr>
              <w:widowControl/>
              <w:ind w:firstLine="440" w:firstLineChars="200"/>
              <w:rPr>
                <w:kern w:val="0"/>
                <w:sz w:val="22"/>
              </w:rPr>
            </w:pPr>
            <w:r>
              <w:rPr>
                <w:rFonts w:hint="eastAsia"/>
                <w:kern w:val="0"/>
                <w:sz w:val="22"/>
              </w:rPr>
              <w:t>2</w:t>
            </w:r>
          </w:p>
        </w:tc>
        <w:tc>
          <w:tcPr>
            <w:tcW w:w="4151" w:type="dxa"/>
            <w:tcBorders>
              <w:top w:val="nil"/>
              <w:left w:val="nil"/>
              <w:bottom w:val="single" w:color="auto" w:sz="4" w:space="0"/>
              <w:right w:val="single" w:color="auto" w:sz="4" w:space="0"/>
            </w:tcBorders>
            <w:vAlign w:val="center"/>
          </w:tcPr>
          <w:p>
            <w:pPr>
              <w:widowControl/>
              <w:ind w:firstLine="440" w:firstLineChars="200"/>
              <w:jc w:val="center"/>
              <w:rPr>
                <w:kern w:val="0"/>
                <w:sz w:val="22"/>
              </w:rPr>
            </w:pPr>
            <w:r>
              <w:rPr>
                <w:rFonts w:hint="eastAsia"/>
                <w:kern w:val="0"/>
                <w:sz w:val="22"/>
              </w:rPr>
              <w:t>30.26</w:t>
            </w:r>
          </w:p>
        </w:tc>
      </w:tr>
      <w:tr>
        <w:tblPrEx>
          <w:tblCellMar>
            <w:top w:w="0" w:type="dxa"/>
            <w:left w:w="108" w:type="dxa"/>
            <w:bottom w:w="0" w:type="dxa"/>
            <w:right w:w="108" w:type="dxa"/>
          </w:tblCellMar>
        </w:tblPrEx>
        <w:trPr>
          <w:trHeight w:val="494" w:hRule="atLeast"/>
        </w:trPr>
        <w:tc>
          <w:tcPr>
            <w:tcW w:w="4476" w:type="dxa"/>
            <w:tcBorders>
              <w:top w:val="nil"/>
              <w:left w:val="single" w:color="auto" w:sz="4" w:space="0"/>
              <w:bottom w:val="single" w:color="auto" w:sz="4" w:space="0"/>
              <w:right w:val="single" w:color="auto" w:sz="4" w:space="0"/>
            </w:tcBorders>
            <w:vAlign w:val="center"/>
          </w:tcPr>
          <w:p>
            <w:pPr>
              <w:widowControl/>
              <w:ind w:firstLine="440" w:firstLineChars="200"/>
              <w:rPr>
                <w:kern w:val="0"/>
                <w:sz w:val="22"/>
              </w:rPr>
            </w:pPr>
            <w:r>
              <w:rPr>
                <w:kern w:val="0"/>
                <w:sz w:val="22"/>
              </w:rPr>
              <w:t>3</w:t>
            </w:r>
            <w:r>
              <w:rPr>
                <w:rFonts w:hint="eastAsia"/>
                <w:kern w:val="0"/>
                <w:sz w:val="22"/>
              </w:rPr>
              <w:t>、单价在</w:t>
            </w:r>
            <w:r>
              <w:rPr>
                <w:kern w:val="0"/>
                <w:sz w:val="22"/>
              </w:rPr>
              <w:t>50</w:t>
            </w:r>
            <w:r>
              <w:rPr>
                <w:rFonts w:hint="eastAsia"/>
                <w:kern w:val="0"/>
                <w:sz w:val="22"/>
              </w:rPr>
              <w:t>万元以上的设备</w:t>
            </w:r>
          </w:p>
        </w:tc>
        <w:tc>
          <w:tcPr>
            <w:tcW w:w="2353" w:type="dxa"/>
            <w:tcBorders>
              <w:top w:val="nil"/>
              <w:left w:val="nil"/>
              <w:bottom w:val="single" w:color="auto" w:sz="4" w:space="0"/>
              <w:right w:val="single" w:color="auto" w:sz="4" w:space="0"/>
            </w:tcBorders>
            <w:vAlign w:val="center"/>
          </w:tcPr>
          <w:p>
            <w:pPr>
              <w:widowControl/>
              <w:ind w:firstLine="440" w:firstLineChars="200"/>
              <w:rPr>
                <w:kern w:val="0"/>
                <w:sz w:val="22"/>
              </w:rPr>
            </w:pPr>
          </w:p>
        </w:tc>
        <w:tc>
          <w:tcPr>
            <w:tcW w:w="4151" w:type="dxa"/>
            <w:tcBorders>
              <w:top w:val="nil"/>
              <w:left w:val="nil"/>
              <w:bottom w:val="single" w:color="auto" w:sz="4" w:space="0"/>
              <w:right w:val="single" w:color="auto" w:sz="4" w:space="0"/>
            </w:tcBorders>
            <w:vAlign w:val="center"/>
          </w:tcPr>
          <w:p>
            <w:pPr>
              <w:widowControl/>
              <w:ind w:firstLine="440" w:firstLineChars="200"/>
              <w:jc w:val="center"/>
              <w:rPr>
                <w:kern w:val="0"/>
                <w:sz w:val="22"/>
              </w:rPr>
            </w:pPr>
          </w:p>
        </w:tc>
      </w:tr>
      <w:tr>
        <w:tblPrEx>
          <w:tblCellMar>
            <w:top w:w="0" w:type="dxa"/>
            <w:left w:w="108" w:type="dxa"/>
            <w:bottom w:w="0" w:type="dxa"/>
            <w:right w:w="108" w:type="dxa"/>
          </w:tblCellMar>
        </w:tblPrEx>
        <w:trPr>
          <w:trHeight w:val="556" w:hRule="atLeast"/>
        </w:trPr>
        <w:tc>
          <w:tcPr>
            <w:tcW w:w="4476" w:type="dxa"/>
            <w:tcBorders>
              <w:top w:val="nil"/>
              <w:left w:val="single" w:color="auto" w:sz="4" w:space="0"/>
              <w:bottom w:val="single" w:color="auto" w:sz="4" w:space="0"/>
              <w:right w:val="single" w:color="auto" w:sz="4" w:space="0"/>
            </w:tcBorders>
            <w:vAlign w:val="center"/>
          </w:tcPr>
          <w:p>
            <w:pPr>
              <w:widowControl/>
              <w:ind w:firstLine="440" w:firstLineChars="200"/>
              <w:rPr>
                <w:kern w:val="0"/>
                <w:sz w:val="22"/>
              </w:rPr>
            </w:pPr>
            <w:r>
              <w:rPr>
                <w:kern w:val="0"/>
                <w:sz w:val="22"/>
              </w:rPr>
              <w:t>4</w:t>
            </w:r>
            <w:r>
              <w:rPr>
                <w:rFonts w:hint="eastAsia"/>
                <w:kern w:val="0"/>
                <w:sz w:val="22"/>
              </w:rPr>
              <w:t>、其他固定资产</w:t>
            </w:r>
          </w:p>
        </w:tc>
        <w:tc>
          <w:tcPr>
            <w:tcW w:w="2353" w:type="dxa"/>
            <w:tcBorders>
              <w:top w:val="nil"/>
              <w:left w:val="nil"/>
              <w:bottom w:val="single" w:color="auto" w:sz="4" w:space="0"/>
              <w:right w:val="single" w:color="auto" w:sz="4" w:space="0"/>
            </w:tcBorders>
            <w:vAlign w:val="center"/>
          </w:tcPr>
          <w:p>
            <w:pPr>
              <w:widowControl/>
              <w:ind w:firstLine="440" w:firstLineChars="200"/>
              <w:rPr>
                <w:kern w:val="0"/>
                <w:sz w:val="22"/>
              </w:rPr>
            </w:pPr>
            <w:r>
              <w:rPr>
                <w:kern w:val="0"/>
                <w:sz w:val="22"/>
              </w:rPr>
              <w:t>——</w:t>
            </w:r>
          </w:p>
        </w:tc>
        <w:tc>
          <w:tcPr>
            <w:tcW w:w="4151" w:type="dxa"/>
            <w:tcBorders>
              <w:top w:val="nil"/>
              <w:left w:val="nil"/>
              <w:bottom w:val="single" w:color="auto" w:sz="4" w:space="0"/>
              <w:right w:val="single" w:color="auto" w:sz="4" w:space="0"/>
            </w:tcBorders>
            <w:vAlign w:val="center"/>
          </w:tcPr>
          <w:p>
            <w:pPr>
              <w:widowControl/>
              <w:ind w:firstLine="440" w:firstLineChars="200"/>
              <w:jc w:val="center"/>
              <w:rPr>
                <w:kern w:val="0"/>
                <w:sz w:val="22"/>
              </w:rPr>
            </w:pPr>
            <w:r>
              <w:rPr>
                <w:rFonts w:hint="eastAsia"/>
                <w:kern w:val="0"/>
                <w:sz w:val="22"/>
              </w:rPr>
              <w:t>75.07</w:t>
            </w:r>
          </w:p>
        </w:tc>
      </w:tr>
    </w:tbl>
    <w:p>
      <w:pPr>
        <w:spacing w:line="584" w:lineRule="exact"/>
        <w:ind w:firstLine="640" w:firstLineChars="200"/>
        <w:rPr>
          <w:rFonts w:hint="eastAsia" w:ascii="楷体" w:hAnsi="楷体" w:eastAsia="楷体"/>
          <w:bCs/>
          <w:sz w:val="32"/>
          <w:szCs w:val="32"/>
        </w:rPr>
      </w:pPr>
    </w:p>
    <w:p>
      <w:pPr>
        <w:spacing w:line="584" w:lineRule="exact"/>
        <w:rPr>
          <w:rFonts w:ascii="楷体" w:hAnsi="楷体" w:eastAsia="楷体"/>
          <w:bCs/>
          <w:sz w:val="32"/>
          <w:szCs w:val="32"/>
        </w:rPr>
      </w:pPr>
      <w:r>
        <w:rPr>
          <w:rFonts w:ascii="楷体" w:hAnsi="楷体" w:eastAsia="楷体"/>
          <w:bCs/>
          <w:sz w:val="32"/>
          <w:szCs w:val="32"/>
        </w:rPr>
        <w:t>（四）其他需要说明的情况</w:t>
      </w:r>
    </w:p>
    <w:p>
      <w:pPr>
        <w:adjustRightInd w:val="0"/>
        <w:snapToGrid w:val="0"/>
        <w:spacing w:line="584" w:lineRule="exact"/>
        <w:ind w:firstLine="640" w:firstLineChars="200"/>
        <w:rPr>
          <w:rFonts w:ascii="仿宋" w:hAnsi="仿宋" w:eastAsia="仿宋"/>
          <w:sz w:val="32"/>
          <w:szCs w:val="32"/>
        </w:rPr>
      </w:pPr>
      <w:r>
        <w:rPr>
          <w:rFonts w:hint="eastAsia" w:ascii="仿宋" w:hAnsi="仿宋" w:eastAsia="仿宋"/>
          <w:sz w:val="32"/>
          <w:szCs w:val="32"/>
        </w:rPr>
        <w:t>本部门2017年度国有资本经营预算财政拨款无收支及结转结余情况，故国有资本经营预算财政拨款收入支出表以空表列示。</w:t>
      </w:r>
    </w:p>
    <w:p>
      <w:pPr>
        <w:adjustRightInd w:val="0"/>
        <w:snapToGrid w:val="0"/>
        <w:spacing w:line="584" w:lineRule="exact"/>
        <w:ind w:firstLine="640" w:firstLineChars="200"/>
        <w:rPr>
          <w:rFonts w:eastAsia="仿宋_GB2312"/>
          <w:sz w:val="32"/>
          <w:szCs w:val="32"/>
        </w:rPr>
      </w:pPr>
    </w:p>
    <w:p>
      <w:pPr>
        <w:pStyle w:val="2"/>
        <w:spacing w:before="0" w:after="0" w:line="584" w:lineRule="exact"/>
        <w:ind w:firstLine="2209" w:firstLineChars="500"/>
      </w:pPr>
      <w:r>
        <w:t>第四部分名词解释</w:t>
      </w:r>
    </w:p>
    <w:p/>
    <w:p>
      <w:pPr>
        <w:spacing w:line="584" w:lineRule="exact"/>
        <w:ind w:firstLine="640" w:firstLineChars="200"/>
        <w:rPr>
          <w:rFonts w:ascii="仿宋" w:hAnsi="仿宋" w:eastAsia="仿宋"/>
          <w:sz w:val="32"/>
          <w:szCs w:val="32"/>
        </w:rPr>
      </w:pPr>
      <w:r>
        <w:rPr>
          <w:rFonts w:ascii="楷体" w:hAnsi="楷体" w:eastAsia="楷体"/>
          <w:bCs/>
          <w:sz w:val="32"/>
          <w:szCs w:val="32"/>
        </w:rPr>
        <w:t>（一）财政拨款收入</w:t>
      </w:r>
      <w:r>
        <w:rPr>
          <w:rFonts w:eastAsia="仿宋_GB2312"/>
          <w:color w:val="000000"/>
          <w:kern w:val="0"/>
          <w:sz w:val="32"/>
          <w:szCs w:val="32"/>
        </w:rPr>
        <w:t>：</w:t>
      </w:r>
      <w:r>
        <w:rPr>
          <w:rFonts w:ascii="仿宋" w:hAnsi="仿宋" w:eastAsia="仿宋"/>
          <w:sz w:val="32"/>
          <w:szCs w:val="32"/>
        </w:rPr>
        <w:t>本年度从本级财政部门取得的财政拨款，包括一般公共预算财政拨款和政府性基金预算财政拨款。</w:t>
      </w:r>
    </w:p>
    <w:p>
      <w:pPr>
        <w:spacing w:line="584" w:lineRule="exact"/>
        <w:ind w:firstLine="640" w:firstLineChars="200"/>
        <w:rPr>
          <w:rFonts w:ascii="仿宋" w:hAnsi="仿宋" w:eastAsia="仿宋"/>
          <w:sz w:val="32"/>
          <w:szCs w:val="32"/>
        </w:rPr>
      </w:pPr>
      <w:r>
        <w:rPr>
          <w:rFonts w:ascii="楷体" w:hAnsi="楷体" w:eastAsia="楷体"/>
          <w:bCs/>
          <w:sz w:val="32"/>
          <w:szCs w:val="32"/>
        </w:rPr>
        <w:t>（二）事业收入</w:t>
      </w:r>
      <w:r>
        <w:rPr>
          <w:rFonts w:eastAsia="仿宋_GB2312"/>
          <w:color w:val="000000"/>
          <w:kern w:val="0"/>
          <w:sz w:val="32"/>
          <w:szCs w:val="32"/>
        </w:rPr>
        <w:t>：</w:t>
      </w:r>
      <w:r>
        <w:rPr>
          <w:rFonts w:ascii="仿宋" w:hAnsi="仿宋" w:eastAsia="仿宋"/>
          <w:sz w:val="32"/>
          <w:szCs w:val="32"/>
        </w:rPr>
        <w:t>指事业单位开展专业业务活动及辅助活动所取得的收入。</w:t>
      </w:r>
    </w:p>
    <w:p>
      <w:pPr>
        <w:spacing w:line="584" w:lineRule="exact"/>
        <w:ind w:firstLine="640" w:firstLineChars="200"/>
        <w:rPr>
          <w:rFonts w:ascii="仿宋" w:hAnsi="仿宋" w:eastAsia="仿宋"/>
          <w:sz w:val="32"/>
          <w:szCs w:val="32"/>
        </w:rPr>
      </w:pPr>
      <w:r>
        <w:rPr>
          <w:rFonts w:ascii="楷体" w:hAnsi="楷体" w:eastAsia="楷体"/>
          <w:bCs/>
          <w:sz w:val="32"/>
          <w:szCs w:val="32"/>
        </w:rPr>
        <w:t>（三）其他收入：</w:t>
      </w:r>
      <w:r>
        <w:rPr>
          <w:rFonts w:ascii="仿宋" w:hAnsi="仿宋" w:eastAsia="仿宋"/>
          <w:sz w:val="32"/>
          <w:szCs w:val="32"/>
        </w:rPr>
        <w:t>指除上述“财政拨款收入”、“事业收入”、“经营收入”等以外的收入。</w:t>
      </w:r>
    </w:p>
    <w:p>
      <w:pPr>
        <w:spacing w:line="584" w:lineRule="exact"/>
        <w:ind w:firstLine="640" w:firstLineChars="200"/>
        <w:rPr>
          <w:rFonts w:ascii="仿宋" w:hAnsi="仿宋" w:eastAsia="仿宋"/>
          <w:sz w:val="32"/>
          <w:szCs w:val="32"/>
        </w:rPr>
      </w:pPr>
      <w:r>
        <w:rPr>
          <w:rFonts w:ascii="楷体" w:hAnsi="楷体" w:eastAsia="楷体"/>
          <w:bCs/>
          <w:sz w:val="32"/>
          <w:szCs w:val="32"/>
        </w:rPr>
        <w:t>（四）用事业基金弥补收支差额：</w:t>
      </w:r>
      <w:r>
        <w:rPr>
          <w:rFonts w:ascii="仿宋" w:hAnsi="仿宋" w:eastAsia="仿宋"/>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584" w:lineRule="exact"/>
        <w:ind w:firstLine="640" w:firstLineChars="200"/>
        <w:rPr>
          <w:rFonts w:ascii="仿宋" w:hAnsi="仿宋" w:eastAsia="仿宋"/>
          <w:sz w:val="32"/>
          <w:szCs w:val="32"/>
        </w:rPr>
      </w:pPr>
      <w:r>
        <w:rPr>
          <w:rFonts w:ascii="楷体" w:hAnsi="楷体" w:eastAsia="楷体"/>
          <w:bCs/>
          <w:sz w:val="32"/>
          <w:szCs w:val="32"/>
        </w:rPr>
        <w:t>（五）年初结转和结余：</w:t>
      </w:r>
      <w:r>
        <w:rPr>
          <w:rFonts w:ascii="仿宋" w:hAnsi="仿宋" w:eastAsia="仿宋"/>
          <w:sz w:val="32"/>
          <w:szCs w:val="32"/>
        </w:rPr>
        <w:t>指以前年度尚未完成、结转到本年仍按原规定用途继续使用的资金，或项目已完成等产生的结余资金。</w:t>
      </w:r>
    </w:p>
    <w:p>
      <w:pPr>
        <w:spacing w:line="584" w:lineRule="exact"/>
        <w:ind w:firstLine="640" w:firstLineChars="200"/>
        <w:rPr>
          <w:rFonts w:ascii="仿宋" w:hAnsi="仿宋" w:eastAsia="仿宋"/>
          <w:sz w:val="32"/>
          <w:szCs w:val="32"/>
        </w:rPr>
      </w:pPr>
      <w:r>
        <w:rPr>
          <w:rFonts w:ascii="楷体" w:hAnsi="楷体" w:eastAsia="楷体"/>
          <w:bCs/>
          <w:sz w:val="32"/>
          <w:szCs w:val="32"/>
        </w:rPr>
        <w:t>（六）结余分配：</w:t>
      </w:r>
      <w:r>
        <w:rPr>
          <w:rFonts w:ascii="仿宋" w:hAnsi="仿宋" w:eastAsia="仿宋"/>
          <w:sz w:val="32"/>
          <w:szCs w:val="32"/>
        </w:rPr>
        <w:t>指事业单位按照事业单位会计制度的规定从非财政补助结余中分配的事业基金和职工福利基金等。</w:t>
      </w:r>
    </w:p>
    <w:p>
      <w:pPr>
        <w:spacing w:line="584" w:lineRule="exact"/>
        <w:ind w:firstLine="640" w:firstLineChars="200"/>
        <w:rPr>
          <w:rFonts w:ascii="仿宋" w:hAnsi="仿宋" w:eastAsia="仿宋"/>
          <w:sz w:val="32"/>
          <w:szCs w:val="32"/>
        </w:rPr>
      </w:pPr>
      <w:r>
        <w:rPr>
          <w:rFonts w:ascii="楷体" w:hAnsi="楷体" w:eastAsia="楷体"/>
          <w:bCs/>
          <w:sz w:val="32"/>
          <w:szCs w:val="32"/>
        </w:rPr>
        <w:t>（七）年末结转和结余：</w:t>
      </w:r>
      <w:r>
        <w:rPr>
          <w:rFonts w:ascii="仿宋" w:hAnsi="仿宋" w:eastAsia="仿宋"/>
          <w:sz w:val="32"/>
          <w:szCs w:val="32"/>
        </w:rPr>
        <w:t>指单位按有关规定结转到下年或以后年度继续使用的资金，或项目已完成等产生的结余资金。</w:t>
      </w:r>
    </w:p>
    <w:p>
      <w:pPr>
        <w:spacing w:line="584" w:lineRule="exact"/>
        <w:ind w:firstLine="640" w:firstLineChars="200"/>
        <w:rPr>
          <w:rFonts w:ascii="仿宋" w:hAnsi="仿宋" w:eastAsia="仿宋"/>
          <w:sz w:val="32"/>
          <w:szCs w:val="32"/>
        </w:rPr>
      </w:pPr>
      <w:r>
        <w:rPr>
          <w:rFonts w:ascii="楷体" w:hAnsi="楷体" w:eastAsia="楷体"/>
          <w:bCs/>
          <w:sz w:val="32"/>
          <w:szCs w:val="32"/>
        </w:rPr>
        <w:t>（八）基本支出：</w:t>
      </w:r>
      <w:r>
        <w:rPr>
          <w:rFonts w:ascii="仿宋" w:hAnsi="仿宋" w:eastAsia="仿宋"/>
          <w:sz w:val="32"/>
          <w:szCs w:val="32"/>
        </w:rPr>
        <w:t>填列单位为保障机构正常运转、完成日常工作任务而发生的各项支出。</w:t>
      </w:r>
    </w:p>
    <w:p>
      <w:pPr>
        <w:spacing w:line="584" w:lineRule="exact"/>
        <w:ind w:firstLine="640" w:firstLineChars="200"/>
        <w:rPr>
          <w:rFonts w:ascii="仿宋" w:hAnsi="仿宋" w:eastAsia="仿宋"/>
          <w:sz w:val="32"/>
          <w:szCs w:val="32"/>
        </w:rPr>
      </w:pPr>
      <w:r>
        <w:rPr>
          <w:rFonts w:ascii="楷体" w:hAnsi="楷体" w:eastAsia="楷体"/>
          <w:bCs/>
          <w:sz w:val="32"/>
          <w:szCs w:val="32"/>
        </w:rPr>
        <w:t>（九）项目支出：</w:t>
      </w:r>
      <w:r>
        <w:rPr>
          <w:rFonts w:ascii="仿宋" w:hAnsi="仿宋" w:eastAsia="仿宋"/>
          <w:sz w:val="32"/>
          <w:szCs w:val="32"/>
        </w:rPr>
        <w:t>填列单位为完成特定的行政工作任务或事业发展目标，在基本支出之外发生的各项支出</w:t>
      </w:r>
    </w:p>
    <w:p>
      <w:pPr>
        <w:spacing w:line="584" w:lineRule="exact"/>
        <w:ind w:firstLine="640" w:firstLineChars="200"/>
        <w:rPr>
          <w:rFonts w:ascii="仿宋" w:hAnsi="仿宋" w:eastAsia="仿宋"/>
          <w:sz w:val="32"/>
          <w:szCs w:val="32"/>
        </w:rPr>
      </w:pPr>
      <w:r>
        <w:rPr>
          <w:rFonts w:ascii="楷体" w:hAnsi="楷体" w:eastAsia="楷体"/>
          <w:bCs/>
          <w:sz w:val="32"/>
          <w:szCs w:val="32"/>
        </w:rPr>
        <w:t>（十）基本建设支出：</w:t>
      </w:r>
      <w:r>
        <w:rPr>
          <w:rFonts w:ascii="仿宋" w:hAnsi="仿宋" w:eastAsia="仿宋"/>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spacing w:line="584" w:lineRule="exact"/>
        <w:ind w:firstLine="640" w:firstLineChars="200"/>
        <w:rPr>
          <w:rFonts w:ascii="仿宋" w:hAnsi="仿宋" w:eastAsia="仿宋"/>
          <w:sz w:val="32"/>
          <w:szCs w:val="32"/>
        </w:rPr>
      </w:pPr>
      <w:r>
        <w:rPr>
          <w:rFonts w:ascii="楷体" w:hAnsi="楷体" w:eastAsia="楷体"/>
          <w:bCs/>
          <w:sz w:val="32"/>
          <w:szCs w:val="32"/>
        </w:rPr>
        <w:t>（十一）其他资本性支出：</w:t>
      </w:r>
      <w:r>
        <w:rPr>
          <w:rFonts w:ascii="仿宋" w:hAnsi="仿宋" w:eastAsia="仿宋"/>
          <w:sz w:val="32"/>
          <w:szCs w:val="32"/>
        </w:rPr>
        <w:t>填列由各级非发展与改革部门集中安排的用于购置固定资产、战备性和应急性储备、土地和无形资产，以及购建基础设施、大型修缮和财政支持企业更新改造所发生的支出。</w:t>
      </w:r>
    </w:p>
    <w:p>
      <w:pPr>
        <w:spacing w:line="584" w:lineRule="exact"/>
        <w:ind w:firstLine="640" w:firstLineChars="200"/>
        <w:rPr>
          <w:rFonts w:ascii="仿宋" w:hAnsi="仿宋" w:eastAsia="仿宋"/>
          <w:sz w:val="32"/>
          <w:szCs w:val="32"/>
        </w:rPr>
      </w:pPr>
      <w:r>
        <w:rPr>
          <w:rFonts w:ascii="楷体" w:hAnsi="楷体" w:eastAsia="楷体"/>
          <w:bCs/>
          <w:sz w:val="32"/>
          <w:szCs w:val="32"/>
        </w:rPr>
        <w:t>（十二）“三公”经费：</w:t>
      </w:r>
      <w:r>
        <w:rPr>
          <w:rFonts w:ascii="仿宋" w:hAnsi="仿宋" w:eastAsia="仿宋"/>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spacing w:line="584" w:lineRule="exact"/>
        <w:ind w:firstLine="640" w:firstLineChars="200"/>
        <w:rPr>
          <w:rFonts w:eastAsia="仿宋_GB2312"/>
          <w:color w:val="000000"/>
          <w:kern w:val="0"/>
          <w:sz w:val="32"/>
          <w:szCs w:val="32"/>
        </w:rPr>
      </w:pPr>
      <w:r>
        <w:rPr>
          <w:rFonts w:ascii="楷体" w:hAnsi="楷体" w:eastAsia="楷体"/>
          <w:bCs/>
          <w:sz w:val="32"/>
          <w:szCs w:val="32"/>
        </w:rPr>
        <w:t>（十三）其他交通费用：</w:t>
      </w:r>
      <w:r>
        <w:rPr>
          <w:rFonts w:ascii="仿宋" w:hAnsi="仿宋" w:eastAsia="仿宋"/>
          <w:sz w:val="32"/>
          <w:szCs w:val="32"/>
        </w:rPr>
        <w:t>填列单位除公务用车运行维护费以外的其他交通费用。如飞机、船舶等的燃料费、维修费、过桥过路费、保险费、出租车费用、公务交通补贴等。</w:t>
      </w:r>
    </w:p>
    <w:p>
      <w:pPr>
        <w:spacing w:line="584" w:lineRule="exact"/>
        <w:ind w:firstLine="640" w:firstLineChars="200"/>
        <w:rPr>
          <w:rFonts w:ascii="仿宋" w:hAnsi="仿宋" w:eastAsia="仿宋"/>
          <w:sz w:val="32"/>
          <w:szCs w:val="32"/>
        </w:rPr>
      </w:pPr>
      <w:r>
        <w:rPr>
          <w:rFonts w:ascii="楷体" w:hAnsi="楷体" w:eastAsia="楷体"/>
          <w:bCs/>
          <w:sz w:val="32"/>
          <w:szCs w:val="32"/>
        </w:rPr>
        <w:t>（十四）公务用车购置：</w:t>
      </w:r>
      <w:r>
        <w:rPr>
          <w:rFonts w:ascii="仿宋" w:hAnsi="仿宋" w:eastAsia="仿宋"/>
          <w:sz w:val="32"/>
          <w:szCs w:val="32"/>
        </w:rPr>
        <w:t>填列单位公务用车车辆购置支出（含车辆购置税）。</w:t>
      </w:r>
    </w:p>
    <w:p>
      <w:pPr>
        <w:spacing w:line="584" w:lineRule="exact"/>
        <w:ind w:firstLine="640" w:firstLineChars="200"/>
        <w:rPr>
          <w:rFonts w:ascii="仿宋" w:hAnsi="仿宋" w:eastAsia="仿宋"/>
          <w:sz w:val="32"/>
          <w:szCs w:val="32"/>
        </w:rPr>
      </w:pPr>
      <w:r>
        <w:rPr>
          <w:rFonts w:ascii="楷体" w:hAnsi="楷体" w:eastAsia="楷体"/>
          <w:bCs/>
          <w:sz w:val="32"/>
          <w:szCs w:val="32"/>
        </w:rPr>
        <w:t>（十五）其他交通工具购置：</w:t>
      </w:r>
      <w:r>
        <w:rPr>
          <w:rFonts w:ascii="仿宋" w:hAnsi="仿宋" w:eastAsia="仿宋"/>
          <w:sz w:val="32"/>
          <w:szCs w:val="32"/>
        </w:rPr>
        <w:t>填列单位除公务用车外的其他各类交通工具（如船舶、飞机）购置支出（含车辆购置税）。</w:t>
      </w:r>
    </w:p>
    <w:p>
      <w:pPr>
        <w:ind w:firstLine="640" w:firstLineChars="200"/>
        <w:rPr>
          <w:rFonts w:ascii="仿宋" w:hAnsi="仿宋" w:eastAsia="仿宋"/>
          <w:sz w:val="32"/>
          <w:szCs w:val="32"/>
        </w:rPr>
      </w:pPr>
      <w:r>
        <w:rPr>
          <w:rFonts w:ascii="楷体" w:hAnsi="楷体" w:eastAsia="楷体"/>
          <w:bCs/>
          <w:sz w:val="32"/>
          <w:szCs w:val="32"/>
        </w:rPr>
        <w:t>（十六） 机关运行经费：</w:t>
      </w:r>
      <w:r>
        <w:rPr>
          <w:rFonts w:ascii="仿宋" w:hAnsi="仿宋" w:eastAsia="仿宋"/>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20" w:leftChars="200" w:right="420" w:rightChars="2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14</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20" w:leftChars="200" w:right="420" w:rightChars="2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22</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MzODNhYjJlMmYzYmNjZTgxZGM1YWVkZDFiYWQ4MGYifQ=="/>
  </w:docVars>
  <w:rsids>
    <w:rsidRoot w:val="00143EFE"/>
    <w:rsid w:val="00074E32"/>
    <w:rsid w:val="00075850"/>
    <w:rsid w:val="00085768"/>
    <w:rsid w:val="000A1B3D"/>
    <w:rsid w:val="000D0C46"/>
    <w:rsid w:val="001103D1"/>
    <w:rsid w:val="00120926"/>
    <w:rsid w:val="00143EFE"/>
    <w:rsid w:val="00176807"/>
    <w:rsid w:val="001B048B"/>
    <w:rsid w:val="001C35BD"/>
    <w:rsid w:val="001D7C40"/>
    <w:rsid w:val="00231E59"/>
    <w:rsid w:val="00243D63"/>
    <w:rsid w:val="00257FB1"/>
    <w:rsid w:val="002E43E9"/>
    <w:rsid w:val="00337B6E"/>
    <w:rsid w:val="0038674E"/>
    <w:rsid w:val="00411B43"/>
    <w:rsid w:val="00427BF7"/>
    <w:rsid w:val="004541F8"/>
    <w:rsid w:val="00471659"/>
    <w:rsid w:val="004F1298"/>
    <w:rsid w:val="005247FB"/>
    <w:rsid w:val="00543A57"/>
    <w:rsid w:val="00562B9C"/>
    <w:rsid w:val="005C20C4"/>
    <w:rsid w:val="005D4DC1"/>
    <w:rsid w:val="00637E7F"/>
    <w:rsid w:val="006D2D19"/>
    <w:rsid w:val="006F1B5C"/>
    <w:rsid w:val="007A4ABB"/>
    <w:rsid w:val="007D037D"/>
    <w:rsid w:val="007E006A"/>
    <w:rsid w:val="008B3B5A"/>
    <w:rsid w:val="008F5879"/>
    <w:rsid w:val="00904211"/>
    <w:rsid w:val="00906846"/>
    <w:rsid w:val="00920708"/>
    <w:rsid w:val="00992F6F"/>
    <w:rsid w:val="009E2448"/>
    <w:rsid w:val="009E6C7A"/>
    <w:rsid w:val="00A33F82"/>
    <w:rsid w:val="00AF1CED"/>
    <w:rsid w:val="00B419A6"/>
    <w:rsid w:val="00B613E3"/>
    <w:rsid w:val="00B86733"/>
    <w:rsid w:val="00BD6FCB"/>
    <w:rsid w:val="00CB0559"/>
    <w:rsid w:val="00CF7814"/>
    <w:rsid w:val="00D070F4"/>
    <w:rsid w:val="00D10F21"/>
    <w:rsid w:val="00D33862"/>
    <w:rsid w:val="00D40EE8"/>
    <w:rsid w:val="00D7303E"/>
    <w:rsid w:val="00DA5BC0"/>
    <w:rsid w:val="00DB5740"/>
    <w:rsid w:val="00DF0574"/>
    <w:rsid w:val="00E033C7"/>
    <w:rsid w:val="00E35EBE"/>
    <w:rsid w:val="00E92FD7"/>
    <w:rsid w:val="00EF4037"/>
    <w:rsid w:val="00F23421"/>
    <w:rsid w:val="00F81998"/>
    <w:rsid w:val="00FB0BC1"/>
    <w:rsid w:val="00FC572F"/>
    <w:rsid w:val="00FF19B2"/>
    <w:rsid w:val="0204563D"/>
    <w:rsid w:val="033D7B14"/>
    <w:rsid w:val="08EB3D94"/>
    <w:rsid w:val="093F7CEF"/>
    <w:rsid w:val="0A063EB1"/>
    <w:rsid w:val="0C0F34D9"/>
    <w:rsid w:val="0D032820"/>
    <w:rsid w:val="0DDE18E8"/>
    <w:rsid w:val="11A96552"/>
    <w:rsid w:val="13173CAF"/>
    <w:rsid w:val="14B85DEB"/>
    <w:rsid w:val="180320E3"/>
    <w:rsid w:val="18BC45AB"/>
    <w:rsid w:val="191322F0"/>
    <w:rsid w:val="1AD23BC0"/>
    <w:rsid w:val="1D7E25F4"/>
    <w:rsid w:val="1E82594A"/>
    <w:rsid w:val="205F1B6A"/>
    <w:rsid w:val="250C2990"/>
    <w:rsid w:val="2A6409A6"/>
    <w:rsid w:val="2E5671A1"/>
    <w:rsid w:val="2F44030E"/>
    <w:rsid w:val="30E64C71"/>
    <w:rsid w:val="30EB67FB"/>
    <w:rsid w:val="33642DE8"/>
    <w:rsid w:val="35607619"/>
    <w:rsid w:val="37BB06BA"/>
    <w:rsid w:val="39425053"/>
    <w:rsid w:val="3974664D"/>
    <w:rsid w:val="3C811985"/>
    <w:rsid w:val="3CC5762D"/>
    <w:rsid w:val="3DB82B9B"/>
    <w:rsid w:val="41CF5222"/>
    <w:rsid w:val="44FE02D4"/>
    <w:rsid w:val="46713390"/>
    <w:rsid w:val="46CD5A99"/>
    <w:rsid w:val="48A2140F"/>
    <w:rsid w:val="4AB574E4"/>
    <w:rsid w:val="4ACA2CA5"/>
    <w:rsid w:val="4C334D63"/>
    <w:rsid w:val="4D9977B6"/>
    <w:rsid w:val="4F835951"/>
    <w:rsid w:val="517F4A4C"/>
    <w:rsid w:val="52073051"/>
    <w:rsid w:val="52EE4E4D"/>
    <w:rsid w:val="545A3B5B"/>
    <w:rsid w:val="547626D0"/>
    <w:rsid w:val="559E5FAC"/>
    <w:rsid w:val="5734310E"/>
    <w:rsid w:val="591D4AA6"/>
    <w:rsid w:val="5931153C"/>
    <w:rsid w:val="5E001AD0"/>
    <w:rsid w:val="5FC36D96"/>
    <w:rsid w:val="627455F0"/>
    <w:rsid w:val="66076A9E"/>
    <w:rsid w:val="680B1094"/>
    <w:rsid w:val="68E61E25"/>
    <w:rsid w:val="698B6DEC"/>
    <w:rsid w:val="69C91A79"/>
    <w:rsid w:val="6B4B31F4"/>
    <w:rsid w:val="6D987660"/>
    <w:rsid w:val="715736FB"/>
    <w:rsid w:val="79917DAE"/>
    <w:rsid w:val="7AB43C26"/>
    <w:rsid w:val="7D812F03"/>
    <w:rsid w:val="7F797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4"/>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Document Map"/>
    <w:basedOn w:val="1"/>
    <w:link w:val="18"/>
    <w:semiHidden/>
    <w:unhideWhenUsed/>
    <w:qFormat/>
    <w:uiPriority w:val="99"/>
    <w:rPr>
      <w:rFonts w:ascii="宋体"/>
      <w:sz w:val="18"/>
      <w:szCs w:val="18"/>
    </w:rPr>
  </w:style>
  <w:style w:type="paragraph" w:styleId="7">
    <w:name w:val="Balloon Text"/>
    <w:basedOn w:val="1"/>
    <w:link w:val="17"/>
    <w:semiHidden/>
    <w:unhideWhenUsed/>
    <w:qFormat/>
    <w:uiPriority w:val="99"/>
    <w:rPr>
      <w:sz w:val="18"/>
      <w:szCs w:val="18"/>
    </w:rPr>
  </w:style>
  <w:style w:type="paragraph" w:styleId="8">
    <w:name w:val="footer"/>
    <w:basedOn w:val="1"/>
    <w:link w:val="15"/>
    <w:qFormat/>
    <w:uiPriority w:val="99"/>
    <w:pPr>
      <w:tabs>
        <w:tab w:val="center" w:pos="4153"/>
        <w:tab w:val="right" w:pos="8306"/>
      </w:tabs>
      <w:snapToGrid w:val="0"/>
      <w:jc w:val="left"/>
    </w:pPr>
    <w:rPr>
      <w:sz w:val="18"/>
      <w:szCs w:val="18"/>
    </w:rPr>
  </w:style>
  <w:style w:type="paragraph" w:styleId="9">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2">
    <w:name w:val="标题 1 Char"/>
    <w:basedOn w:val="11"/>
    <w:link w:val="2"/>
    <w:qFormat/>
    <w:uiPriority w:val="9"/>
    <w:rPr>
      <w:rFonts w:ascii="Times New Roman" w:hAnsi="Times New Roman" w:eastAsia="宋体" w:cs="Times New Roman"/>
      <w:b/>
      <w:bCs/>
      <w:kern w:val="44"/>
      <w:sz w:val="44"/>
      <w:szCs w:val="44"/>
    </w:rPr>
  </w:style>
  <w:style w:type="character" w:customStyle="1" w:styleId="13">
    <w:name w:val="标题 2 Char"/>
    <w:basedOn w:val="11"/>
    <w:link w:val="3"/>
    <w:qFormat/>
    <w:uiPriority w:val="9"/>
    <w:rPr>
      <w:rFonts w:ascii="Cambria" w:hAnsi="Cambria" w:eastAsia="宋体" w:cs="Times New Roman"/>
      <w:b/>
      <w:bCs/>
      <w:sz w:val="32"/>
      <w:szCs w:val="32"/>
    </w:rPr>
  </w:style>
  <w:style w:type="character" w:customStyle="1" w:styleId="14">
    <w:name w:val="标题 3 Char"/>
    <w:basedOn w:val="11"/>
    <w:link w:val="4"/>
    <w:qFormat/>
    <w:uiPriority w:val="9"/>
    <w:rPr>
      <w:rFonts w:ascii="Times New Roman" w:hAnsi="Times New Roman" w:eastAsia="宋体" w:cs="Times New Roman"/>
      <w:b/>
      <w:bCs/>
      <w:sz w:val="32"/>
      <w:szCs w:val="32"/>
    </w:rPr>
  </w:style>
  <w:style w:type="character" w:customStyle="1" w:styleId="15">
    <w:name w:val="页脚 Char"/>
    <w:basedOn w:val="11"/>
    <w:link w:val="8"/>
    <w:qFormat/>
    <w:uiPriority w:val="99"/>
    <w:rPr>
      <w:rFonts w:ascii="Times New Roman" w:hAnsi="Times New Roman" w:eastAsia="宋体" w:cs="Times New Roman"/>
      <w:sz w:val="18"/>
      <w:szCs w:val="18"/>
    </w:rPr>
  </w:style>
  <w:style w:type="character" w:customStyle="1" w:styleId="16">
    <w:name w:val="页眉 Char"/>
    <w:basedOn w:val="11"/>
    <w:link w:val="9"/>
    <w:semiHidden/>
    <w:qFormat/>
    <w:uiPriority w:val="99"/>
    <w:rPr>
      <w:rFonts w:ascii="Times New Roman" w:hAnsi="Times New Roman" w:eastAsia="宋体" w:cs="Times New Roman"/>
      <w:sz w:val="18"/>
      <w:szCs w:val="18"/>
    </w:rPr>
  </w:style>
  <w:style w:type="character" w:customStyle="1" w:styleId="17">
    <w:name w:val="批注框文本 Char"/>
    <w:basedOn w:val="11"/>
    <w:link w:val="7"/>
    <w:semiHidden/>
    <w:qFormat/>
    <w:uiPriority w:val="99"/>
    <w:rPr>
      <w:rFonts w:ascii="Times New Roman" w:hAnsi="Times New Roman" w:eastAsia="宋体" w:cs="Times New Roman"/>
      <w:sz w:val="18"/>
      <w:szCs w:val="18"/>
    </w:rPr>
  </w:style>
  <w:style w:type="character" w:customStyle="1" w:styleId="18">
    <w:name w:val="文档结构图 Char"/>
    <w:basedOn w:val="11"/>
    <w:link w:val="6"/>
    <w:semiHidden/>
    <w:qFormat/>
    <w:uiPriority w:val="99"/>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t>2017</a:t>
            </a:r>
            <a:r>
              <a:t>年收入</a:t>
            </a:r>
          </a:p>
        </c:rich>
      </c:tx>
      <c:layout/>
      <c:overlay val="0"/>
    </c:title>
    <c:autoTitleDeleted val="0"/>
    <c:plotArea>
      <c:layout>
        <c:manualLayout>
          <c:layoutTarget val="inner"/>
          <c:xMode val="edge"/>
          <c:yMode val="edge"/>
          <c:x val="2.3405798023234e-5"/>
          <c:y val="0.114224006935612"/>
          <c:w val="0.670422958034931"/>
          <c:h val="0.753161181531074"/>
        </c:manualLayout>
      </c:layout>
      <c:pieChart>
        <c:varyColors val="1"/>
        <c:ser>
          <c:idx val="0"/>
          <c:order val="0"/>
          <c:tx>
            <c:strRef>
              <c:f>Sheet1!$B$1</c:f>
              <c:strCache>
                <c:ptCount val="1"/>
                <c:pt idx="0">
                  <c:v>收入</c:v>
                </c:pt>
              </c:strCache>
            </c:strRef>
          </c:tx>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财政拨款收入</c:v>
                </c:pt>
                <c:pt idx="1">
                  <c:v>事业收入</c:v>
                </c:pt>
                <c:pt idx="2">
                  <c:v>经营收入</c:v>
                </c:pt>
                <c:pt idx="3">
                  <c:v>其他收入</c:v>
                </c:pt>
              </c:strCache>
            </c:strRef>
          </c:cat>
          <c:val>
            <c:numRef>
              <c:f>Sheet1!$B$2:$B$5</c:f>
              <c:numCache>
                <c:formatCode>General</c:formatCode>
                <c:ptCount val="4"/>
                <c:pt idx="0">
                  <c:v>5859</c:v>
                </c:pt>
                <c:pt idx="1">
                  <c:v>0</c:v>
                </c:pt>
                <c:pt idx="2">
                  <c:v>0</c:v>
                </c:pt>
                <c:pt idx="3">
                  <c:v>0</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2017</a:t>
            </a:r>
            <a:r>
              <a:rPr altLang="en-US"/>
              <a:t>年支出</a:t>
            </a:r>
            <a:endParaRPr altLang="en-US"/>
          </a:p>
        </c:rich>
      </c:tx>
      <c:layout/>
      <c:overlay val="0"/>
      <c:spPr>
        <a:noFill/>
        <a:ln>
          <a:noFill/>
        </a:ln>
        <a:effectLst/>
      </c:spPr>
    </c:title>
    <c:autoTitleDeleted val="0"/>
    <c:plotArea>
      <c:layout/>
      <c:pieChart>
        <c:varyColors val="1"/>
        <c:ser>
          <c:idx val="0"/>
          <c:order val="0"/>
          <c:tx>
            <c:strRef>
              <c:f>Sheet1!$B$1</c:f>
              <c:strCache>
                <c:ptCount val="1"/>
                <c:pt idx="0">
                  <c:v>2017年支出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pt idx="1">
                  <c:v>项目支出</c:v>
                </c:pt>
                <c:pt idx="2">
                  <c:v>经营支出</c:v>
                </c:pt>
              </c:strCache>
            </c:strRef>
          </c:cat>
          <c:val>
            <c:numRef>
              <c:f>Sheet1!$B$2:$B$5</c:f>
              <c:numCache>
                <c:formatCode>General</c:formatCode>
                <c:ptCount val="4"/>
                <c:pt idx="0">
                  <c:v>1573.4</c:v>
                </c:pt>
                <c:pt idx="1">
                  <c:v>4285.6</c:v>
                </c:pt>
                <c:pt idx="2">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063EE-7B0E-46FB-96FC-9DFD56BA3961}">
  <ds:schemaRefs/>
</ds:datastoreItem>
</file>

<file path=docProps/app.xml><?xml version="1.0" encoding="utf-8"?>
<Properties xmlns="http://schemas.openxmlformats.org/officeDocument/2006/extended-properties" xmlns:vt="http://schemas.openxmlformats.org/officeDocument/2006/docPropsVTypes">
  <Template>Normal</Template>
  <Pages>17</Pages>
  <Words>5673</Words>
  <Characters>6126</Characters>
  <Lines>45</Lines>
  <Paragraphs>12</Paragraphs>
  <TotalTime>7</TotalTime>
  <ScaleCrop>false</ScaleCrop>
  <LinksUpToDate>false</LinksUpToDate>
  <CharactersWithSpaces>6151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2018-10-25T02:08:00Z</dcterms:created>
  <dc:creator>刘华吉</dc:creator>
  <cp:lastModifiedBy>Administrator</cp:lastModifiedBy>
  <cp:lastPrinted>2018-11-16T07:41:00Z</cp:lastPrinted>
  <dcterms:modified xsi:type="dcterms:W3CDTF">2023-12-29T02:11:22Z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5BB05D0D9B1547D88AD260A99B46AC4F_12</vt:lpwstr>
  </property>
</Properties>
</file>