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bookmarkStart w:id="2" w:name="_GoBack"/>
      <w:bookmarkEnd w:id="2"/>
    </w:p>
    <w:p>
      <w:pPr>
        <w:spacing w:line="584" w:lineRule="exact"/>
        <w:ind w:firstLine="880" w:firstLineChars="200"/>
        <w:jc w:val="center"/>
        <w:rPr>
          <w:rFonts w:ascii="Times New Roman" w:hAnsi="Times New Roman" w:eastAsia="仿宋_GB2312" w:cs="Times New Roman"/>
          <w:sz w:val="44"/>
          <w:szCs w:val="44"/>
        </w:rPr>
      </w:pPr>
    </w:p>
    <w:p>
      <w:pPr>
        <w:spacing w:line="584" w:lineRule="exact"/>
        <w:jc w:val="center"/>
        <w:rPr>
          <w:rFonts w:ascii="Times New Roman" w:hAnsi="Times New Roman" w:eastAsia="方正小标宋简体" w:cs="Times New Roman"/>
          <w:sz w:val="44"/>
          <w:szCs w:val="44"/>
        </w:rPr>
      </w:pPr>
      <w:r>
        <w:rPr>
          <w:rFonts w:hint="eastAsia" w:ascii="方正小标宋简体" w:hAnsi="方正小标宋简体" w:eastAsia="方正小标宋简体" w:cs="方正小标宋简体"/>
          <w:sz w:val="44"/>
          <w:szCs w:val="44"/>
          <w:lang w:eastAsia="zh-CN"/>
        </w:rPr>
        <w:t>中共大城县委统一战线工作部</w:t>
      </w:r>
      <w:r>
        <w:rPr>
          <w:rFonts w:hint="eastAsia" w:ascii="方正小标宋简体" w:hAnsi="方正小标宋简体" w:eastAsia="方正小标宋简体" w:cs="方正小标宋简体"/>
          <w:sz w:val="44"/>
          <w:szCs w:val="44"/>
        </w:rPr>
        <w:t>2023年</w:t>
      </w:r>
      <w:r>
        <w:rPr>
          <w:rFonts w:hint="eastAsia" w:ascii="方正小标宋简体" w:hAnsi="方正小标宋简体" w:eastAsia="方正小标宋简体" w:cs="方正小标宋简体"/>
          <w:sz w:val="44"/>
          <w:szCs w:val="44"/>
          <w:lang w:eastAsia="zh-CN"/>
        </w:rPr>
        <w:t>单位</w:t>
      </w:r>
      <w:r>
        <w:rPr>
          <w:rFonts w:hint="eastAsia" w:ascii="方正小标宋简体" w:hAnsi="方正小标宋简体" w:eastAsia="方正小标宋简体" w:cs="方正小标宋简体"/>
          <w:sz w:val="44"/>
          <w:szCs w:val="44"/>
        </w:rPr>
        <w:t>预算信息公开情况说明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lang w:eastAsia="zh-CN"/>
        </w:rPr>
        <w:t>中共大城县委统一战线工作部</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预算公开如下：</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一、</w:t>
      </w:r>
      <w:r>
        <w:rPr>
          <w:rFonts w:hint="eastAsia" w:ascii="Times New Roman" w:hAnsi="黑体" w:eastAsia="黑体" w:cs="Times New Roman"/>
          <w:sz w:val="32"/>
          <w:szCs w:val="32"/>
          <w:lang w:eastAsia="zh-CN"/>
        </w:rPr>
        <w:t>单位</w:t>
      </w:r>
      <w:r>
        <w:rPr>
          <w:rFonts w:ascii="Times New Roman" w:hAnsi="黑体" w:eastAsia="黑体" w:cs="Times New Roman"/>
          <w:sz w:val="32"/>
          <w:szCs w:val="32"/>
        </w:rPr>
        <w:t>职责及机构设置情况</w:t>
      </w:r>
    </w:p>
    <w:p>
      <w:pPr>
        <w:spacing w:line="584" w:lineRule="exact"/>
        <w:ind w:firstLine="643" w:firstLineChars="200"/>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lang w:eastAsia="zh-CN"/>
        </w:rPr>
        <w:t>单位</w:t>
      </w:r>
      <w:r>
        <w:rPr>
          <w:rFonts w:ascii="Times New Roman" w:hAnsi="Times New Roman" w:eastAsia="楷体_GB2312" w:cs="Times New Roman"/>
          <w:b/>
          <w:sz w:val="32"/>
          <w:szCs w:val="32"/>
        </w:rPr>
        <w:t>职责：</w:t>
      </w:r>
    </w:p>
    <w:p>
      <w:pPr>
        <w:pStyle w:val="23"/>
        <w:numPr>
          <w:ilvl w:val="0"/>
          <w:numId w:val="1"/>
        </w:numPr>
        <w:spacing w:line="600" w:lineRule="exact"/>
        <w:ind w:left="0" w:firstLine="64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贯彻落实加强党对统一战线工作集中统一领导的要求，发挥县委在统战工作方面的参谋机构、组织协调机构、具体执行机构、督促检查机构作用，了解情况、掌握政策、协调关系、安排人事、增进共识、加强团结，协调统一战线各方面关系，组织落实中央、省、市、县委关于统一战线工作重大决策部署，巩固壮大最广泛的统一战线。</w:t>
      </w:r>
    </w:p>
    <w:p>
      <w:pPr>
        <w:pStyle w:val="23"/>
        <w:numPr>
          <w:ilvl w:val="0"/>
          <w:numId w:val="1"/>
        </w:numPr>
        <w:spacing w:line="600" w:lineRule="exact"/>
        <w:ind w:left="0" w:firstLine="64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开展统一战线理论研究，研究拟定统一战线工作政策并推动落实，深入调查研究，及时向县委报告统一战线工作情况并提出建议，统筹协调和指导各部门各单位统一战线工作。</w:t>
      </w:r>
    </w:p>
    <w:p>
      <w:pPr>
        <w:pStyle w:val="23"/>
        <w:numPr>
          <w:ilvl w:val="0"/>
          <w:numId w:val="1"/>
        </w:numPr>
        <w:spacing w:line="600" w:lineRule="exact"/>
        <w:ind w:left="0" w:firstLine="64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发现、培养党外人士，负责党外人士的政治安排，会同有关部门做好安排党外人士担任政府和司法机关等领导职务的工作，协助民主党派、县工商联和县有关团体做好干部管理工作，反映和协调解决党外代表人士工作生活中的实际困难。</w:t>
      </w:r>
    </w:p>
    <w:p>
      <w:pPr>
        <w:pStyle w:val="23"/>
        <w:numPr>
          <w:ilvl w:val="0"/>
          <w:numId w:val="1"/>
        </w:numPr>
        <w:spacing w:line="600" w:lineRule="exact"/>
        <w:ind w:left="0" w:firstLine="64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贯彻落实党的宣传工作方针，统筹推进全县统一战线宣传工作，拟定全县统一战线宣传工作规划并组织实施，研判涉及统一战线的舆情并协调有关部门应对处置。</w:t>
      </w:r>
    </w:p>
    <w:p>
      <w:pPr>
        <w:pStyle w:val="23"/>
        <w:numPr>
          <w:ilvl w:val="0"/>
          <w:numId w:val="1"/>
        </w:numPr>
        <w:spacing w:line="600" w:lineRule="exact"/>
        <w:ind w:left="0" w:firstLine="64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负责联系各民主党派，通报情况、反映意见，贯彻落实中国共产党领导的多党合作和政治协商制度以及对民主党派的方针策略，支持、帮助民主党派加强自身建设，做好支持民主党派履行职责发挥作用的工作。</w:t>
      </w:r>
    </w:p>
    <w:p>
      <w:pPr>
        <w:pStyle w:val="23"/>
        <w:numPr>
          <w:ilvl w:val="0"/>
          <w:numId w:val="1"/>
        </w:numPr>
        <w:spacing w:line="600" w:lineRule="exact"/>
        <w:ind w:left="0" w:firstLine="64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贯彻执行党中央、国务院和省委、省政府、市委、市政府民族宗教工作方针政策、法律法规和县委、县政府决策部署；组织开展民族宗教理论、政策及重大问题的调查研究，提出有关民族宗教工作的政策建议。负责协调指导有关部门、有关领域落实民族宗教政策，促进民族宗教工作开展。负责起草民族宗教方面的规范性文件和有关政策规定，督促检查政策、法规落实情况，保障少数民族和信教群众的合法权益。联系民族自制地方，负责协调指导《中华</w:t>
      </w:r>
      <w:r>
        <w:rPr>
          <w:rFonts w:hint="eastAsia" w:ascii="仿宋_GB2312" w:hAnsi="仿宋_GB2312" w:eastAsia="仿宋_GB2312" w:cs="仿宋_GB2312"/>
          <w:sz w:val="32"/>
          <w:szCs w:val="32"/>
          <w:lang w:eastAsia="zh-CN"/>
        </w:rPr>
        <w:t>人民</w:t>
      </w:r>
      <w:r>
        <w:rPr>
          <w:rFonts w:hint="eastAsia" w:ascii="仿宋_GB2312" w:hAnsi="仿宋_GB2312" w:eastAsia="仿宋_GB2312" w:cs="仿宋_GB2312"/>
          <w:sz w:val="32"/>
          <w:szCs w:val="32"/>
        </w:rPr>
        <w:t>共和国民族区域自治法》的贯彻实施。研究提出协调民族关系工作建议，协调处理民族关系的重大事项，参与协调指导涉及民族事务突发事件处置和民族地区社会稳定工作。参与拟订少数民族和民族地区经济社会发展相关领域的发展规划，并监督实施。研究分析少数民族和民族地区经济社会发展重大问题并提出差别化政策建议；参与协调民族地区科技发展、对口支援、经济技术协作、扶贫开发和民族贸易、民族特需商品生产的有关工作。负责组织指导民族政策、民族法律法规和民族基本知识宣传教育；组织开展民族团体宣传教育、民族团结进步创建活动；组织协调民族自治地方重大庆典活动。提出少数民族和民族地区文化、教育、科技、卫生、体育、艺术、语言文字、新闻出版等社会是事业发展有关政策建议。负责组织协调民族工作领域对外和对港澳台交流与合作有关工作，参与涉及民族事务对外宣传工作。参与拟定少数民族人才队伍建设规划；协助有关部门做好少数民族干部培养、教育和使用工作。依法管理宗教行政事务，保护公民宗教信仰自由和正常的宗教活动，维护宗教界的合法权益，引导各宗教坚持中国话方向。指导宗教团体依法依章程开展工作，加强自身建设；承担代表人士在宗教团体的安排工作。依法治理宗教领域的突出问题，抵御境外利用宗教进行渗透，配合有关部门做好防范和处理邪教工作。负责指导、协调、监督管理宗教界依法开展公益、慈善事业。负责指导全县各镇（区）及时处理民族宗教方面的突发事件和影响社会稳定的问题。</w:t>
      </w:r>
    </w:p>
    <w:p>
      <w:pPr>
        <w:pStyle w:val="23"/>
        <w:numPr>
          <w:ilvl w:val="0"/>
          <w:numId w:val="1"/>
        </w:numPr>
        <w:spacing w:line="600" w:lineRule="exact"/>
        <w:ind w:left="0" w:firstLine="64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联系、培养无党派代表人士，支持、帮助无党派人士加强自身建设、发挥作用。调查研究党外知识分子和新的社会阶层人士情况并提出政策建议，联系、培养党外知识分子和新的社会阶层代表人士，开展思想政治工作，指导学校、国有企业等有关单位和社会组织开展党外知识分子和新的社会阶层人士统战工作。</w:t>
      </w:r>
    </w:p>
    <w:p>
      <w:pPr>
        <w:pStyle w:val="23"/>
        <w:numPr>
          <w:ilvl w:val="0"/>
          <w:numId w:val="1"/>
        </w:numPr>
        <w:spacing w:line="600" w:lineRule="exact"/>
        <w:ind w:left="0" w:firstLine="64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参与制定、推动落实鼓励支持引导非公有制经济发展的政策措施，调查研究非公有制经济人士情况并提出政策建议，了解和反应非公有制经济人士的意见，团结、服务、引导、教育非公有制经济人士，促进非公有制经济健康发展和非公有制经济纪人士健康成长。</w:t>
      </w:r>
    </w:p>
    <w:p>
      <w:pPr>
        <w:pStyle w:val="23"/>
        <w:numPr>
          <w:ilvl w:val="0"/>
          <w:numId w:val="1"/>
        </w:numPr>
        <w:spacing w:line="600" w:lineRule="exact"/>
        <w:ind w:left="0" w:firstLine="64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统一领导全县海外统战工作，牵头开展港澳统战工作。贯彻落实党的海外统战工作措施并组织协调、督促检查落实，会同有关部门对香港、澳门有关党派、团体及代表人士，联系海外有关社团及代表人士，做好统一战线外事管理工作。</w:t>
      </w:r>
    </w:p>
    <w:p>
      <w:pPr>
        <w:pStyle w:val="23"/>
        <w:numPr>
          <w:ilvl w:val="0"/>
          <w:numId w:val="1"/>
        </w:numPr>
        <w:spacing w:line="600" w:lineRule="exact"/>
        <w:ind w:left="0" w:firstLine="64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贯彻执行党中央、国务院对台工作的方针政策。在县委、县政府的统一领导下，开展对台工作调查并结合我县实际提出对策和建议。对全县涉台工作实施统一管理。组织、指导、管理、协调县委、县政府各部门和各镇（区）的对台工作；检查了解各镇（区）、县直各部门对党中央、国务院对台方针政策和省委、省政府，市委、市政府，县委、县政府有关对台工作指示贯彻落实情况。调查研究台湾形势和经贸之间交流往来动向，提出对策建议。统筹协调涉台法律事务。会同有关部门统筹协调和指导对台经贸工作。组织重要台商的投资活动，参与县政府对台大型招商活动。协调、指导全县涉台金融、文化、学术、教育、科技、体育、卫生等领域的交流与合作及人员往来工作。负责我县赴台交流事项的申报、赴台交流人员的行前指导及归后总结工作；负责对台湾上层重点人士的联络和我县台胞的接待服务工作。负责全县对台宣传和涉台教育工作。指导全县宣传媒体涉台新闻报道工作；负责全县有关涉台事务的新闻发布；协调、处理县内涉台重大事件；负责对全县对台工作干部的培训工作。指导民主党派、工商联和其他群众团体有关重点人士、重大活动方面的涉台工作。按中央有关规定，负责全县对台接触的组织实施。负责县委对台工作领导小组的日常工作。完成县委、县政府和市台办交办的其他任务。</w:t>
      </w:r>
    </w:p>
    <w:p>
      <w:pPr>
        <w:pStyle w:val="23"/>
        <w:numPr>
          <w:ilvl w:val="0"/>
          <w:numId w:val="1"/>
        </w:numPr>
        <w:spacing w:line="600" w:lineRule="exact"/>
        <w:ind w:left="0" w:firstLine="64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统一管理全县侨务工作，贯彻落实党的侨务工作方针政策并组织协调、督促检查落实，调查研究侨情和侨务工作情况，管理侨务行政事务，统筹协调有关部门和社会团体涉侨工作，联系海外有关侨团和代表人士，指导推动涉侨宣传、文化交流、华文教育工作等，保护华侨和归侨侨眷在县内的合法权利和利益。</w:t>
      </w:r>
    </w:p>
    <w:p>
      <w:pPr>
        <w:pStyle w:val="23"/>
        <w:numPr>
          <w:ilvl w:val="0"/>
          <w:numId w:val="1"/>
        </w:numPr>
        <w:spacing w:line="600" w:lineRule="exact"/>
        <w:ind w:left="0" w:firstLine="64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受县委委托，领导县工商联党组，指导工商联工作。做好统一战线有关单位和团体的管理工作。</w:t>
      </w:r>
    </w:p>
    <w:p>
      <w:pPr>
        <w:spacing w:line="584" w:lineRule="exact"/>
        <w:ind w:firstLine="6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承办县委、县政府和上级业务主管部门交办的其他事项。</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hint="eastAsia" w:ascii="Times New Roman" w:hAnsi="Times New Roman" w:eastAsia="仿宋_GB2312" w:cs="Times New Roman"/>
          <w:b/>
          <w:sz w:val="32"/>
          <w:szCs w:val="24"/>
          <w:lang w:eastAsia="zh-CN"/>
        </w:rPr>
        <w:t>单位</w:t>
      </w:r>
      <w:r>
        <w:rPr>
          <w:rFonts w:ascii="Times New Roman" w:hAnsi="Times New Roman" w:eastAsia="仿宋_GB2312" w:cs="Times New Roman"/>
          <w:b/>
          <w:sz w:val="32"/>
          <w:szCs w:val="24"/>
        </w:rPr>
        <w:t>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134"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276"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2902"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hint="eastAsia" w:ascii="Times New Roman" w:hAnsi="Times New Roman" w:eastAsia="仿宋_GB2312" w:cs="Times New Roman"/>
                <w:b/>
                <w:kern w:val="2"/>
                <w:sz w:val="21"/>
                <w:szCs w:val="22"/>
                <w:lang w:val="en-US" w:eastAsia="zh-CN" w:bidi="ar-SA"/>
              </w:rPr>
            </w:pPr>
            <w:r>
              <w:rPr>
                <w:rFonts w:hint="eastAsia" w:ascii="Times New Roman" w:hAnsi="Times New Roman" w:eastAsia="仿宋_GB2312" w:cs="Times New Roman"/>
                <w:b/>
                <w:lang w:eastAsia="zh-CN"/>
              </w:rPr>
              <w:t>中共大城县委统一战线工作部</w:t>
            </w:r>
          </w:p>
        </w:tc>
        <w:tc>
          <w:tcPr>
            <w:tcW w:w="1134" w:type="dxa"/>
            <w:shd w:val="clear" w:color="auto" w:fill="auto"/>
            <w:vAlign w:val="center"/>
          </w:tcPr>
          <w:p>
            <w:pPr>
              <w:spacing w:line="584" w:lineRule="exact"/>
              <w:jc w:val="center"/>
              <w:rPr>
                <w:rFonts w:hint="eastAsia" w:ascii="Times New Roman" w:hAnsi="Times New Roman" w:eastAsia="仿宋_GB2312" w:cs="Times New Roman"/>
                <w:b/>
                <w:kern w:val="2"/>
                <w:sz w:val="21"/>
                <w:szCs w:val="22"/>
                <w:lang w:val="en-US" w:eastAsia="zh-CN" w:bidi="ar-SA"/>
              </w:rPr>
            </w:pPr>
            <w:r>
              <w:rPr>
                <w:rFonts w:hint="eastAsia" w:ascii="Times New Roman" w:hAnsi="Times New Roman" w:eastAsia="仿宋_GB2312" w:cs="Times New Roman"/>
                <w:b/>
                <w:lang w:eastAsia="zh-CN"/>
              </w:rPr>
              <w:t>行政机关</w:t>
            </w:r>
          </w:p>
        </w:tc>
        <w:tc>
          <w:tcPr>
            <w:tcW w:w="1276" w:type="dxa"/>
            <w:shd w:val="clear" w:color="auto" w:fill="auto"/>
            <w:vAlign w:val="center"/>
          </w:tcPr>
          <w:p>
            <w:pPr>
              <w:spacing w:line="584" w:lineRule="exact"/>
              <w:jc w:val="center"/>
              <w:rPr>
                <w:rFonts w:hint="eastAsia" w:ascii="Times New Roman" w:hAnsi="Times New Roman" w:eastAsia="仿宋_GB2312" w:cs="Times New Roman"/>
                <w:b/>
                <w:kern w:val="2"/>
                <w:sz w:val="21"/>
                <w:szCs w:val="22"/>
                <w:lang w:val="en-US" w:eastAsia="zh-CN" w:bidi="ar-SA"/>
              </w:rPr>
            </w:pPr>
            <w:r>
              <w:rPr>
                <w:rFonts w:hint="eastAsia" w:ascii="Times New Roman" w:hAnsi="Times New Roman" w:eastAsia="仿宋_GB2312" w:cs="Times New Roman"/>
                <w:b/>
                <w:lang w:eastAsia="zh-CN"/>
              </w:rPr>
              <w:t>正科级</w:t>
            </w:r>
          </w:p>
        </w:tc>
        <w:tc>
          <w:tcPr>
            <w:tcW w:w="2902" w:type="dxa"/>
            <w:shd w:val="clear" w:color="auto" w:fill="auto"/>
            <w:vAlign w:val="center"/>
          </w:tcPr>
          <w:p>
            <w:pPr>
              <w:spacing w:line="584" w:lineRule="exact"/>
              <w:jc w:val="center"/>
              <w:rPr>
                <w:rFonts w:hint="eastAsia" w:ascii="Times New Roman" w:hAnsi="Times New Roman" w:eastAsia="仿宋_GB2312" w:cs="Times New Roman"/>
                <w:b/>
                <w:kern w:val="2"/>
                <w:sz w:val="21"/>
                <w:szCs w:val="22"/>
                <w:lang w:val="en-US" w:eastAsia="zh-CN" w:bidi="ar-SA"/>
              </w:rPr>
            </w:pPr>
            <w:r>
              <w:rPr>
                <w:rFonts w:hint="eastAsia" w:ascii="Times New Roman" w:hAnsi="Times New Roman" w:eastAsia="仿宋_GB2312" w:cs="Times New Roman"/>
                <w:b/>
                <w:lang w:eastAsia="zh-CN"/>
              </w:rPr>
              <w:t>财政拨款（行政）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left"/>
              <w:rPr>
                <w:rFonts w:ascii="Times New Roman" w:hAnsi="Times New Roman" w:eastAsia="仿宋_GB2312" w:cs="Times New Roman"/>
              </w:rPr>
            </w:pPr>
          </w:p>
        </w:tc>
        <w:tc>
          <w:tcPr>
            <w:tcW w:w="1134" w:type="dxa"/>
            <w:shd w:val="clear" w:color="auto" w:fill="auto"/>
            <w:vAlign w:val="center"/>
          </w:tcPr>
          <w:p>
            <w:pPr>
              <w:spacing w:line="584" w:lineRule="exact"/>
              <w:jc w:val="center"/>
              <w:rPr>
                <w:rFonts w:ascii="Times New Roman" w:hAnsi="Times New Roman" w:eastAsia="仿宋_GB2312" w:cs="Times New Roman"/>
              </w:rPr>
            </w:pPr>
          </w:p>
        </w:tc>
        <w:tc>
          <w:tcPr>
            <w:tcW w:w="1276" w:type="dxa"/>
            <w:shd w:val="clear" w:color="auto" w:fill="auto"/>
            <w:vAlign w:val="center"/>
          </w:tcPr>
          <w:p>
            <w:pPr>
              <w:spacing w:line="584" w:lineRule="exact"/>
              <w:jc w:val="center"/>
              <w:rPr>
                <w:rFonts w:ascii="Times New Roman" w:hAnsi="Times New Roman" w:eastAsia="仿宋_GB2312" w:cs="Times New Roman"/>
              </w:rPr>
            </w:pPr>
          </w:p>
        </w:tc>
        <w:tc>
          <w:tcPr>
            <w:tcW w:w="2902" w:type="dxa"/>
            <w:shd w:val="clear" w:color="auto" w:fill="auto"/>
            <w:vAlign w:val="center"/>
          </w:tcPr>
          <w:p>
            <w:pPr>
              <w:spacing w:line="584" w:lineRule="exact"/>
              <w:jc w:val="center"/>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left"/>
              <w:rPr>
                <w:rFonts w:ascii="Times New Roman" w:hAnsi="Times New Roman" w:eastAsia="仿宋_GB2312" w:cs="Times New Roman"/>
              </w:rPr>
            </w:pPr>
          </w:p>
        </w:tc>
        <w:tc>
          <w:tcPr>
            <w:tcW w:w="1134" w:type="dxa"/>
            <w:shd w:val="clear" w:color="auto" w:fill="auto"/>
            <w:vAlign w:val="center"/>
          </w:tcPr>
          <w:p>
            <w:pPr>
              <w:spacing w:line="584" w:lineRule="exact"/>
              <w:jc w:val="center"/>
              <w:rPr>
                <w:rFonts w:ascii="Times New Roman" w:hAnsi="Times New Roman" w:eastAsia="仿宋_GB2312" w:cs="Times New Roman"/>
              </w:rPr>
            </w:pPr>
          </w:p>
        </w:tc>
        <w:tc>
          <w:tcPr>
            <w:tcW w:w="1276" w:type="dxa"/>
            <w:shd w:val="clear" w:color="auto" w:fill="auto"/>
            <w:vAlign w:val="center"/>
          </w:tcPr>
          <w:p>
            <w:pPr>
              <w:spacing w:line="584" w:lineRule="exact"/>
              <w:jc w:val="center"/>
              <w:rPr>
                <w:rFonts w:ascii="Times New Roman" w:hAnsi="Times New Roman" w:eastAsia="仿宋_GB2312" w:cs="Times New Roman"/>
              </w:rPr>
            </w:pPr>
          </w:p>
        </w:tc>
        <w:tc>
          <w:tcPr>
            <w:tcW w:w="2902" w:type="dxa"/>
            <w:shd w:val="clear" w:color="auto" w:fill="auto"/>
            <w:vAlign w:val="center"/>
          </w:tcPr>
          <w:p>
            <w:pPr>
              <w:spacing w:line="584" w:lineRule="exact"/>
              <w:jc w:val="center"/>
              <w:rPr>
                <w:rFonts w:ascii="Times New Roman" w:hAnsi="Times New Roman" w:eastAsia="仿宋_GB2312" w:cs="Times New Roman"/>
              </w:rPr>
            </w:pPr>
          </w:p>
        </w:tc>
      </w:tr>
    </w:tbl>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二、</w:t>
      </w:r>
      <w:r>
        <w:rPr>
          <w:rFonts w:hint="eastAsia" w:ascii="Times New Roman" w:hAnsi="黑体" w:eastAsia="黑体" w:cs="Times New Roman"/>
          <w:sz w:val="32"/>
          <w:szCs w:val="32"/>
          <w:lang w:eastAsia="zh-CN"/>
        </w:rPr>
        <w:t>单位</w:t>
      </w:r>
      <w:r>
        <w:rPr>
          <w:rFonts w:ascii="Times New Roman" w:hAnsi="黑体" w:eastAsia="黑体" w:cs="Times New Roman"/>
          <w:sz w:val="32"/>
          <w:szCs w:val="32"/>
        </w:rPr>
        <w:t>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lang w:eastAsia="zh-CN"/>
        </w:rPr>
        <w:t>县单位</w:t>
      </w:r>
      <w:r>
        <w:rPr>
          <w:rFonts w:ascii="Times New Roman" w:hAnsi="Times New Roman" w:eastAsia="仿宋_GB2312" w:cs="Times New Roman"/>
          <w:sz w:val="32"/>
          <w:szCs w:val="32"/>
        </w:rPr>
        <w:t>预算的编制实行综合预算制度，即全部收入和支出都反映在预算中。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当年全部收入。20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lang w:val="en-US" w:eastAsia="zh-CN"/>
        </w:rPr>
        <w:t>287.44</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287.44</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lang w:eastAsia="zh-CN"/>
        </w:rPr>
        <w:t>大城县</w:t>
      </w:r>
      <w:r>
        <w:rPr>
          <w:rFonts w:hint="eastAsia" w:ascii="Times New Roman" w:hAnsi="Times New Roman" w:eastAsia="仿宋_GB2312" w:cs="Times New Roman"/>
          <w:sz w:val="32"/>
          <w:szCs w:val="32"/>
          <w:lang w:val="en-US" w:eastAsia="zh-CN"/>
        </w:rPr>
        <w:t>2023</w:t>
      </w:r>
      <w:r>
        <w:rPr>
          <w:rFonts w:ascii="Times New Roman" w:hAnsi="Times New Roman" w:eastAsia="仿宋_GB2312" w:cs="Times New Roman"/>
          <w:sz w:val="32"/>
          <w:szCs w:val="32"/>
        </w:rPr>
        <w:t>年度</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预算中支出预算的总体情况。20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lang w:val="en-US" w:eastAsia="zh-CN"/>
        </w:rPr>
        <w:t>287.44</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281.60</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lang w:val="en-US" w:eastAsia="zh-CN"/>
        </w:rPr>
        <w:t>256.39</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lang w:val="en-US" w:eastAsia="zh-CN"/>
        </w:rPr>
        <w:t>5.84</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民族事业经费</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宗教联络员工作经费</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建档立卡扶贫经费</w:t>
      </w:r>
      <w:r>
        <w:rPr>
          <w:rFonts w:ascii="Times New Roman" w:hAnsi="Times New Roman" w:eastAsia="仿宋_GB2312" w:cs="Times New Roman"/>
          <w:sz w:val="32"/>
          <w:szCs w:val="32"/>
        </w:rPr>
        <w:t>等。</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lang w:val="en-US" w:eastAsia="zh-CN"/>
        </w:rPr>
        <w:t>287.44</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年预算</w:t>
      </w:r>
      <w:r>
        <w:rPr>
          <w:rFonts w:hint="eastAsia" w:ascii="Times New Roman" w:hAnsi="Times New Roman" w:eastAsia="仿宋_GB2312" w:cs="Times New Roman"/>
          <w:sz w:val="32"/>
          <w:szCs w:val="32"/>
          <w:lang w:eastAsia="zh-CN"/>
        </w:rPr>
        <w:t>减少</w:t>
      </w:r>
      <w:r>
        <w:rPr>
          <w:rFonts w:hint="eastAsia" w:ascii="Times New Roman" w:hAnsi="Times New Roman" w:eastAsia="仿宋_GB2312" w:cs="Times New Roman"/>
          <w:sz w:val="32"/>
          <w:szCs w:val="32"/>
          <w:lang w:val="en-US" w:eastAsia="zh-CN"/>
        </w:rPr>
        <w:t>55.72</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eastAsia="zh-CN"/>
        </w:rPr>
        <w:t>增加</w:t>
      </w:r>
      <w:r>
        <w:rPr>
          <w:rFonts w:hint="eastAsia" w:ascii="Times New Roman" w:hAnsi="Times New Roman" w:eastAsia="仿宋_GB2312" w:cs="Times New Roman"/>
          <w:sz w:val="32"/>
          <w:szCs w:val="32"/>
          <w:lang w:val="en-US" w:eastAsia="zh-CN"/>
        </w:rPr>
        <w:t>56.28</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人员</w:t>
      </w:r>
      <w:r>
        <w:rPr>
          <w:rFonts w:ascii="Times New Roman" w:hAnsi="Times New Roman" w:eastAsia="仿宋_GB2312" w:cs="Times New Roman"/>
          <w:sz w:val="32"/>
          <w:szCs w:val="32"/>
        </w:rPr>
        <w:t>支出；项目支出</w:t>
      </w:r>
      <w:r>
        <w:rPr>
          <w:rFonts w:hint="eastAsia" w:ascii="Times New Roman" w:hAnsi="Times New Roman" w:eastAsia="仿宋_GB2312" w:cs="Times New Roman"/>
          <w:sz w:val="32"/>
          <w:szCs w:val="32"/>
          <w:lang w:eastAsia="zh-CN"/>
        </w:rPr>
        <w:t>减少</w:t>
      </w:r>
      <w:r>
        <w:rPr>
          <w:rFonts w:hint="eastAsia" w:ascii="Times New Roman" w:hAnsi="Times New Roman" w:eastAsia="仿宋_GB2312" w:cs="Times New Roman"/>
          <w:sz w:val="32"/>
          <w:szCs w:val="32"/>
          <w:lang w:val="en-US" w:eastAsia="zh-CN"/>
        </w:rPr>
        <w:t>112</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构建大统战格局</w:t>
      </w:r>
      <w:r>
        <w:rPr>
          <w:rFonts w:ascii="Times New Roman" w:hAnsi="Times New Roman" w:eastAsia="仿宋_GB2312" w:cs="Times New Roman"/>
          <w:sz w:val="32"/>
          <w:szCs w:val="32"/>
        </w:rPr>
        <w:t>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机关运行经费共计安排</w:t>
      </w:r>
      <w:r>
        <w:rPr>
          <w:rFonts w:hint="eastAsia" w:ascii="Times New Roman" w:hAnsi="Times New Roman" w:eastAsia="仿宋_GB2312" w:cs="Times New Roman"/>
          <w:sz w:val="32"/>
          <w:szCs w:val="32"/>
          <w:lang w:val="en-US" w:eastAsia="zh-CN"/>
        </w:rPr>
        <w:t>25.21</w:t>
      </w:r>
      <w:r>
        <w:rPr>
          <w:rFonts w:ascii="Times New Roman" w:hAnsi="Times New Roman" w:eastAsia="仿宋_GB2312" w:cs="Times New Roman"/>
          <w:sz w:val="32"/>
          <w:szCs w:val="32"/>
        </w:rPr>
        <w:t>万元，主要用于办公区的日常维修、办公用房水电费、办公用房取暖费、办公用房物业管理费等日常运行支出。</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hint="eastAsia" w:ascii="Times New Roman" w:hAnsi="Times New Roman" w:eastAsia="仿宋_GB2312" w:cs="Times New Roman"/>
          <w:sz w:val="32"/>
          <w:szCs w:val="32"/>
          <w:lang w:eastAsia="zh-CN"/>
        </w:rPr>
        <w:t>持平，无增减变化。</w:t>
      </w:r>
    </w:p>
    <w:p>
      <w:pPr>
        <w:spacing w:line="584" w:lineRule="exact"/>
        <w:ind w:firstLine="640" w:firstLineChars="200"/>
        <w:rPr>
          <w:rFonts w:ascii="Times New Roman" w:hAnsi="黑体" w:eastAsia="黑体" w:cs="Times New Roman"/>
          <w:sz w:val="32"/>
          <w:szCs w:val="32"/>
        </w:rPr>
      </w:pPr>
      <w:r>
        <w:rPr>
          <w:rFonts w:ascii="Times New Roman" w:hAnsi="黑体" w:eastAsia="黑体" w:cs="Times New Roman"/>
          <w:sz w:val="32"/>
          <w:szCs w:val="32"/>
        </w:rPr>
        <w:t>五、预算绩效信息</w:t>
      </w:r>
    </w:p>
    <w:p>
      <w:pPr>
        <w:spacing w:line="584" w:lineRule="exact"/>
        <w:ind w:firstLine="640" w:firstLineChars="200"/>
        <w:rPr>
          <w:rFonts w:ascii="Times New Roman" w:hAnsi="黑体" w:eastAsia="黑体" w:cs="Times New Roman"/>
          <w:sz w:val="32"/>
          <w:szCs w:val="32"/>
        </w:rPr>
      </w:pPr>
      <w:r>
        <w:rPr>
          <w:rFonts w:hint="eastAsia" w:ascii="Times New Roman" w:hAnsi="黑体" w:eastAsia="黑体" w:cs="Times New Roman"/>
          <w:sz w:val="32"/>
          <w:szCs w:val="32"/>
        </w:rPr>
        <w:t>第一部分</w:t>
      </w:r>
      <w:r>
        <w:rPr>
          <w:rFonts w:hint="eastAsia" w:ascii="Times New Roman" w:hAnsi="黑体" w:eastAsia="黑体" w:cs="Times New Roman"/>
          <w:sz w:val="32"/>
          <w:szCs w:val="32"/>
          <w:lang w:eastAsia="zh-CN"/>
        </w:rPr>
        <w:t>单位</w:t>
      </w:r>
      <w:r>
        <w:rPr>
          <w:rFonts w:hint="eastAsia" w:ascii="Times New Roman" w:hAnsi="黑体" w:eastAsia="黑体" w:cs="Times New Roman"/>
          <w:sz w:val="32"/>
          <w:szCs w:val="32"/>
        </w:rPr>
        <w:t>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spacing w:line="584" w:lineRule="exact"/>
        <w:ind w:firstLine="640" w:firstLineChars="200"/>
        <w:rPr>
          <w:rFonts w:hint="eastAsia"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组织贯彻执行中央、省、市、县委关于党的统一战线方针、政策、指示、决议并对贯彻落实各项统战方针、政策进行督促检查；负责党外人士的政治安排，会同县委组织部做好培养、选拔工作；协调检查有关民族、宗教工作方针、政策的落实情况，联系宗教界、少数民族的代表人士。开展以经济建设为中心，祖国统一为重点的海外统战工作，联系海外有关社团及代表人士；负责开展经济领域的统战工作，联系非公有制经济代表人士，调查、研究并反映我县非公有制经济代表人士的情况、协调关系、提出意见和建议；调查研究党外知识分子的情况，反映党外知识分子的意见，协调关系、提出政策建议；完成县委和上级业务部门交办的其他任务。</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spacing w:line="584" w:lineRule="exact"/>
        <w:ind w:firstLine="640" w:firstLineChars="200"/>
        <w:rPr>
          <w:rFonts w:hint="eastAsia"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lang w:val="en-US" w:eastAsia="zh-CN"/>
        </w:rPr>
        <w:t>一、完成宗教</w:t>
      </w:r>
      <w:r>
        <w:rPr>
          <w:rFonts w:hint="default" w:ascii="仿宋_GB2312" w:hAnsi="Times New Roman" w:eastAsia="仿宋_GB2312"/>
          <w:color w:val="000000"/>
          <w:kern w:val="0"/>
          <w:sz w:val="32"/>
          <w:szCs w:val="32"/>
          <w:lang w:val="en-US" w:eastAsia="zh-CN"/>
        </w:rPr>
        <w:t>管理</w:t>
      </w:r>
      <w:r>
        <w:rPr>
          <w:rFonts w:hint="eastAsia" w:ascii="仿宋_GB2312" w:hAnsi="Times New Roman" w:eastAsia="仿宋_GB2312"/>
          <w:color w:val="000000"/>
          <w:kern w:val="0"/>
          <w:sz w:val="32"/>
          <w:szCs w:val="32"/>
          <w:lang w:val="en-US" w:eastAsia="zh-CN"/>
        </w:rPr>
        <w:t>工作</w:t>
      </w:r>
    </w:p>
    <w:p>
      <w:pPr>
        <w:spacing w:line="584" w:lineRule="exact"/>
        <w:ind w:firstLine="640" w:firstLineChars="200"/>
        <w:rPr>
          <w:rFonts w:hint="default"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lang w:val="en-US" w:eastAsia="zh-CN"/>
        </w:rPr>
        <w:t>绩效目标：着力解决制约宗教工作的突出问题、加强党的宗教理论政策宣传教育，提升宗教工作法治水平，加强爱国力量建设。</w:t>
      </w:r>
    </w:p>
    <w:p>
      <w:pPr>
        <w:spacing w:line="584" w:lineRule="exact"/>
        <w:ind w:firstLine="640" w:firstLineChars="200"/>
        <w:rPr>
          <w:rFonts w:hint="default"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lang w:val="en-US" w:eastAsia="zh-CN"/>
        </w:rPr>
        <w:t>绩效指标：准确把握宗教工作面临的形势和任务，坚持综合治理、依法管理构建和谐共处的宗教环境。</w:t>
      </w:r>
    </w:p>
    <w:p>
      <w:pPr>
        <w:spacing w:line="584" w:lineRule="exact"/>
        <w:ind w:firstLine="640" w:firstLineChars="200"/>
        <w:rPr>
          <w:rFonts w:hint="default"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lang w:val="en-US" w:eastAsia="zh-CN"/>
        </w:rPr>
        <w:t>二、完成统战（党外）管理工作</w:t>
      </w:r>
    </w:p>
    <w:p>
      <w:pPr>
        <w:spacing w:line="584" w:lineRule="exact"/>
        <w:ind w:firstLine="640" w:firstLineChars="200"/>
        <w:rPr>
          <w:rFonts w:hint="default"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lang w:val="en-US" w:eastAsia="zh-CN"/>
        </w:rPr>
        <w:t>绩效目标：提升党外代表人士的政治把握、参政议政、组织领导、合作共事和解决自身问题的能力，充分发挥党外知识分子的知名度和影响力，开展党外工作良好的社会氛围。</w:t>
      </w:r>
    </w:p>
    <w:p>
      <w:pPr>
        <w:spacing w:line="584" w:lineRule="exact"/>
        <w:ind w:firstLine="640" w:firstLineChars="200"/>
        <w:rPr>
          <w:rFonts w:hint="default"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lang w:val="en-US" w:eastAsia="zh-CN"/>
        </w:rPr>
        <w:t>绩效指标：为推动大城发展，提供强有力的思想保证和人才支持。</w:t>
      </w:r>
    </w:p>
    <w:p>
      <w:pPr>
        <w:spacing w:line="584" w:lineRule="exact"/>
        <w:ind w:firstLine="640" w:firstLineChars="200"/>
        <w:rPr>
          <w:rFonts w:hint="default"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lang w:val="en-US" w:eastAsia="zh-CN"/>
        </w:rPr>
        <w:t>三、完成非公有制管理工作</w:t>
      </w:r>
    </w:p>
    <w:p>
      <w:pPr>
        <w:spacing w:line="584" w:lineRule="exact"/>
        <w:ind w:firstLine="640" w:firstLineChars="200"/>
        <w:rPr>
          <w:rFonts w:hint="default"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lang w:val="en-US" w:eastAsia="zh-CN"/>
        </w:rPr>
        <w:t>绩效目标：切实加强领导、政府及有关部门制定非公有制经济有关政策和在协调非公有制经济有关工作时，广泛征求和听取非公经济人士的意见。</w:t>
      </w:r>
    </w:p>
    <w:p>
      <w:pPr>
        <w:spacing w:line="584" w:lineRule="exact"/>
        <w:ind w:firstLine="640" w:firstLineChars="200"/>
        <w:rPr>
          <w:rFonts w:hint="default"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lang w:val="en-US" w:eastAsia="zh-CN"/>
        </w:rPr>
        <w:t>绩效指标：充分发挥非公经济人士在统战工作的重要作用。</w:t>
      </w:r>
    </w:p>
    <w:p>
      <w:pPr>
        <w:spacing w:line="584" w:lineRule="exact"/>
        <w:ind w:firstLine="640" w:firstLineChars="200"/>
        <w:rPr>
          <w:rFonts w:hint="default"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lang w:val="en-US" w:eastAsia="zh-CN"/>
        </w:rPr>
        <w:t>四、完成对台管理工作</w:t>
      </w:r>
    </w:p>
    <w:p>
      <w:pPr>
        <w:spacing w:line="584" w:lineRule="exact"/>
        <w:ind w:firstLine="640" w:firstLineChars="200"/>
        <w:rPr>
          <w:rFonts w:hint="default"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lang w:val="en-US" w:eastAsia="zh-CN"/>
        </w:rPr>
        <w:t>绩效目标：促进两岸民间往来，加强与反对“台独”，主张发展两岸关系的台湾各党派、团体和各界人士的交流。</w:t>
      </w:r>
    </w:p>
    <w:p>
      <w:pPr>
        <w:spacing w:line="584" w:lineRule="exact"/>
        <w:ind w:firstLine="640" w:firstLineChars="200"/>
        <w:rPr>
          <w:rFonts w:hint="default"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lang w:val="en-US" w:eastAsia="zh-CN"/>
        </w:rPr>
        <w:t>绩效指标：努力做好争取台湾民心的工作。</w:t>
      </w:r>
    </w:p>
    <w:p>
      <w:pPr>
        <w:spacing w:line="584" w:lineRule="exact"/>
        <w:ind w:firstLine="640" w:firstLineChars="200"/>
        <w:rPr>
          <w:rFonts w:hint="default"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lang w:val="en-US" w:eastAsia="zh-CN"/>
        </w:rPr>
        <w:t>五、完成新社会阶层管理工作</w:t>
      </w:r>
    </w:p>
    <w:p>
      <w:pPr>
        <w:spacing w:line="584" w:lineRule="exact"/>
        <w:ind w:firstLine="640" w:firstLineChars="200"/>
        <w:rPr>
          <w:rFonts w:hint="default"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lang w:val="en-US" w:eastAsia="zh-CN"/>
        </w:rPr>
        <w:t>绩效目标：把新的社会阶层人士作为统一战线工作新的着力点，最大限度地把他们团结在党的周围。</w:t>
      </w:r>
    </w:p>
    <w:p>
      <w:pPr>
        <w:spacing w:line="584" w:lineRule="exact"/>
        <w:ind w:firstLine="640" w:firstLineChars="200"/>
        <w:rPr>
          <w:rFonts w:hint="default"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lang w:val="en-US" w:eastAsia="zh-CN"/>
        </w:rPr>
        <w:t>绩效指标：形成新的社会阶层人士统战工作的合力，不断为建设“产业强县、大美大城”凝聚新力量。</w:t>
      </w:r>
    </w:p>
    <w:p>
      <w:pPr>
        <w:spacing w:line="584" w:lineRule="exact"/>
        <w:ind w:firstLine="640" w:firstLineChars="200"/>
        <w:rPr>
          <w:rFonts w:hint="default"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lang w:val="en-US" w:eastAsia="zh-CN"/>
        </w:rPr>
        <w:t>六、完成少数民族发展管理工作</w:t>
      </w:r>
    </w:p>
    <w:p>
      <w:pPr>
        <w:spacing w:line="584" w:lineRule="exact"/>
        <w:ind w:firstLine="640" w:firstLineChars="200"/>
        <w:rPr>
          <w:rFonts w:hint="default"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lang w:val="en-US" w:eastAsia="zh-CN"/>
        </w:rPr>
        <w:t>绩效目标：促进少数民族地方经济发展</w:t>
      </w:r>
    </w:p>
    <w:p>
      <w:pPr>
        <w:spacing w:line="584" w:lineRule="exact"/>
        <w:ind w:firstLine="640" w:firstLineChars="200"/>
        <w:rPr>
          <w:rFonts w:hint="default"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lang w:val="en-US" w:eastAsia="zh-CN"/>
        </w:rPr>
        <w:t>绩效指标：帮扶少数民族地区经济发展，改善贫困地区生产生活条件</w:t>
      </w:r>
    </w:p>
    <w:p>
      <w:pPr>
        <w:spacing w:line="584" w:lineRule="exact"/>
        <w:ind w:firstLine="640" w:firstLineChars="200"/>
        <w:rPr>
          <w:rFonts w:hint="default"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lang w:val="en-US" w:eastAsia="zh-CN"/>
        </w:rPr>
        <w:t>七、完成归国华侨管理工作</w:t>
      </w:r>
    </w:p>
    <w:p>
      <w:pPr>
        <w:spacing w:line="584" w:lineRule="exact"/>
        <w:ind w:firstLine="640" w:firstLineChars="200"/>
        <w:rPr>
          <w:rFonts w:hint="default"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lang w:val="en-US" w:eastAsia="zh-CN"/>
        </w:rPr>
        <w:t>绩效目标：帮助归国华侨适应国内生活。</w:t>
      </w:r>
    </w:p>
    <w:p>
      <w:pPr>
        <w:spacing w:line="584" w:lineRule="exact"/>
        <w:ind w:firstLine="640" w:firstLineChars="200"/>
        <w:rPr>
          <w:rFonts w:hint="eastAsia" w:ascii="仿宋_GB2312" w:hAnsi="Times New Roman" w:eastAsia="仿宋_GB2312"/>
          <w:color w:val="000000"/>
          <w:kern w:val="0"/>
          <w:sz w:val="32"/>
          <w:szCs w:val="32"/>
          <w:lang w:val="en-US" w:eastAsia="zh-CN"/>
        </w:rPr>
      </w:pPr>
      <w:r>
        <w:rPr>
          <w:rFonts w:hint="eastAsia" w:ascii="仿宋_GB2312" w:hAnsi="Times New Roman" w:eastAsia="仿宋_GB2312"/>
          <w:color w:val="000000"/>
          <w:kern w:val="0"/>
          <w:sz w:val="32"/>
          <w:szCs w:val="32"/>
          <w:lang w:val="en-US" w:eastAsia="zh-CN"/>
        </w:rPr>
        <w:t>绩效指标：归国华侨生活补助，体现党对归国华侨日常生活的关怀。</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620" w:lineRule="exact"/>
        <w:ind w:firstLine="640"/>
        <w:rPr>
          <w:rFonts w:hint="eastAsia" w:ascii="仿宋_GB2312" w:hAnsi="Times New Roman" w:eastAsia="仿宋_GB2312" w:cs="Times New Roman"/>
          <w:kern w:val="0"/>
          <w:sz w:val="32"/>
          <w:szCs w:val="32"/>
        </w:rPr>
      </w:pPr>
      <w:r>
        <w:rPr>
          <w:rFonts w:hint="eastAsia" w:ascii="仿宋_GB2312" w:eastAsia="仿宋_GB2312" w:cs="仿宋"/>
          <w:kern w:val="0"/>
          <w:sz w:val="32"/>
          <w:szCs w:val="32"/>
        </w:rPr>
        <w:t>1</w:t>
      </w:r>
      <w:r>
        <w:rPr>
          <w:rFonts w:hint="eastAsia" w:ascii="仿宋_GB2312" w:hAnsi="仿宋" w:eastAsia="仿宋_GB2312" w:cs="仿宋"/>
          <w:kern w:val="0"/>
          <w:sz w:val="32"/>
          <w:szCs w:val="32"/>
        </w:rPr>
        <w:t>、综合办公室负责内外联系及日常协调工作，承担督查和目标任务绩效管理工作，承担公文处理、有关文稿起草。负责会务、信访、档案、后勤保障、国有资产管理、审计、保密等工作。组织开展统战系统信息化建设。负责机关党的建设工作。负责县委统一战线工作领导小组办公室的日常工作。</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620" w:lineRule="exact"/>
        <w:ind w:firstLine="640"/>
        <w:rPr>
          <w:rFonts w:hint="eastAsia" w:ascii="仿宋_GB2312" w:hAnsi="Times New Roman" w:eastAsia="仿宋_GB2312" w:cs="Times New Roman"/>
          <w:kern w:val="0"/>
          <w:sz w:val="32"/>
          <w:szCs w:val="32"/>
        </w:rPr>
      </w:pPr>
      <w:r>
        <w:rPr>
          <w:rFonts w:hint="eastAsia" w:ascii="仿宋_GB2312" w:hAnsi="仿宋" w:eastAsia="仿宋_GB2312" w:cs="仿宋"/>
          <w:kern w:val="0"/>
          <w:sz w:val="32"/>
          <w:szCs w:val="32"/>
        </w:rPr>
        <w:t>协调开展统一战线理论政策和法律法规研究，组织起草统战工作重要文稿。统筹规划统一战线有关规范性文件的制定工作，组织拟订统一战线工作综合性文件。负责拟订统一战线重点课题调研计划，协调部机关、相关部门开展研究，组织开展综合性课题调研。负责总结推广统战工作实践创新成果。</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620" w:lineRule="exact"/>
        <w:ind w:firstLine="640"/>
        <w:rPr>
          <w:rFonts w:hint="eastAsia" w:ascii="仿宋_GB2312" w:hAnsi="Times New Roman" w:eastAsia="仿宋_GB2312" w:cs="Times New Roman"/>
          <w:kern w:val="0"/>
          <w:sz w:val="32"/>
          <w:szCs w:val="32"/>
        </w:rPr>
      </w:pPr>
      <w:r>
        <w:rPr>
          <w:rFonts w:hint="eastAsia" w:ascii="仿宋_GB2312" w:hAnsi="仿宋" w:eastAsia="仿宋_GB2312" w:cs="仿宋"/>
          <w:kern w:val="0"/>
          <w:sz w:val="32"/>
          <w:szCs w:val="32"/>
        </w:rPr>
        <w:t>负责拟订全县统一战线宣传工作政策和口径，组织开展统一战线宣传工作，推动开展互联网统战工作，协调开展统一战线舆情分析并会同有关部门进行舆情引导和应急处置。负责编辑整理统一战线信息。配合有关部门做好海外统战宣传工作。协调指导统战系统单位的宣传工作。</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620" w:lineRule="exact"/>
        <w:rPr>
          <w:rFonts w:hint="eastAsia" w:ascii="仿宋_GB2312" w:hAnsi="Times New Roman" w:eastAsia="仿宋_GB2312" w:cs="Times New Roman"/>
          <w:kern w:val="0"/>
          <w:sz w:val="32"/>
          <w:szCs w:val="32"/>
        </w:rPr>
      </w:pPr>
      <w:r>
        <w:rPr>
          <w:rFonts w:hint="eastAsia" w:ascii="仿宋_GB2312" w:eastAsia="仿宋_GB2312" w:cs="仿宋"/>
          <w:kern w:val="0"/>
          <w:sz w:val="32"/>
          <w:szCs w:val="32"/>
        </w:rPr>
        <w:t xml:space="preserve">    2</w:t>
      </w:r>
      <w:r>
        <w:rPr>
          <w:rFonts w:hint="eastAsia" w:ascii="仿宋_GB2312" w:hAnsi="仿宋" w:eastAsia="仿宋_GB2312" w:cs="仿宋"/>
          <w:kern w:val="0"/>
          <w:sz w:val="32"/>
          <w:szCs w:val="32"/>
        </w:rPr>
        <w:t>、党外和新的社会阶层人士组负责党外代表人士的政治安排和担任政府、司法机关等领导职务的党外人士的培养、选拔、考察、推荐等工作。做好党外代表人士和优秀年轻干部队伍建设工作。负责党外代表人士、统战干部培训和党内领导干部统战理论方针政策培训的综合协调、规划和指导。协助各民主党派和有关统战团体做好干部人事管理工作，收集、管理党外代表人士档案资料，负责联系党外代表人士遗孀、遗属工作。联系各民主党派及民主党派代表人士，反映意见建议。对坚持、完善中国共产党的多党合作和政治协商制度及民主党派工作进行调研并提出建议。贯彻落实党对民主党派工作的方针政策，协调做好各民主党派履行参政议政、民主监督、参加中国共产党领导的政治协商职能的相关工作。协助各民主党派加强自身建设。</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620" w:lineRule="exact"/>
        <w:ind w:firstLine="640"/>
        <w:rPr>
          <w:rFonts w:hint="eastAsia" w:ascii="仿宋_GB2312" w:hAnsi="Times New Roman" w:eastAsia="仿宋_GB2312" w:cs="Times New Roman"/>
          <w:kern w:val="0"/>
          <w:sz w:val="32"/>
          <w:szCs w:val="32"/>
        </w:rPr>
      </w:pPr>
      <w:r>
        <w:rPr>
          <w:rFonts w:hint="eastAsia" w:ascii="仿宋_GB2312" w:eastAsia="仿宋_GB2312" w:cs="仿宋"/>
          <w:kern w:val="0"/>
          <w:sz w:val="32"/>
          <w:szCs w:val="32"/>
        </w:rPr>
        <w:t>3</w:t>
      </w:r>
      <w:r>
        <w:rPr>
          <w:rFonts w:hint="eastAsia" w:ascii="仿宋_GB2312" w:hAnsi="仿宋" w:eastAsia="仿宋_GB2312" w:cs="仿宋"/>
          <w:kern w:val="0"/>
          <w:sz w:val="32"/>
          <w:szCs w:val="32"/>
        </w:rPr>
        <w:t>、民族宗教组参与拟定少数民族干部人才队伍建设规划；承担联系少数民族干部的具体工作；配合有关部门承办少数民族干部的培养教育、选拔推荐工作；负责拟订民族方面相关政策措施；负责指导协调维护少数民族风俗习惯的管理工作，对清真食品市场监督检查；组织开展民族团结宣传教育、民族团体进步创建活动，指导流动少数民族群众服务管理工作。组织协调民族自治地方重大庆典活动；负责协调指导处涉外及涉港澳台民族方面的问题；负责对民族理论、政策及重大问题研究，开展重点课题调查研究，提出政策性意见建议。</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620" w:lineRule="exact"/>
        <w:ind w:firstLine="640"/>
        <w:rPr>
          <w:rFonts w:hint="eastAsia" w:ascii="仿宋_GB2312" w:hAnsi="Times New Roman" w:eastAsia="仿宋_GB2312" w:cs="Times New Roman"/>
          <w:kern w:val="0"/>
          <w:sz w:val="32"/>
          <w:szCs w:val="32"/>
        </w:rPr>
      </w:pPr>
      <w:r>
        <w:rPr>
          <w:rFonts w:hint="eastAsia" w:ascii="仿宋_GB2312" w:eastAsia="仿宋_GB2312" w:cs="仿宋"/>
          <w:kern w:val="0"/>
          <w:sz w:val="32"/>
          <w:szCs w:val="32"/>
        </w:rPr>
        <w:t>4</w:t>
      </w:r>
      <w:r>
        <w:rPr>
          <w:rFonts w:hint="eastAsia" w:ascii="仿宋_GB2312" w:hAnsi="仿宋" w:eastAsia="仿宋_GB2312" w:cs="仿宋"/>
          <w:kern w:val="0"/>
          <w:sz w:val="32"/>
          <w:szCs w:val="32"/>
        </w:rPr>
        <w:t>、非公有制经济统战工作组参与制定、推动落实鼓励支持引导非公有制经济发展的政策措施，了解贯彻落实情况并提出工作建议。开展非公有制经济领域统战工作调查研究，提出政策建议。联系、培养非公有制经济代表人士，开展思想政治工作，了解、反映意见建议，推动构建亲清新型政商关系。协助有关部门做好非公有制经济组织党建工作。协调指导非公有制经济人士综合评价工作。组织推动工商和非公有制经济人士投身公益慈善事业，引导非公有制经济人士开展光彩事业。承办市工商联交办的工作。</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620" w:lineRule="exact"/>
        <w:ind w:firstLine="640"/>
        <w:rPr>
          <w:rFonts w:hint="eastAsia" w:ascii="仿宋_GB2312" w:hAnsi="仿宋" w:eastAsia="仿宋_GB2312" w:cs="仿宋"/>
          <w:color w:val="000000" w:themeColor="text1"/>
          <w:kern w:val="0"/>
          <w:sz w:val="32"/>
          <w:szCs w:val="32"/>
        </w:rPr>
      </w:pPr>
      <w:r>
        <w:rPr>
          <w:rFonts w:hint="eastAsia" w:ascii="仿宋_GB2312" w:eastAsia="仿宋_GB2312" w:cs="仿宋"/>
          <w:color w:val="000000" w:themeColor="text1"/>
          <w:kern w:val="0"/>
          <w:sz w:val="32"/>
          <w:szCs w:val="32"/>
        </w:rPr>
        <w:t>5</w:t>
      </w:r>
      <w:r>
        <w:rPr>
          <w:rFonts w:hint="eastAsia" w:ascii="仿宋_GB2312" w:hAnsi="仿宋" w:eastAsia="仿宋_GB2312" w:cs="仿宋"/>
          <w:color w:val="000000" w:themeColor="text1"/>
          <w:kern w:val="0"/>
          <w:sz w:val="32"/>
          <w:szCs w:val="32"/>
        </w:rPr>
        <w:t>、严格落实督导。（1）</w:t>
      </w:r>
      <w:r>
        <w:rPr>
          <w:rFonts w:hint="eastAsia" w:ascii="仿宋_GB2312" w:hAnsi="仿宋" w:eastAsia="仿宋_GB2312" w:cs="仿宋"/>
          <w:color w:val="000000" w:themeColor="text1"/>
          <w:kern w:val="0"/>
          <w:sz w:val="32"/>
          <w:szCs w:val="32"/>
          <w:shd w:val="clear" w:color="auto" w:fill="FFFFFF"/>
        </w:rPr>
        <w:t>单位执行国家《预算法》、</w:t>
      </w:r>
      <w:r>
        <w:rPr>
          <w:rFonts w:hint="eastAsia" w:ascii="仿宋_GB2312" w:hAnsi="仿宋" w:eastAsia="仿宋_GB2312" w:cs="仿宋"/>
          <w:color w:val="000000" w:themeColor="text1"/>
          <w:kern w:val="0"/>
          <w:sz w:val="32"/>
          <w:szCs w:val="32"/>
          <w:shd w:val="clear" w:color="auto" w:fill="FFFFFF"/>
          <w:lang w:eastAsia="zh-CN"/>
        </w:rPr>
        <w:t>《中华人民共和国会计法》</w:t>
      </w:r>
      <w:r>
        <w:rPr>
          <w:rFonts w:hint="eastAsia" w:ascii="仿宋_GB2312" w:hAnsi="仿宋" w:eastAsia="仿宋_GB2312" w:cs="仿宋"/>
          <w:color w:val="000000" w:themeColor="text1"/>
          <w:kern w:val="0"/>
          <w:sz w:val="32"/>
          <w:szCs w:val="32"/>
          <w:shd w:val="clear" w:color="auto" w:fill="FFFFFF"/>
        </w:rPr>
        <w:t>、《政府会计准则》、《政府会计制度》等规定，并结合单位情况制定了《大城县统计局财务管理制度》单位内控制度完整，包含了预算资金管理、内部财务管理、会计核算等方面。</w:t>
      </w:r>
      <w:r>
        <w:rPr>
          <w:rFonts w:hint="eastAsia" w:ascii="仿宋_GB2312" w:hAnsi="仿宋" w:eastAsia="仿宋_GB2312" w:cs="仿宋"/>
          <w:color w:val="000000" w:themeColor="text1"/>
          <w:kern w:val="0"/>
          <w:sz w:val="32"/>
          <w:szCs w:val="32"/>
        </w:rPr>
        <w:t>（2）</w:t>
      </w:r>
      <w:r>
        <w:rPr>
          <w:rFonts w:hint="eastAsia" w:ascii="仿宋_GB2312" w:hAnsi="仿宋" w:eastAsia="仿宋_GB2312" w:cs="仿宋"/>
          <w:color w:val="000000" w:themeColor="text1"/>
          <w:kern w:val="0"/>
          <w:sz w:val="32"/>
          <w:szCs w:val="32"/>
          <w:shd w:val="clear" w:color="auto" w:fill="FFFFFF"/>
        </w:rPr>
        <w:t>基本支出、项目支出符合国家财经法规、财务管理制度规定，符合预算批复的用途；重大项目支出按规定经过评估论证；各项支出和资金拨付有完整的审批程序和手续；资金使用过程中无截留、挤占、挪用、虚列支出等情况。单位财务核算信息及预、决算编制所依据的会计基础信息准确、完整。（3）</w:t>
      </w:r>
      <w:r>
        <w:rPr>
          <w:rFonts w:hint="eastAsia" w:ascii="仿宋_GB2312" w:hAnsi="仿宋" w:eastAsia="仿宋_GB2312" w:cs="仿宋"/>
          <w:color w:val="000000" w:themeColor="text1"/>
          <w:kern w:val="0"/>
          <w:sz w:val="32"/>
          <w:szCs w:val="32"/>
        </w:rPr>
        <w:t>在强化组织领导，明确责任分工的基础上，严谨工作纪律，以狠、准、精的工作精神，严格执行各项工作任务，不断强化督导措施，确保各项工作扎实开展。</w:t>
      </w:r>
    </w:p>
    <w:p>
      <w:pPr>
        <w:overflowPunct w:val="0"/>
        <w:adjustRightInd w:val="0"/>
        <w:snapToGrid w:val="0"/>
        <w:spacing w:afterLines="50" w:line="584"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Lines="50" w:line="584"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Lines="50" w:line="584"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（四）</w:t>
      </w:r>
      <w:r>
        <w:rPr>
          <w:rFonts w:hint="eastAsia" w:ascii="楷体_GB2312" w:eastAsia="楷体_GB2312" w:cs="Times New Roman"/>
          <w:b/>
          <w:sz w:val="32"/>
          <w:szCs w:val="32"/>
          <w:lang w:eastAsia="zh-CN"/>
        </w:rPr>
        <w:t>单位</w:t>
      </w:r>
      <w:r>
        <w:rPr>
          <w:rFonts w:hint="eastAsia" w:ascii="楷体_GB2312" w:eastAsia="楷体_GB2312" w:cs="Times New Roman"/>
          <w:b/>
          <w:sz w:val="32"/>
          <w:szCs w:val="32"/>
        </w:rPr>
        <w:t>整体支出绩效指标</w:t>
      </w:r>
    </w:p>
    <w:tbl>
      <w:tblPr>
        <w:tblStyle w:val="8"/>
        <w:tblpPr w:leftFromText="180" w:rightFromText="180" w:vertAnchor="text" w:horzAnchor="page" w:tblpX="1401" w:tblpY="564"/>
        <w:tblOverlap w:val="never"/>
        <w:tblW w:w="134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570"/>
        <w:gridCol w:w="1020"/>
        <w:gridCol w:w="2460"/>
        <w:gridCol w:w="2805"/>
        <w:gridCol w:w="2565"/>
        <w:gridCol w:w="585"/>
        <w:gridCol w:w="795"/>
        <w:gridCol w:w="480"/>
        <w:gridCol w:w="2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93" w:hRule="atLeast"/>
          <w:tblHeader/>
        </w:trPr>
        <w:tc>
          <w:tcPr>
            <w:tcW w:w="570"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一级指标</w:t>
            </w:r>
          </w:p>
        </w:tc>
        <w:tc>
          <w:tcPr>
            <w:tcW w:w="1020"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二级</w:t>
            </w:r>
          </w:p>
          <w:p>
            <w:pPr>
              <w:widowControl/>
              <w:adjustRightInd w:val="0"/>
              <w:snapToGrid w:val="0"/>
              <w:spacing w:line="584" w:lineRule="exact"/>
              <w:jc w:val="center"/>
              <w:rPr>
                <w:rFonts w:ascii="方正书宋_GBK" w:eastAsia="方正书宋_GBK"/>
                <w:b/>
              </w:rPr>
            </w:pPr>
            <w:r>
              <w:rPr>
                <w:rFonts w:ascii="方正书宋_GBK" w:eastAsia="方正书宋_GBK"/>
                <w:b/>
              </w:rPr>
              <w:t>指标</w:t>
            </w:r>
          </w:p>
        </w:tc>
        <w:tc>
          <w:tcPr>
            <w:tcW w:w="2460"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三级</w:t>
            </w:r>
          </w:p>
          <w:p>
            <w:pPr>
              <w:widowControl/>
              <w:adjustRightInd w:val="0"/>
              <w:snapToGrid w:val="0"/>
              <w:spacing w:line="584" w:lineRule="exact"/>
              <w:jc w:val="center"/>
              <w:rPr>
                <w:rFonts w:ascii="方正书宋_GBK" w:eastAsia="方正书宋_GBK"/>
                <w:b/>
              </w:rPr>
            </w:pPr>
            <w:r>
              <w:rPr>
                <w:rFonts w:ascii="方正书宋_GBK" w:eastAsia="方正书宋_GBK"/>
                <w:b/>
              </w:rPr>
              <w:t>指标</w:t>
            </w:r>
          </w:p>
        </w:tc>
        <w:tc>
          <w:tcPr>
            <w:tcW w:w="2805"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评（扣）分标准</w:t>
            </w:r>
          </w:p>
        </w:tc>
        <w:tc>
          <w:tcPr>
            <w:tcW w:w="2565"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绩效指标</w:t>
            </w:r>
          </w:p>
          <w:p>
            <w:pPr>
              <w:widowControl/>
              <w:adjustRightInd w:val="0"/>
              <w:snapToGrid w:val="0"/>
              <w:spacing w:line="584" w:lineRule="exact"/>
              <w:jc w:val="center"/>
              <w:rPr>
                <w:rFonts w:ascii="方正书宋_GBK" w:eastAsia="方正书宋_GBK"/>
                <w:b/>
              </w:rPr>
            </w:pPr>
            <w:r>
              <w:rPr>
                <w:rFonts w:ascii="方正书宋_GBK" w:eastAsia="方正书宋_GBK"/>
                <w:b/>
              </w:rPr>
              <w:t>描述</w:t>
            </w:r>
          </w:p>
        </w:tc>
        <w:tc>
          <w:tcPr>
            <w:tcW w:w="1860" w:type="dxa"/>
            <w:gridSpan w:val="3"/>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指标值</w:t>
            </w:r>
          </w:p>
        </w:tc>
        <w:tc>
          <w:tcPr>
            <w:tcW w:w="2145"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指标值</w:t>
            </w:r>
          </w:p>
          <w:p>
            <w:pPr>
              <w:widowControl/>
              <w:adjustRightInd w:val="0"/>
              <w:snapToGrid w:val="0"/>
              <w:spacing w:line="584" w:lineRule="exact"/>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93" w:hRule="atLeast"/>
          <w:tblHeader/>
        </w:trPr>
        <w:tc>
          <w:tcPr>
            <w:tcW w:w="570" w:type="dxa"/>
            <w:vMerge w:val="continue"/>
            <w:tcBorders>
              <w:tl2br w:val="nil"/>
              <w:tr2bl w:val="nil"/>
            </w:tcBorders>
            <w:vAlign w:val="center"/>
          </w:tcPr>
          <w:p>
            <w:pPr>
              <w:spacing w:line="584" w:lineRule="exact"/>
            </w:pPr>
          </w:p>
        </w:tc>
        <w:tc>
          <w:tcPr>
            <w:tcW w:w="1020" w:type="dxa"/>
            <w:vMerge w:val="continue"/>
            <w:tcBorders>
              <w:tl2br w:val="nil"/>
              <w:tr2bl w:val="nil"/>
            </w:tcBorders>
            <w:vAlign w:val="center"/>
          </w:tcPr>
          <w:p>
            <w:pPr>
              <w:spacing w:line="584" w:lineRule="exact"/>
            </w:pPr>
          </w:p>
        </w:tc>
        <w:tc>
          <w:tcPr>
            <w:tcW w:w="2460" w:type="dxa"/>
            <w:vMerge w:val="continue"/>
            <w:tcBorders>
              <w:tl2br w:val="nil"/>
              <w:tr2bl w:val="nil"/>
            </w:tcBorders>
            <w:vAlign w:val="center"/>
          </w:tcPr>
          <w:p>
            <w:pPr>
              <w:spacing w:line="584" w:lineRule="exact"/>
            </w:pPr>
          </w:p>
        </w:tc>
        <w:tc>
          <w:tcPr>
            <w:tcW w:w="2805" w:type="dxa"/>
            <w:vMerge w:val="continue"/>
            <w:tcBorders>
              <w:tl2br w:val="nil"/>
              <w:tr2bl w:val="nil"/>
            </w:tcBorders>
            <w:vAlign w:val="center"/>
          </w:tcPr>
          <w:p>
            <w:pPr>
              <w:spacing w:line="584" w:lineRule="exact"/>
            </w:pPr>
          </w:p>
        </w:tc>
        <w:tc>
          <w:tcPr>
            <w:tcW w:w="2565" w:type="dxa"/>
            <w:vMerge w:val="continue"/>
            <w:tcBorders>
              <w:tl2br w:val="nil"/>
              <w:tr2bl w:val="nil"/>
            </w:tcBorders>
            <w:vAlign w:val="center"/>
          </w:tcPr>
          <w:p>
            <w:pPr>
              <w:spacing w:line="584" w:lineRule="exact"/>
            </w:pPr>
          </w:p>
        </w:tc>
        <w:tc>
          <w:tcPr>
            <w:tcW w:w="585" w:type="dxa"/>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符号</w:t>
            </w:r>
          </w:p>
        </w:tc>
        <w:tc>
          <w:tcPr>
            <w:tcW w:w="795" w:type="dxa"/>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值</w:t>
            </w:r>
          </w:p>
        </w:tc>
        <w:tc>
          <w:tcPr>
            <w:tcW w:w="480" w:type="dxa"/>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单位</w:t>
            </w:r>
          </w:p>
        </w:tc>
        <w:tc>
          <w:tcPr>
            <w:tcW w:w="2145" w:type="dxa"/>
            <w:vMerge w:val="continue"/>
            <w:tcBorders>
              <w:tl2br w:val="nil"/>
              <w:tr2bl w:val="nil"/>
            </w:tcBorders>
            <w:vAlign w:val="center"/>
          </w:tcPr>
          <w:p>
            <w:pPr>
              <w:spacing w:line="584"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93" w:hRule="atLeast"/>
        </w:trPr>
        <w:tc>
          <w:tcPr>
            <w:tcW w:w="570"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lang w:eastAsia="zh-CN"/>
              </w:rPr>
              <w:t>单位</w:t>
            </w:r>
            <w:r>
              <w:rPr>
                <w:rFonts w:ascii="方正书宋_GBK" w:eastAsia="方正书宋_GBK"/>
              </w:rPr>
              <w:t>产出</w:t>
            </w:r>
          </w:p>
        </w:tc>
        <w:tc>
          <w:tcPr>
            <w:tcW w:w="1020" w:type="dxa"/>
            <w:tcBorders>
              <w:tl2br w:val="nil"/>
              <w:tr2bl w:val="nil"/>
            </w:tcBorders>
            <w:vAlign w:val="center"/>
          </w:tcPr>
          <w:p>
            <w:pPr>
              <w:widowControl/>
              <w:adjustRightInd w:val="0"/>
              <w:snapToGrid w:val="0"/>
              <w:spacing w:line="584" w:lineRule="exact"/>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数量</w:t>
            </w:r>
          </w:p>
        </w:tc>
        <w:tc>
          <w:tcPr>
            <w:tcW w:w="2460" w:type="dxa"/>
            <w:tcBorders>
              <w:tl2br w:val="nil"/>
              <w:tr2bl w:val="nil"/>
            </w:tcBorders>
            <w:vAlign w:val="center"/>
          </w:tcPr>
          <w:p>
            <w:pPr>
              <w:keepNext w:val="0"/>
              <w:keepLines w:val="0"/>
              <w:widowControl/>
              <w:suppressLineNumbers w:val="0"/>
              <w:jc w:val="left"/>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促成华侨往来交流的次数</w:t>
            </w:r>
          </w:p>
        </w:tc>
        <w:tc>
          <w:tcPr>
            <w:tcW w:w="2805" w:type="dxa"/>
            <w:tcBorders>
              <w:tl2br w:val="nil"/>
              <w:tr2bl w:val="nil"/>
            </w:tcBorders>
            <w:vAlign w:val="top"/>
          </w:tcPr>
          <w:p>
            <w:pPr>
              <w:keepNext w:val="0"/>
              <w:keepLines w:val="0"/>
              <w:widowControl/>
              <w:suppressLineNumbers w:val="0"/>
              <w:jc w:val="left"/>
              <w:textAlignment w:val="top"/>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sz w:val="21"/>
                <w:szCs w:val="21"/>
                <w:lang w:eastAsia="zh-CN"/>
              </w:rPr>
              <w:t>实际值为</w:t>
            </w:r>
            <w:r>
              <w:rPr>
                <w:rFonts w:hint="eastAsia" w:ascii="仿宋" w:hAnsi="仿宋" w:eastAsia="仿宋" w:cs="仿宋"/>
                <w:sz w:val="21"/>
                <w:szCs w:val="21"/>
                <w:lang w:val="en-US" w:eastAsia="zh-CN"/>
              </w:rPr>
              <w:t>100%得满分，每降低1%扣权重分10%扣完为止</w:t>
            </w:r>
          </w:p>
        </w:tc>
        <w:tc>
          <w:tcPr>
            <w:tcW w:w="2565" w:type="dxa"/>
            <w:tcBorders>
              <w:tl2br w:val="nil"/>
              <w:tr2bl w:val="nil"/>
            </w:tcBorders>
            <w:vAlign w:val="center"/>
          </w:tcPr>
          <w:p>
            <w:pPr>
              <w:widowControl/>
              <w:adjustRightInd w:val="0"/>
              <w:snapToGrid w:val="0"/>
              <w:spacing w:line="584" w:lineRule="exact"/>
              <w:rPr>
                <w:rFonts w:hint="eastAsia" w:ascii="方正书宋_GBK" w:eastAsia="方正书宋_GBK"/>
                <w:lang w:eastAsia="zh-CN"/>
              </w:rPr>
            </w:pPr>
            <w:r>
              <w:rPr>
                <w:rFonts w:hint="eastAsia" w:ascii="仿宋" w:hAnsi="仿宋" w:eastAsia="仿宋" w:cs="仿宋"/>
                <w:lang w:eastAsia="zh-CN"/>
              </w:rPr>
              <w:t>征求和提取意见</w:t>
            </w:r>
          </w:p>
        </w:tc>
        <w:tc>
          <w:tcPr>
            <w:tcW w:w="585"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仿宋" w:hAnsi="仿宋" w:eastAsia="仿宋" w:cs="仿宋"/>
                <w:i w:val="0"/>
                <w:color w:val="000000"/>
                <w:kern w:val="0"/>
                <w:sz w:val="21"/>
                <w:szCs w:val="21"/>
                <w:u w:val="none"/>
                <w:lang w:val="en-US" w:eastAsia="zh-CN" w:bidi="ar"/>
              </w:rPr>
              <w:t>≥</w:t>
            </w:r>
          </w:p>
        </w:tc>
        <w:tc>
          <w:tcPr>
            <w:tcW w:w="795"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仿宋" w:hAnsi="仿宋" w:eastAsia="仿宋" w:cs="仿宋"/>
                <w:i w:val="0"/>
                <w:color w:val="000000"/>
                <w:kern w:val="0"/>
                <w:sz w:val="21"/>
                <w:szCs w:val="21"/>
                <w:u w:val="none"/>
                <w:lang w:val="en-US" w:eastAsia="zh-CN" w:bidi="ar"/>
              </w:rPr>
              <w:t>2</w:t>
            </w:r>
          </w:p>
        </w:tc>
        <w:tc>
          <w:tcPr>
            <w:tcW w:w="480"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仿宋" w:hAnsi="仿宋" w:eastAsia="仿宋" w:cs="仿宋"/>
                <w:i w:val="0"/>
                <w:color w:val="000000"/>
                <w:kern w:val="0"/>
                <w:sz w:val="21"/>
                <w:szCs w:val="21"/>
                <w:u w:val="none"/>
                <w:lang w:val="en-US" w:eastAsia="zh-CN" w:bidi="ar"/>
              </w:rPr>
              <w:t>次</w:t>
            </w:r>
          </w:p>
        </w:tc>
        <w:tc>
          <w:tcPr>
            <w:tcW w:w="2145" w:type="dxa"/>
            <w:tcBorders>
              <w:tl2br w:val="nil"/>
              <w:tr2bl w:val="nil"/>
            </w:tcBorders>
            <w:vAlign w:val="center"/>
          </w:tcPr>
          <w:p>
            <w:pPr>
              <w:widowControl/>
              <w:adjustRightInd w:val="0"/>
              <w:snapToGrid w:val="0"/>
              <w:spacing w:line="584" w:lineRule="exact"/>
              <w:rPr>
                <w:rFonts w:ascii="方正书宋_GBK" w:eastAsia="方正书宋_GBK"/>
              </w:rPr>
            </w:pPr>
            <w:r>
              <w:rPr>
                <w:rFonts w:hint="eastAsia" w:ascii="仿宋" w:hAnsi="仿宋" w:eastAsia="仿宋" w:cs="仿宋"/>
                <w:i w:val="0"/>
                <w:color w:val="000000"/>
                <w:kern w:val="0"/>
                <w:sz w:val="21"/>
                <w:szCs w:val="21"/>
                <w:u w:val="none"/>
                <w:lang w:val="en-US" w:eastAsia="zh-CN" w:bidi="ar"/>
              </w:rPr>
              <w:t>归国华侨补助工作要求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93" w:hRule="atLeast"/>
        </w:trPr>
        <w:tc>
          <w:tcPr>
            <w:tcW w:w="570" w:type="dxa"/>
            <w:vMerge w:val="continue"/>
            <w:tcBorders>
              <w:tl2br w:val="nil"/>
              <w:tr2bl w:val="nil"/>
            </w:tcBorders>
            <w:vAlign w:val="center"/>
          </w:tcPr>
          <w:p>
            <w:pPr>
              <w:widowControl/>
              <w:adjustRightInd w:val="0"/>
              <w:snapToGrid w:val="0"/>
              <w:spacing w:line="584" w:lineRule="exact"/>
              <w:jc w:val="center"/>
              <w:rPr>
                <w:rFonts w:ascii="方正书宋_GBK" w:eastAsia="方正书宋_GBK"/>
              </w:rPr>
            </w:pPr>
          </w:p>
        </w:tc>
        <w:tc>
          <w:tcPr>
            <w:tcW w:w="1020" w:type="dxa"/>
            <w:tcBorders>
              <w:tl2br w:val="nil"/>
              <w:tr2bl w:val="nil"/>
            </w:tcBorders>
            <w:vAlign w:val="center"/>
          </w:tcPr>
          <w:p>
            <w:pPr>
              <w:widowControl/>
              <w:adjustRightInd w:val="0"/>
              <w:snapToGrid w:val="0"/>
              <w:spacing w:line="584" w:lineRule="exact"/>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数量</w:t>
            </w:r>
          </w:p>
        </w:tc>
        <w:tc>
          <w:tcPr>
            <w:tcW w:w="2460" w:type="dxa"/>
            <w:tcBorders>
              <w:tl2br w:val="nil"/>
              <w:tr2bl w:val="nil"/>
            </w:tcBorders>
            <w:vAlign w:val="center"/>
          </w:tcPr>
          <w:p>
            <w:pPr>
              <w:keepNext w:val="0"/>
              <w:keepLines w:val="0"/>
              <w:widowControl/>
              <w:suppressLineNumbers w:val="0"/>
              <w:jc w:val="left"/>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贫困户数</w:t>
            </w:r>
          </w:p>
        </w:tc>
        <w:tc>
          <w:tcPr>
            <w:tcW w:w="2805" w:type="dxa"/>
            <w:tcBorders>
              <w:tl2br w:val="nil"/>
              <w:tr2bl w:val="nil"/>
            </w:tcBorders>
            <w:vAlign w:val="top"/>
          </w:tcPr>
          <w:p>
            <w:pPr>
              <w:keepNext w:val="0"/>
              <w:keepLines w:val="0"/>
              <w:widowControl/>
              <w:suppressLineNumbers w:val="0"/>
              <w:jc w:val="left"/>
              <w:textAlignment w:val="top"/>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sz w:val="21"/>
                <w:szCs w:val="21"/>
                <w:lang w:eastAsia="zh-CN"/>
              </w:rPr>
              <w:t>实际值为</w:t>
            </w:r>
            <w:r>
              <w:rPr>
                <w:rFonts w:hint="eastAsia" w:ascii="仿宋" w:hAnsi="仿宋" w:eastAsia="仿宋" w:cs="仿宋"/>
                <w:sz w:val="21"/>
                <w:szCs w:val="21"/>
                <w:lang w:val="en-US" w:eastAsia="zh-CN"/>
              </w:rPr>
              <w:t>100%得满分，每降低1%扣权重分10%扣完为止</w:t>
            </w:r>
          </w:p>
        </w:tc>
        <w:tc>
          <w:tcPr>
            <w:tcW w:w="2565"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仿宋" w:hAnsi="仿宋" w:eastAsia="仿宋" w:cs="仿宋"/>
                <w:i w:val="0"/>
                <w:color w:val="000000"/>
                <w:kern w:val="0"/>
                <w:sz w:val="21"/>
                <w:szCs w:val="21"/>
                <w:u w:val="none"/>
                <w:lang w:val="en-US" w:eastAsia="zh-CN" w:bidi="ar"/>
              </w:rPr>
              <w:t>帮扶到位</w:t>
            </w:r>
          </w:p>
        </w:tc>
        <w:tc>
          <w:tcPr>
            <w:tcW w:w="585"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仿宋" w:hAnsi="仿宋" w:eastAsia="仿宋" w:cs="仿宋"/>
                <w:i w:val="0"/>
                <w:color w:val="000000"/>
                <w:kern w:val="0"/>
                <w:sz w:val="21"/>
                <w:szCs w:val="21"/>
                <w:u w:val="none"/>
                <w:lang w:val="en-US" w:eastAsia="zh-CN" w:bidi="ar"/>
              </w:rPr>
              <w:t>≥</w:t>
            </w:r>
          </w:p>
        </w:tc>
        <w:tc>
          <w:tcPr>
            <w:tcW w:w="795"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仿宋" w:hAnsi="仿宋" w:eastAsia="仿宋" w:cs="仿宋"/>
                <w:i w:val="0"/>
                <w:color w:val="000000"/>
                <w:kern w:val="0"/>
                <w:sz w:val="21"/>
                <w:szCs w:val="21"/>
                <w:u w:val="none"/>
                <w:lang w:val="en-US" w:eastAsia="zh-CN" w:bidi="ar"/>
              </w:rPr>
              <w:t>3</w:t>
            </w:r>
          </w:p>
        </w:tc>
        <w:tc>
          <w:tcPr>
            <w:tcW w:w="480"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仿宋" w:hAnsi="仿宋" w:eastAsia="仿宋" w:cs="仿宋"/>
                <w:i w:val="0"/>
                <w:color w:val="000000"/>
                <w:kern w:val="0"/>
                <w:sz w:val="21"/>
                <w:szCs w:val="21"/>
                <w:u w:val="none"/>
                <w:lang w:val="en-US" w:eastAsia="zh-CN" w:bidi="ar"/>
              </w:rPr>
              <w:t>个</w:t>
            </w:r>
          </w:p>
        </w:tc>
        <w:tc>
          <w:tcPr>
            <w:tcW w:w="2145" w:type="dxa"/>
            <w:tcBorders>
              <w:tl2br w:val="nil"/>
              <w:tr2bl w:val="nil"/>
            </w:tcBorders>
            <w:vAlign w:val="center"/>
          </w:tcPr>
          <w:p>
            <w:pPr>
              <w:widowControl/>
              <w:adjustRightInd w:val="0"/>
              <w:snapToGrid w:val="0"/>
              <w:spacing w:line="584" w:lineRule="exact"/>
              <w:rPr>
                <w:rFonts w:ascii="方正书宋_GBK" w:eastAsia="方正书宋_GBK"/>
              </w:rPr>
            </w:pPr>
            <w:r>
              <w:rPr>
                <w:rFonts w:hint="eastAsia" w:ascii="仿宋" w:hAnsi="仿宋" w:eastAsia="仿宋" w:cs="仿宋"/>
                <w:i w:val="0"/>
                <w:color w:val="000000"/>
                <w:kern w:val="0"/>
                <w:sz w:val="21"/>
                <w:szCs w:val="21"/>
                <w:u w:val="none"/>
                <w:lang w:val="en-US" w:eastAsia="zh-CN" w:bidi="ar"/>
              </w:rPr>
              <w:t>年初工作计划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93" w:hRule="atLeast"/>
        </w:trPr>
        <w:tc>
          <w:tcPr>
            <w:tcW w:w="570" w:type="dxa"/>
            <w:vMerge w:val="continue"/>
            <w:tcBorders>
              <w:tl2br w:val="nil"/>
              <w:tr2bl w:val="nil"/>
            </w:tcBorders>
            <w:vAlign w:val="center"/>
          </w:tcPr>
          <w:p>
            <w:pPr>
              <w:widowControl/>
              <w:adjustRightInd w:val="0"/>
              <w:snapToGrid w:val="0"/>
              <w:spacing w:line="584" w:lineRule="exact"/>
              <w:jc w:val="center"/>
              <w:rPr>
                <w:rFonts w:ascii="方正书宋_GBK" w:eastAsia="方正书宋_GBK"/>
              </w:rPr>
            </w:pPr>
          </w:p>
        </w:tc>
        <w:tc>
          <w:tcPr>
            <w:tcW w:w="1020" w:type="dxa"/>
            <w:tcBorders>
              <w:tl2br w:val="nil"/>
              <w:tr2bl w:val="nil"/>
            </w:tcBorders>
            <w:vAlign w:val="center"/>
          </w:tcPr>
          <w:p>
            <w:pPr>
              <w:widowControl/>
              <w:adjustRightInd w:val="0"/>
              <w:snapToGrid w:val="0"/>
              <w:spacing w:line="584" w:lineRule="exact"/>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数量</w:t>
            </w:r>
          </w:p>
        </w:tc>
        <w:tc>
          <w:tcPr>
            <w:tcW w:w="2460" w:type="dxa"/>
            <w:tcBorders>
              <w:tl2br w:val="nil"/>
              <w:tr2bl w:val="nil"/>
            </w:tcBorders>
            <w:vAlign w:val="center"/>
          </w:tcPr>
          <w:p>
            <w:pPr>
              <w:keepNext w:val="0"/>
              <w:keepLines w:val="0"/>
              <w:widowControl/>
              <w:suppressLineNumbers w:val="0"/>
              <w:jc w:val="left"/>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大型宗教活动场所督导</w:t>
            </w:r>
          </w:p>
        </w:tc>
        <w:tc>
          <w:tcPr>
            <w:tcW w:w="2805" w:type="dxa"/>
            <w:tcBorders>
              <w:tl2br w:val="nil"/>
              <w:tr2bl w:val="nil"/>
            </w:tcBorders>
            <w:vAlign w:val="top"/>
          </w:tcPr>
          <w:p>
            <w:pPr>
              <w:keepNext w:val="0"/>
              <w:keepLines w:val="0"/>
              <w:widowControl/>
              <w:suppressLineNumbers w:val="0"/>
              <w:jc w:val="left"/>
              <w:textAlignment w:val="top"/>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大型宗教活动场所督导次数</w:t>
            </w:r>
            <w:r>
              <w:rPr>
                <w:rFonts w:hint="eastAsia" w:ascii="仿宋" w:hAnsi="仿宋" w:eastAsia="仿宋" w:cs="仿宋"/>
                <w:sz w:val="21"/>
                <w:szCs w:val="21"/>
                <w:lang w:eastAsia="zh-CN"/>
              </w:rPr>
              <w:t>实际值为</w:t>
            </w:r>
            <w:r>
              <w:rPr>
                <w:rFonts w:hint="eastAsia" w:ascii="仿宋" w:hAnsi="仿宋" w:eastAsia="仿宋" w:cs="仿宋"/>
                <w:sz w:val="21"/>
                <w:szCs w:val="21"/>
                <w:lang w:val="en-US" w:eastAsia="zh-CN"/>
              </w:rPr>
              <w:t>100%得满分，每降低1%扣权重分10%扣完为止</w:t>
            </w:r>
          </w:p>
        </w:tc>
        <w:tc>
          <w:tcPr>
            <w:tcW w:w="2565" w:type="dxa"/>
            <w:tcBorders>
              <w:tl2br w:val="nil"/>
              <w:tr2bl w:val="nil"/>
            </w:tcBorders>
            <w:vAlign w:val="center"/>
          </w:tcPr>
          <w:p>
            <w:pPr>
              <w:widowControl/>
              <w:adjustRightInd w:val="0"/>
              <w:snapToGrid w:val="0"/>
              <w:spacing w:line="584" w:lineRule="exact"/>
              <w:rPr>
                <w:rFonts w:ascii="方正书宋_GBK" w:eastAsia="方正书宋_GBK"/>
              </w:rPr>
            </w:pPr>
            <w:r>
              <w:rPr>
                <w:rFonts w:hint="eastAsia" w:ascii="仿宋" w:hAnsi="仿宋" w:eastAsia="仿宋" w:cs="仿宋"/>
                <w:i w:val="0"/>
                <w:color w:val="000000"/>
                <w:kern w:val="0"/>
                <w:sz w:val="21"/>
                <w:szCs w:val="21"/>
                <w:u w:val="none"/>
                <w:lang w:val="en-US" w:eastAsia="zh-CN" w:bidi="ar"/>
              </w:rPr>
              <w:t>大型宗教活动场所督导</w:t>
            </w:r>
          </w:p>
        </w:tc>
        <w:tc>
          <w:tcPr>
            <w:tcW w:w="585" w:type="dxa"/>
            <w:tcBorders>
              <w:tl2br w:val="nil"/>
              <w:tr2bl w:val="nil"/>
            </w:tcBorders>
            <w:vAlign w:val="center"/>
          </w:tcPr>
          <w:p>
            <w:pPr>
              <w:widowControl/>
              <w:adjustRightInd w:val="0"/>
              <w:snapToGrid w:val="0"/>
              <w:spacing w:line="584" w:lineRule="exact"/>
              <w:jc w:val="center"/>
              <w:rPr>
                <w:rFonts w:ascii="方正书宋_GBK" w:eastAsia="方正书宋_GBK" w:hAnsiTheme="minorHAnsi" w:cstheme="minorBidi"/>
                <w:kern w:val="2"/>
                <w:sz w:val="21"/>
                <w:szCs w:val="22"/>
                <w:lang w:val="en-US" w:eastAsia="zh-CN" w:bidi="ar-SA"/>
              </w:rPr>
            </w:pPr>
            <w:r>
              <w:rPr>
                <w:rFonts w:hint="eastAsia" w:ascii="仿宋" w:hAnsi="仿宋" w:eastAsia="仿宋" w:cs="仿宋"/>
                <w:i w:val="0"/>
                <w:color w:val="000000"/>
                <w:kern w:val="0"/>
                <w:sz w:val="21"/>
                <w:szCs w:val="21"/>
                <w:u w:val="none"/>
                <w:lang w:val="en-US" w:eastAsia="zh-CN" w:bidi="ar"/>
              </w:rPr>
              <w:t>≥</w:t>
            </w:r>
          </w:p>
        </w:tc>
        <w:tc>
          <w:tcPr>
            <w:tcW w:w="795" w:type="dxa"/>
            <w:tcBorders>
              <w:tl2br w:val="nil"/>
              <w:tr2bl w:val="nil"/>
            </w:tcBorders>
            <w:vAlign w:val="center"/>
          </w:tcPr>
          <w:p>
            <w:pPr>
              <w:widowControl/>
              <w:adjustRightInd w:val="0"/>
              <w:snapToGrid w:val="0"/>
              <w:spacing w:line="584" w:lineRule="exact"/>
              <w:jc w:val="center"/>
              <w:rPr>
                <w:rFonts w:ascii="方正书宋_GBK" w:eastAsia="方正书宋_GBK" w:hAnsiTheme="minorHAnsi" w:cstheme="minorBidi"/>
                <w:kern w:val="2"/>
                <w:sz w:val="21"/>
                <w:szCs w:val="22"/>
                <w:lang w:val="en-US" w:eastAsia="zh-CN" w:bidi="ar-SA"/>
              </w:rPr>
            </w:pPr>
            <w:r>
              <w:rPr>
                <w:rFonts w:hint="eastAsia" w:ascii="仿宋" w:hAnsi="仿宋" w:eastAsia="仿宋" w:cs="仿宋"/>
                <w:i w:val="0"/>
                <w:color w:val="000000"/>
                <w:kern w:val="0"/>
                <w:sz w:val="21"/>
                <w:szCs w:val="21"/>
                <w:u w:val="none"/>
                <w:lang w:val="en-US" w:eastAsia="zh-CN" w:bidi="ar"/>
              </w:rPr>
              <w:t>3</w:t>
            </w:r>
          </w:p>
        </w:tc>
        <w:tc>
          <w:tcPr>
            <w:tcW w:w="480" w:type="dxa"/>
            <w:tcBorders>
              <w:tl2br w:val="nil"/>
              <w:tr2bl w:val="nil"/>
            </w:tcBorders>
            <w:vAlign w:val="center"/>
          </w:tcPr>
          <w:p>
            <w:pPr>
              <w:widowControl/>
              <w:adjustRightInd w:val="0"/>
              <w:snapToGrid w:val="0"/>
              <w:spacing w:line="584" w:lineRule="exact"/>
              <w:jc w:val="center"/>
              <w:rPr>
                <w:rFonts w:ascii="方正书宋_GBK" w:eastAsia="方正书宋_GBK" w:hAnsiTheme="minorHAnsi" w:cstheme="minorBidi"/>
                <w:kern w:val="2"/>
                <w:sz w:val="21"/>
                <w:szCs w:val="22"/>
                <w:lang w:val="en-US" w:eastAsia="zh-CN" w:bidi="ar-SA"/>
              </w:rPr>
            </w:pPr>
            <w:r>
              <w:rPr>
                <w:rFonts w:hint="eastAsia" w:ascii="仿宋" w:hAnsi="仿宋" w:eastAsia="仿宋" w:cs="仿宋"/>
                <w:i w:val="0"/>
                <w:color w:val="000000"/>
                <w:kern w:val="0"/>
                <w:sz w:val="21"/>
                <w:szCs w:val="21"/>
                <w:u w:val="none"/>
                <w:lang w:val="en-US" w:eastAsia="zh-CN" w:bidi="ar"/>
              </w:rPr>
              <w:t>次</w:t>
            </w:r>
          </w:p>
        </w:tc>
        <w:tc>
          <w:tcPr>
            <w:tcW w:w="2145" w:type="dxa"/>
            <w:tcBorders>
              <w:tl2br w:val="nil"/>
              <w:tr2bl w:val="nil"/>
            </w:tcBorders>
            <w:vAlign w:val="center"/>
          </w:tcPr>
          <w:p>
            <w:pPr>
              <w:widowControl/>
              <w:adjustRightInd w:val="0"/>
              <w:snapToGrid w:val="0"/>
              <w:spacing w:line="584" w:lineRule="exact"/>
              <w:rPr>
                <w:rFonts w:ascii="方正书宋_GBK" w:eastAsia="方正书宋_GBK"/>
              </w:rPr>
            </w:pPr>
            <w:r>
              <w:rPr>
                <w:rFonts w:hint="eastAsia" w:ascii="仿宋" w:hAnsi="仿宋" w:eastAsia="仿宋" w:cs="仿宋"/>
                <w:i w:val="0"/>
                <w:color w:val="000000"/>
                <w:kern w:val="0"/>
                <w:sz w:val="21"/>
                <w:szCs w:val="21"/>
                <w:u w:val="none"/>
                <w:lang w:val="en-US" w:eastAsia="zh-CN" w:bidi="ar"/>
              </w:rPr>
              <w:t>年初工作计划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93" w:hRule="atLeast"/>
        </w:trPr>
        <w:tc>
          <w:tcPr>
            <w:tcW w:w="570" w:type="dxa"/>
            <w:vMerge w:val="continue"/>
            <w:tcBorders>
              <w:tl2br w:val="nil"/>
              <w:tr2bl w:val="nil"/>
            </w:tcBorders>
            <w:vAlign w:val="center"/>
          </w:tcPr>
          <w:p>
            <w:pPr>
              <w:widowControl/>
              <w:adjustRightInd w:val="0"/>
              <w:snapToGrid w:val="0"/>
              <w:spacing w:line="584" w:lineRule="exact"/>
              <w:jc w:val="center"/>
              <w:rPr>
                <w:rFonts w:ascii="方正书宋_GBK" w:eastAsia="方正书宋_GBK"/>
              </w:rPr>
            </w:pPr>
          </w:p>
        </w:tc>
        <w:tc>
          <w:tcPr>
            <w:tcW w:w="1020" w:type="dxa"/>
            <w:tcBorders>
              <w:tl2br w:val="nil"/>
              <w:tr2bl w:val="nil"/>
            </w:tcBorders>
            <w:vAlign w:val="center"/>
          </w:tcPr>
          <w:p>
            <w:pPr>
              <w:widowControl/>
              <w:adjustRightInd w:val="0"/>
              <w:snapToGrid w:val="0"/>
              <w:spacing w:line="584" w:lineRule="exact"/>
              <w:jc w:val="center"/>
              <w:rPr>
                <w:rFonts w:hint="eastAsia" w:ascii="仿宋" w:hAnsi="仿宋" w:eastAsia="仿宋" w:cs="仿宋"/>
                <w:sz w:val="21"/>
                <w:szCs w:val="21"/>
              </w:rPr>
            </w:pPr>
            <w:r>
              <w:rPr>
                <w:rFonts w:hint="eastAsia" w:ascii="仿宋" w:hAnsi="仿宋" w:eastAsia="仿宋" w:cs="仿宋"/>
                <w:sz w:val="21"/>
                <w:szCs w:val="21"/>
              </w:rPr>
              <w:t>数量</w:t>
            </w:r>
          </w:p>
        </w:tc>
        <w:tc>
          <w:tcPr>
            <w:tcW w:w="2460" w:type="dxa"/>
            <w:tcBorders>
              <w:tl2br w:val="nil"/>
              <w:tr2bl w:val="nil"/>
            </w:tcBorders>
            <w:vAlign w:val="center"/>
          </w:tcPr>
          <w:p>
            <w:pPr>
              <w:keepNext w:val="0"/>
              <w:keepLines w:val="0"/>
              <w:widowControl/>
              <w:suppressLineNumbers w:val="0"/>
              <w:jc w:val="left"/>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支持专项工作数量</w:t>
            </w:r>
          </w:p>
        </w:tc>
        <w:tc>
          <w:tcPr>
            <w:tcW w:w="2805" w:type="dxa"/>
            <w:tcBorders>
              <w:tl2br w:val="nil"/>
              <w:tr2bl w:val="nil"/>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sz w:val="21"/>
                <w:szCs w:val="21"/>
                <w:lang w:eastAsia="zh-CN"/>
              </w:rPr>
              <w:t>实际值为</w:t>
            </w:r>
            <w:r>
              <w:rPr>
                <w:rFonts w:hint="eastAsia" w:ascii="仿宋" w:hAnsi="仿宋" w:eastAsia="仿宋" w:cs="仿宋"/>
                <w:sz w:val="21"/>
                <w:szCs w:val="21"/>
                <w:lang w:val="en-US" w:eastAsia="zh-CN"/>
              </w:rPr>
              <w:t>100%得满分，每降低1%扣权重分10%扣完为止</w:t>
            </w:r>
          </w:p>
        </w:tc>
        <w:tc>
          <w:tcPr>
            <w:tcW w:w="2565"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仿宋" w:hAnsi="仿宋" w:eastAsia="仿宋" w:cs="仿宋"/>
                <w:i w:val="0"/>
                <w:color w:val="000000"/>
                <w:kern w:val="0"/>
                <w:sz w:val="21"/>
                <w:szCs w:val="21"/>
                <w:u w:val="none"/>
                <w:lang w:val="en-US" w:eastAsia="zh-CN" w:bidi="ar"/>
              </w:rPr>
              <w:t>支持专项工作数量</w:t>
            </w:r>
          </w:p>
        </w:tc>
        <w:tc>
          <w:tcPr>
            <w:tcW w:w="585"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仿宋" w:hAnsi="仿宋" w:eastAsia="仿宋" w:cs="仿宋"/>
                <w:i w:val="0"/>
                <w:color w:val="000000"/>
                <w:kern w:val="0"/>
                <w:sz w:val="21"/>
                <w:szCs w:val="21"/>
                <w:u w:val="none"/>
                <w:lang w:val="en-US" w:eastAsia="zh-CN" w:bidi="ar"/>
              </w:rPr>
              <w:t>≥</w:t>
            </w:r>
          </w:p>
        </w:tc>
        <w:tc>
          <w:tcPr>
            <w:tcW w:w="795"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仿宋" w:hAnsi="仿宋" w:eastAsia="仿宋" w:cs="仿宋"/>
                <w:i w:val="0"/>
                <w:color w:val="000000"/>
                <w:kern w:val="0"/>
                <w:sz w:val="21"/>
                <w:szCs w:val="21"/>
                <w:u w:val="none"/>
                <w:lang w:val="en-US" w:eastAsia="zh-CN" w:bidi="ar"/>
              </w:rPr>
              <w:t>33</w:t>
            </w:r>
          </w:p>
        </w:tc>
        <w:tc>
          <w:tcPr>
            <w:tcW w:w="480"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仿宋" w:hAnsi="仿宋" w:eastAsia="仿宋" w:cs="仿宋"/>
                <w:i w:val="0"/>
                <w:color w:val="000000"/>
                <w:kern w:val="0"/>
                <w:sz w:val="21"/>
                <w:szCs w:val="21"/>
                <w:u w:val="none"/>
                <w:lang w:val="en-US" w:eastAsia="zh-CN" w:bidi="ar"/>
              </w:rPr>
              <w:t>个</w:t>
            </w:r>
          </w:p>
        </w:tc>
        <w:tc>
          <w:tcPr>
            <w:tcW w:w="2145" w:type="dxa"/>
            <w:tcBorders>
              <w:tl2br w:val="nil"/>
              <w:tr2bl w:val="nil"/>
            </w:tcBorders>
            <w:vAlign w:val="center"/>
          </w:tcPr>
          <w:p>
            <w:pPr>
              <w:widowControl/>
              <w:adjustRightInd w:val="0"/>
              <w:snapToGrid w:val="0"/>
              <w:spacing w:line="584" w:lineRule="exact"/>
              <w:rPr>
                <w:rFonts w:ascii="方正书宋_GBK" w:eastAsia="方正书宋_GBK"/>
              </w:rPr>
            </w:pPr>
            <w:r>
              <w:rPr>
                <w:rFonts w:hint="eastAsia" w:ascii="仿宋" w:hAnsi="仿宋" w:eastAsia="仿宋" w:cs="仿宋"/>
                <w:i w:val="0"/>
                <w:color w:val="000000"/>
                <w:kern w:val="0"/>
                <w:sz w:val="21"/>
                <w:szCs w:val="21"/>
                <w:u w:val="none"/>
                <w:lang w:val="en-US" w:eastAsia="zh-CN" w:bidi="ar"/>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93" w:hRule="atLeast"/>
        </w:trPr>
        <w:tc>
          <w:tcPr>
            <w:tcW w:w="570" w:type="dxa"/>
            <w:vMerge w:val="continue"/>
            <w:tcBorders>
              <w:tl2br w:val="nil"/>
              <w:tr2bl w:val="nil"/>
            </w:tcBorders>
            <w:vAlign w:val="center"/>
          </w:tcPr>
          <w:p>
            <w:pPr>
              <w:spacing w:line="584" w:lineRule="exact"/>
            </w:pPr>
          </w:p>
        </w:tc>
        <w:tc>
          <w:tcPr>
            <w:tcW w:w="1020" w:type="dxa"/>
            <w:tcBorders>
              <w:tl2br w:val="nil"/>
              <w:tr2bl w:val="nil"/>
            </w:tcBorders>
            <w:vAlign w:val="center"/>
          </w:tcPr>
          <w:p>
            <w:pPr>
              <w:widowControl/>
              <w:adjustRightInd w:val="0"/>
              <w:snapToGrid w:val="0"/>
              <w:spacing w:line="584" w:lineRule="exact"/>
              <w:jc w:val="center"/>
              <w:rPr>
                <w:rFonts w:hint="eastAsia" w:ascii="仿宋" w:hAnsi="仿宋" w:eastAsia="仿宋" w:cs="仿宋"/>
                <w:sz w:val="21"/>
                <w:szCs w:val="21"/>
              </w:rPr>
            </w:pPr>
            <w:r>
              <w:rPr>
                <w:rFonts w:hint="eastAsia" w:ascii="仿宋" w:hAnsi="仿宋" w:eastAsia="仿宋" w:cs="仿宋"/>
                <w:sz w:val="21"/>
                <w:szCs w:val="21"/>
              </w:rPr>
              <w:t>质量</w:t>
            </w:r>
          </w:p>
        </w:tc>
        <w:tc>
          <w:tcPr>
            <w:tcW w:w="2460" w:type="dxa"/>
            <w:tcBorders>
              <w:tl2br w:val="nil"/>
              <w:tr2bl w:val="nil"/>
            </w:tcBorders>
            <w:vAlign w:val="center"/>
          </w:tcPr>
          <w:p>
            <w:pPr>
              <w:keepNext w:val="0"/>
              <w:keepLines w:val="0"/>
              <w:widowControl/>
              <w:suppressLineNumbers w:val="0"/>
              <w:jc w:val="left"/>
              <w:textAlignment w:val="center"/>
              <w:rPr>
                <w:rFonts w:hint="eastAsia" w:ascii="仿宋" w:hAnsi="仿宋" w:eastAsia="仿宋" w:cs="仿宋"/>
                <w:kern w:val="2"/>
                <w:sz w:val="21"/>
                <w:szCs w:val="21"/>
                <w:lang w:val="en-US" w:eastAsia="zh-CN" w:bidi="ar-SA"/>
              </w:rPr>
            </w:pPr>
            <w:r>
              <w:rPr>
                <w:rFonts w:hint="eastAsia" w:ascii="仿宋" w:hAnsi="仿宋" w:eastAsia="仿宋" w:cs="仿宋"/>
                <w:i w:val="0"/>
                <w:color w:val="000000"/>
                <w:kern w:val="0"/>
                <w:sz w:val="21"/>
                <w:szCs w:val="21"/>
                <w:u w:val="none"/>
                <w:lang w:val="en-US" w:eastAsia="zh-CN" w:bidi="ar"/>
              </w:rPr>
              <w:t>资金核拨、使用合格率</w:t>
            </w:r>
          </w:p>
        </w:tc>
        <w:tc>
          <w:tcPr>
            <w:tcW w:w="2805" w:type="dxa"/>
            <w:tcBorders>
              <w:tl2br w:val="nil"/>
              <w:tr2bl w:val="nil"/>
            </w:tcBorders>
            <w:vAlign w:val="center"/>
          </w:tcPr>
          <w:p>
            <w:pPr>
              <w:widowControl/>
              <w:adjustRightInd w:val="0"/>
              <w:snapToGrid w:val="0"/>
              <w:spacing w:line="584" w:lineRule="exact"/>
              <w:rPr>
                <w:rFonts w:hint="eastAsia" w:ascii="仿宋" w:hAnsi="仿宋" w:eastAsia="仿宋" w:cs="仿宋"/>
                <w:sz w:val="21"/>
                <w:szCs w:val="21"/>
                <w:lang w:eastAsia="zh-CN"/>
              </w:rPr>
            </w:pPr>
            <w:r>
              <w:rPr>
                <w:rFonts w:hint="eastAsia" w:ascii="仿宋" w:hAnsi="仿宋" w:eastAsia="仿宋" w:cs="仿宋"/>
                <w:sz w:val="21"/>
                <w:szCs w:val="21"/>
                <w:lang w:eastAsia="zh-CN"/>
              </w:rPr>
              <w:t>实际值为</w:t>
            </w:r>
            <w:r>
              <w:rPr>
                <w:rFonts w:hint="eastAsia" w:ascii="仿宋" w:hAnsi="仿宋" w:eastAsia="仿宋" w:cs="仿宋"/>
                <w:sz w:val="21"/>
                <w:szCs w:val="21"/>
                <w:lang w:val="en-US" w:eastAsia="zh-CN"/>
              </w:rPr>
              <w:t>100%得满分，每降低1%扣权重分10%扣完为止</w:t>
            </w:r>
          </w:p>
        </w:tc>
        <w:tc>
          <w:tcPr>
            <w:tcW w:w="2565" w:type="dxa"/>
            <w:tcBorders>
              <w:tl2br w:val="nil"/>
              <w:tr2bl w:val="nil"/>
            </w:tcBorders>
            <w:vAlign w:val="center"/>
          </w:tcPr>
          <w:p>
            <w:pPr>
              <w:widowControl/>
              <w:adjustRightInd w:val="0"/>
              <w:snapToGrid w:val="0"/>
              <w:spacing w:line="584" w:lineRule="exact"/>
              <w:rPr>
                <w:rFonts w:ascii="方正书宋_GBK" w:eastAsia="方正书宋_GBK"/>
              </w:rPr>
            </w:pPr>
            <w:r>
              <w:rPr>
                <w:rFonts w:hint="eastAsia" w:ascii="仿宋" w:hAnsi="仿宋" w:eastAsia="仿宋" w:cs="仿宋"/>
                <w:i w:val="0"/>
                <w:color w:val="000000"/>
                <w:kern w:val="0"/>
                <w:sz w:val="21"/>
                <w:szCs w:val="21"/>
                <w:u w:val="none"/>
                <w:lang w:val="en-US" w:eastAsia="zh-CN" w:bidi="ar"/>
              </w:rPr>
              <w:t>资金核拨、使用合格率</w:t>
            </w:r>
          </w:p>
        </w:tc>
        <w:tc>
          <w:tcPr>
            <w:tcW w:w="585"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仿宋" w:hAnsi="仿宋" w:eastAsia="仿宋" w:cs="仿宋"/>
                <w:i w:val="0"/>
                <w:color w:val="000000"/>
                <w:kern w:val="0"/>
                <w:sz w:val="21"/>
                <w:szCs w:val="21"/>
                <w:u w:val="none"/>
                <w:lang w:val="en-US" w:eastAsia="zh-CN" w:bidi="ar"/>
              </w:rPr>
              <w:t>≥</w:t>
            </w:r>
          </w:p>
        </w:tc>
        <w:tc>
          <w:tcPr>
            <w:tcW w:w="795" w:type="dxa"/>
            <w:tcBorders>
              <w:tl2br w:val="nil"/>
              <w:tr2bl w:val="nil"/>
            </w:tcBorders>
            <w:vAlign w:val="center"/>
          </w:tcPr>
          <w:p>
            <w:pPr>
              <w:widowControl/>
              <w:adjustRightInd w:val="0"/>
              <w:snapToGrid w:val="0"/>
              <w:spacing w:line="584" w:lineRule="exact"/>
              <w:jc w:val="center"/>
              <w:rPr>
                <w:rFonts w:hint="default" w:ascii="方正书宋_GBK" w:eastAsia="方正书宋_GBK"/>
                <w:lang w:val="en-US" w:eastAsia="zh-CN"/>
              </w:rPr>
            </w:pPr>
            <w:r>
              <w:rPr>
                <w:rFonts w:hint="eastAsia" w:ascii="方正书宋_GBK" w:eastAsia="方正书宋_GBK"/>
                <w:lang w:val="en-US" w:eastAsia="zh-CN"/>
              </w:rPr>
              <w:t>100</w:t>
            </w:r>
          </w:p>
        </w:tc>
        <w:tc>
          <w:tcPr>
            <w:tcW w:w="480" w:type="dxa"/>
            <w:tcBorders>
              <w:tl2br w:val="nil"/>
              <w:tr2bl w:val="nil"/>
            </w:tcBorders>
            <w:vAlign w:val="center"/>
          </w:tcPr>
          <w:p>
            <w:pPr>
              <w:widowControl/>
              <w:adjustRightInd w:val="0"/>
              <w:snapToGrid w:val="0"/>
              <w:spacing w:line="584" w:lineRule="exact"/>
              <w:jc w:val="center"/>
              <w:rPr>
                <w:rFonts w:hint="eastAsia" w:ascii="方正书宋_GBK" w:eastAsia="方正书宋_GBK"/>
                <w:lang w:val="en-US" w:eastAsia="zh-CN"/>
              </w:rPr>
            </w:pPr>
            <w:r>
              <w:rPr>
                <w:rFonts w:hint="eastAsia" w:ascii="方正书宋_GBK" w:eastAsia="方正书宋_GBK"/>
                <w:lang w:val="en-US" w:eastAsia="zh-CN"/>
              </w:rPr>
              <w:t>%</w:t>
            </w:r>
          </w:p>
        </w:tc>
        <w:tc>
          <w:tcPr>
            <w:tcW w:w="2145" w:type="dxa"/>
            <w:tcBorders>
              <w:tl2br w:val="nil"/>
              <w:tr2bl w:val="nil"/>
            </w:tcBorders>
            <w:vAlign w:val="center"/>
          </w:tcPr>
          <w:p>
            <w:pPr>
              <w:widowControl/>
              <w:adjustRightInd w:val="0"/>
              <w:snapToGrid w:val="0"/>
              <w:spacing w:line="584" w:lineRule="exact"/>
              <w:rPr>
                <w:rFonts w:ascii="方正书宋_GBK" w:eastAsia="方正书宋_GBK"/>
              </w:rPr>
            </w:pPr>
            <w:r>
              <w:rPr>
                <w:rFonts w:hint="eastAsia" w:ascii="仿宋" w:hAnsi="仿宋" w:eastAsia="仿宋" w:cs="仿宋"/>
                <w:i w:val="0"/>
                <w:color w:val="000000"/>
                <w:kern w:val="0"/>
                <w:sz w:val="21"/>
                <w:szCs w:val="21"/>
                <w:u w:val="none"/>
                <w:lang w:val="en-US" w:eastAsia="zh-CN" w:bidi="ar"/>
              </w:rPr>
              <w:t>年初工作计划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93" w:hRule="atLeast"/>
        </w:trPr>
        <w:tc>
          <w:tcPr>
            <w:tcW w:w="570" w:type="dxa"/>
            <w:vMerge w:val="continue"/>
            <w:tcBorders>
              <w:tl2br w:val="nil"/>
              <w:tr2bl w:val="nil"/>
            </w:tcBorders>
            <w:vAlign w:val="center"/>
          </w:tcPr>
          <w:p>
            <w:pPr>
              <w:spacing w:line="584" w:lineRule="exact"/>
            </w:pPr>
          </w:p>
        </w:tc>
        <w:tc>
          <w:tcPr>
            <w:tcW w:w="1020" w:type="dxa"/>
            <w:tcBorders>
              <w:tl2br w:val="nil"/>
              <w:tr2bl w:val="nil"/>
            </w:tcBorders>
            <w:vAlign w:val="center"/>
          </w:tcPr>
          <w:p>
            <w:pPr>
              <w:widowControl/>
              <w:adjustRightInd w:val="0"/>
              <w:snapToGrid w:val="0"/>
              <w:spacing w:line="584" w:lineRule="exact"/>
              <w:jc w:val="center"/>
              <w:rPr>
                <w:rFonts w:hint="eastAsia" w:ascii="仿宋" w:hAnsi="仿宋" w:eastAsia="仿宋" w:cs="仿宋"/>
                <w:sz w:val="21"/>
                <w:szCs w:val="21"/>
              </w:rPr>
            </w:pPr>
            <w:r>
              <w:rPr>
                <w:rFonts w:hint="eastAsia" w:ascii="仿宋" w:hAnsi="仿宋" w:eastAsia="仿宋" w:cs="仿宋"/>
                <w:sz w:val="21"/>
                <w:szCs w:val="21"/>
              </w:rPr>
              <w:t>时效</w:t>
            </w:r>
          </w:p>
        </w:tc>
        <w:tc>
          <w:tcPr>
            <w:tcW w:w="2460" w:type="dxa"/>
            <w:tcBorders>
              <w:tl2br w:val="nil"/>
              <w:tr2bl w:val="nil"/>
            </w:tcBorders>
            <w:vAlign w:val="center"/>
          </w:tcPr>
          <w:p>
            <w:pPr>
              <w:keepNext w:val="0"/>
              <w:keepLines w:val="0"/>
              <w:widowControl/>
              <w:suppressLineNumbers w:val="0"/>
              <w:jc w:val="left"/>
              <w:textAlignment w:val="center"/>
              <w:rPr>
                <w:rFonts w:hint="eastAsia" w:ascii="仿宋" w:hAnsi="仿宋" w:eastAsia="仿宋" w:cs="仿宋"/>
                <w:kern w:val="2"/>
                <w:sz w:val="21"/>
                <w:szCs w:val="21"/>
                <w:lang w:val="en-US" w:eastAsia="zh-CN" w:bidi="ar-SA"/>
              </w:rPr>
            </w:pPr>
            <w:r>
              <w:rPr>
                <w:rFonts w:hint="eastAsia" w:ascii="仿宋" w:hAnsi="仿宋" w:eastAsia="仿宋" w:cs="仿宋"/>
                <w:sz w:val="21"/>
                <w:szCs w:val="21"/>
                <w:lang w:eastAsia="zh-CN"/>
              </w:rPr>
              <w:t>按时发放物资，完成工作任务事件</w:t>
            </w:r>
          </w:p>
        </w:tc>
        <w:tc>
          <w:tcPr>
            <w:tcW w:w="2805" w:type="dxa"/>
            <w:tcBorders>
              <w:tl2br w:val="nil"/>
              <w:tr2bl w:val="nil"/>
            </w:tcBorders>
            <w:vAlign w:val="center"/>
          </w:tcPr>
          <w:p>
            <w:pPr>
              <w:widowControl/>
              <w:adjustRightInd w:val="0"/>
              <w:snapToGrid w:val="0"/>
              <w:spacing w:line="584" w:lineRule="exact"/>
              <w:rPr>
                <w:rFonts w:hint="eastAsia" w:ascii="仿宋" w:hAnsi="仿宋" w:eastAsia="仿宋" w:cs="仿宋"/>
                <w:sz w:val="21"/>
                <w:szCs w:val="21"/>
                <w:lang w:eastAsia="zh-CN"/>
              </w:rPr>
            </w:pPr>
            <w:r>
              <w:rPr>
                <w:rFonts w:hint="eastAsia" w:ascii="仿宋" w:hAnsi="仿宋" w:eastAsia="仿宋" w:cs="仿宋"/>
                <w:sz w:val="21"/>
                <w:szCs w:val="21"/>
                <w:lang w:eastAsia="zh-CN"/>
              </w:rPr>
              <w:t>实际值为</w:t>
            </w:r>
            <w:r>
              <w:rPr>
                <w:rFonts w:hint="eastAsia" w:ascii="仿宋" w:hAnsi="仿宋" w:eastAsia="仿宋" w:cs="仿宋"/>
                <w:sz w:val="21"/>
                <w:szCs w:val="21"/>
                <w:lang w:val="en-US" w:eastAsia="zh-CN"/>
              </w:rPr>
              <w:t>100%得满分，每降低1%扣权重分10%扣完为止</w:t>
            </w:r>
          </w:p>
        </w:tc>
        <w:tc>
          <w:tcPr>
            <w:tcW w:w="2565" w:type="dxa"/>
            <w:tcBorders>
              <w:tl2br w:val="nil"/>
              <w:tr2bl w:val="nil"/>
            </w:tcBorders>
            <w:vAlign w:val="center"/>
          </w:tcPr>
          <w:p>
            <w:pPr>
              <w:widowControl/>
              <w:adjustRightInd w:val="0"/>
              <w:snapToGrid w:val="0"/>
              <w:spacing w:line="584" w:lineRule="exact"/>
              <w:rPr>
                <w:rFonts w:hint="eastAsia" w:ascii="仿宋" w:hAnsi="仿宋" w:eastAsia="仿宋" w:cs="仿宋"/>
              </w:rPr>
            </w:pPr>
            <w:r>
              <w:rPr>
                <w:rFonts w:hint="eastAsia" w:ascii="仿宋" w:hAnsi="仿宋" w:eastAsia="仿宋" w:cs="仿宋"/>
                <w:sz w:val="21"/>
                <w:szCs w:val="21"/>
                <w:lang w:eastAsia="zh-CN"/>
              </w:rPr>
              <w:t>按时发放物资，完成工作任务事件</w:t>
            </w:r>
          </w:p>
        </w:tc>
        <w:tc>
          <w:tcPr>
            <w:tcW w:w="585" w:type="dxa"/>
            <w:tcBorders>
              <w:tl2br w:val="nil"/>
              <w:tr2bl w:val="nil"/>
            </w:tcBorders>
            <w:vAlign w:val="center"/>
          </w:tcPr>
          <w:p>
            <w:pPr>
              <w:widowControl/>
              <w:adjustRightInd w:val="0"/>
              <w:snapToGrid w:val="0"/>
              <w:spacing w:line="584" w:lineRule="exact"/>
              <w:jc w:val="center"/>
              <w:rPr>
                <w:rFonts w:hint="eastAsia" w:ascii="仿宋" w:hAnsi="仿宋" w:eastAsia="仿宋" w:cs="仿宋"/>
              </w:rPr>
            </w:pPr>
            <w:r>
              <w:rPr>
                <w:rFonts w:hint="eastAsia" w:ascii="仿宋" w:hAnsi="仿宋" w:eastAsia="仿宋" w:cs="仿宋"/>
                <w:i w:val="0"/>
                <w:color w:val="000000"/>
                <w:kern w:val="0"/>
                <w:sz w:val="21"/>
                <w:szCs w:val="21"/>
                <w:u w:val="none"/>
                <w:lang w:val="en-US" w:eastAsia="zh-CN" w:bidi="ar"/>
              </w:rPr>
              <w:t>≥</w:t>
            </w:r>
          </w:p>
        </w:tc>
        <w:tc>
          <w:tcPr>
            <w:tcW w:w="795" w:type="dxa"/>
            <w:tcBorders>
              <w:tl2br w:val="nil"/>
              <w:tr2bl w:val="nil"/>
            </w:tcBorders>
            <w:vAlign w:val="center"/>
          </w:tcPr>
          <w:p>
            <w:pPr>
              <w:widowControl/>
              <w:adjustRightInd w:val="0"/>
              <w:snapToGrid w:val="0"/>
              <w:spacing w:line="584" w:lineRule="exact"/>
              <w:jc w:val="center"/>
              <w:rPr>
                <w:rFonts w:hint="eastAsia" w:ascii="仿宋" w:hAnsi="仿宋" w:eastAsia="仿宋" w:cs="仿宋"/>
              </w:rPr>
            </w:pPr>
            <w:r>
              <w:rPr>
                <w:rFonts w:hint="eastAsia" w:ascii="仿宋" w:hAnsi="仿宋" w:eastAsia="仿宋" w:cs="仿宋"/>
                <w:lang w:val="en-US" w:eastAsia="zh-CN"/>
              </w:rPr>
              <w:t>100</w:t>
            </w:r>
          </w:p>
        </w:tc>
        <w:tc>
          <w:tcPr>
            <w:tcW w:w="480" w:type="dxa"/>
            <w:tcBorders>
              <w:tl2br w:val="nil"/>
              <w:tr2bl w:val="nil"/>
            </w:tcBorders>
            <w:vAlign w:val="center"/>
          </w:tcPr>
          <w:p>
            <w:pPr>
              <w:widowControl/>
              <w:adjustRightInd w:val="0"/>
              <w:snapToGrid w:val="0"/>
              <w:spacing w:line="584" w:lineRule="exact"/>
              <w:jc w:val="center"/>
              <w:rPr>
                <w:rFonts w:hint="eastAsia" w:ascii="仿宋" w:hAnsi="仿宋" w:eastAsia="仿宋" w:cs="仿宋"/>
              </w:rPr>
            </w:pPr>
            <w:r>
              <w:rPr>
                <w:rFonts w:hint="eastAsia" w:ascii="仿宋" w:hAnsi="仿宋" w:eastAsia="仿宋" w:cs="仿宋"/>
                <w:lang w:val="en-US" w:eastAsia="zh-CN"/>
              </w:rPr>
              <w:t>%</w:t>
            </w:r>
          </w:p>
        </w:tc>
        <w:tc>
          <w:tcPr>
            <w:tcW w:w="2145" w:type="dxa"/>
            <w:tcBorders>
              <w:tl2br w:val="nil"/>
              <w:tr2bl w:val="nil"/>
            </w:tcBorders>
            <w:vAlign w:val="center"/>
          </w:tcPr>
          <w:p>
            <w:pPr>
              <w:widowControl/>
              <w:adjustRightInd w:val="0"/>
              <w:snapToGrid w:val="0"/>
              <w:spacing w:line="584" w:lineRule="exact"/>
              <w:rPr>
                <w:rFonts w:hint="eastAsia" w:ascii="仿宋" w:hAnsi="仿宋" w:eastAsia="仿宋" w:cs="仿宋"/>
              </w:rPr>
            </w:pPr>
            <w:r>
              <w:rPr>
                <w:rFonts w:hint="eastAsia" w:ascii="仿宋" w:hAnsi="仿宋" w:eastAsia="仿宋" w:cs="仿宋"/>
                <w:i w:val="0"/>
                <w:color w:val="000000"/>
                <w:kern w:val="0"/>
                <w:sz w:val="21"/>
                <w:szCs w:val="21"/>
                <w:u w:val="none"/>
                <w:lang w:val="en-US" w:eastAsia="zh-CN" w:bidi="ar"/>
              </w:rPr>
              <w:t>年初工作计划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93" w:hRule="atLeast"/>
        </w:trPr>
        <w:tc>
          <w:tcPr>
            <w:tcW w:w="570" w:type="dxa"/>
            <w:vMerge w:val="continue"/>
            <w:tcBorders>
              <w:tl2br w:val="nil"/>
              <w:tr2bl w:val="nil"/>
            </w:tcBorders>
            <w:vAlign w:val="center"/>
          </w:tcPr>
          <w:p>
            <w:pPr>
              <w:spacing w:line="584" w:lineRule="exact"/>
            </w:pPr>
          </w:p>
        </w:tc>
        <w:tc>
          <w:tcPr>
            <w:tcW w:w="1020" w:type="dxa"/>
            <w:tcBorders>
              <w:tl2br w:val="nil"/>
              <w:tr2bl w:val="nil"/>
            </w:tcBorders>
            <w:vAlign w:val="center"/>
          </w:tcPr>
          <w:p>
            <w:pPr>
              <w:widowControl/>
              <w:adjustRightInd w:val="0"/>
              <w:snapToGrid w:val="0"/>
              <w:spacing w:line="584" w:lineRule="exact"/>
              <w:jc w:val="center"/>
              <w:rPr>
                <w:rFonts w:hint="eastAsia" w:ascii="仿宋" w:hAnsi="仿宋" w:eastAsia="仿宋" w:cs="仿宋"/>
                <w:sz w:val="21"/>
                <w:szCs w:val="21"/>
              </w:rPr>
            </w:pPr>
            <w:r>
              <w:rPr>
                <w:rFonts w:hint="eastAsia" w:ascii="仿宋" w:hAnsi="仿宋" w:eastAsia="仿宋" w:cs="仿宋"/>
                <w:sz w:val="21"/>
                <w:szCs w:val="21"/>
              </w:rPr>
              <w:t>成本</w:t>
            </w:r>
          </w:p>
        </w:tc>
        <w:tc>
          <w:tcPr>
            <w:tcW w:w="2460" w:type="dxa"/>
            <w:tcBorders>
              <w:tl2br w:val="nil"/>
              <w:tr2bl w:val="nil"/>
            </w:tcBorders>
            <w:vAlign w:val="center"/>
          </w:tcPr>
          <w:p>
            <w:pPr>
              <w:keepNext w:val="0"/>
              <w:keepLines w:val="0"/>
              <w:widowControl/>
              <w:suppressLineNumbers w:val="0"/>
              <w:jc w:val="left"/>
              <w:textAlignment w:val="center"/>
              <w:rPr>
                <w:rFonts w:hint="eastAsia" w:ascii="仿宋" w:hAnsi="仿宋" w:eastAsia="仿宋" w:cs="仿宋"/>
                <w:kern w:val="2"/>
                <w:sz w:val="21"/>
                <w:szCs w:val="21"/>
                <w:lang w:val="en-US" w:eastAsia="zh-CN" w:bidi="ar-SA"/>
              </w:rPr>
            </w:pPr>
            <w:r>
              <w:rPr>
                <w:rFonts w:hint="eastAsia" w:ascii="仿宋" w:hAnsi="仿宋" w:eastAsia="仿宋" w:cs="仿宋"/>
                <w:sz w:val="21"/>
                <w:szCs w:val="21"/>
                <w:lang w:eastAsia="zh-CN"/>
              </w:rPr>
              <w:t>成本控制在预算内</w:t>
            </w:r>
          </w:p>
        </w:tc>
        <w:tc>
          <w:tcPr>
            <w:tcW w:w="2805" w:type="dxa"/>
            <w:tcBorders>
              <w:tl2br w:val="nil"/>
              <w:tr2bl w:val="nil"/>
            </w:tcBorders>
            <w:vAlign w:val="center"/>
          </w:tcPr>
          <w:p>
            <w:pPr>
              <w:widowControl/>
              <w:adjustRightInd w:val="0"/>
              <w:snapToGrid w:val="0"/>
              <w:spacing w:line="584" w:lineRule="exact"/>
              <w:rPr>
                <w:rFonts w:hint="eastAsia" w:ascii="仿宋" w:hAnsi="仿宋" w:eastAsia="仿宋" w:cs="仿宋"/>
                <w:sz w:val="21"/>
                <w:szCs w:val="21"/>
                <w:lang w:eastAsia="zh-CN"/>
              </w:rPr>
            </w:pPr>
            <w:r>
              <w:rPr>
                <w:rFonts w:hint="eastAsia" w:ascii="仿宋" w:hAnsi="仿宋" w:eastAsia="仿宋" w:cs="仿宋"/>
                <w:sz w:val="21"/>
                <w:szCs w:val="21"/>
                <w:lang w:eastAsia="zh-CN"/>
              </w:rPr>
              <w:t>实际值为</w:t>
            </w:r>
            <w:r>
              <w:rPr>
                <w:rFonts w:hint="eastAsia" w:ascii="仿宋" w:hAnsi="仿宋" w:eastAsia="仿宋" w:cs="仿宋"/>
                <w:sz w:val="21"/>
                <w:szCs w:val="21"/>
                <w:lang w:val="en-US" w:eastAsia="zh-CN"/>
              </w:rPr>
              <w:t>100%得满分，每降低1%扣权重分10%扣完为止</w:t>
            </w:r>
          </w:p>
        </w:tc>
        <w:tc>
          <w:tcPr>
            <w:tcW w:w="2565" w:type="dxa"/>
            <w:tcBorders>
              <w:tl2br w:val="nil"/>
              <w:tr2bl w:val="nil"/>
            </w:tcBorders>
            <w:vAlign w:val="center"/>
          </w:tcPr>
          <w:p>
            <w:pPr>
              <w:widowControl/>
              <w:adjustRightInd w:val="0"/>
              <w:snapToGrid w:val="0"/>
              <w:spacing w:line="584" w:lineRule="exact"/>
              <w:rPr>
                <w:rFonts w:hint="eastAsia" w:ascii="仿宋" w:hAnsi="仿宋" w:eastAsia="仿宋" w:cs="仿宋"/>
              </w:rPr>
            </w:pPr>
            <w:r>
              <w:rPr>
                <w:rFonts w:hint="eastAsia" w:ascii="仿宋" w:hAnsi="仿宋" w:eastAsia="仿宋" w:cs="仿宋"/>
                <w:sz w:val="21"/>
                <w:szCs w:val="21"/>
                <w:lang w:eastAsia="zh-CN"/>
              </w:rPr>
              <w:t>成本控制在预算内</w:t>
            </w:r>
          </w:p>
        </w:tc>
        <w:tc>
          <w:tcPr>
            <w:tcW w:w="585" w:type="dxa"/>
            <w:tcBorders>
              <w:tl2br w:val="nil"/>
              <w:tr2bl w:val="nil"/>
            </w:tcBorders>
            <w:vAlign w:val="center"/>
          </w:tcPr>
          <w:p>
            <w:pPr>
              <w:widowControl/>
              <w:adjustRightInd w:val="0"/>
              <w:snapToGrid w:val="0"/>
              <w:spacing w:line="584" w:lineRule="exact"/>
              <w:jc w:val="center"/>
              <w:rPr>
                <w:rFonts w:hint="eastAsia" w:ascii="仿宋" w:hAnsi="仿宋" w:eastAsia="仿宋" w:cs="仿宋"/>
                <w:kern w:val="2"/>
                <w:sz w:val="21"/>
                <w:szCs w:val="22"/>
                <w:lang w:val="en-US" w:eastAsia="zh-CN" w:bidi="ar-SA"/>
              </w:rPr>
            </w:pPr>
            <w:r>
              <w:rPr>
                <w:rFonts w:hint="eastAsia" w:ascii="仿宋" w:hAnsi="仿宋" w:eastAsia="仿宋" w:cs="仿宋"/>
                <w:i w:val="0"/>
                <w:color w:val="000000"/>
                <w:kern w:val="0"/>
                <w:sz w:val="21"/>
                <w:szCs w:val="21"/>
                <w:u w:val="none"/>
                <w:lang w:val="en-US" w:eastAsia="zh-CN" w:bidi="ar"/>
              </w:rPr>
              <w:t>≥</w:t>
            </w:r>
          </w:p>
        </w:tc>
        <w:tc>
          <w:tcPr>
            <w:tcW w:w="795" w:type="dxa"/>
            <w:tcBorders>
              <w:tl2br w:val="nil"/>
              <w:tr2bl w:val="nil"/>
            </w:tcBorders>
            <w:vAlign w:val="center"/>
          </w:tcPr>
          <w:p>
            <w:pPr>
              <w:widowControl/>
              <w:adjustRightInd w:val="0"/>
              <w:snapToGrid w:val="0"/>
              <w:spacing w:line="584" w:lineRule="exact"/>
              <w:jc w:val="center"/>
              <w:rPr>
                <w:rFonts w:hint="eastAsia" w:ascii="仿宋" w:hAnsi="仿宋" w:eastAsia="仿宋" w:cs="仿宋"/>
                <w:kern w:val="2"/>
                <w:sz w:val="21"/>
                <w:szCs w:val="22"/>
                <w:lang w:val="en-US" w:eastAsia="zh-CN" w:bidi="ar-SA"/>
              </w:rPr>
            </w:pPr>
            <w:r>
              <w:rPr>
                <w:rFonts w:hint="eastAsia" w:ascii="仿宋" w:hAnsi="仿宋" w:eastAsia="仿宋" w:cs="仿宋"/>
                <w:lang w:val="en-US" w:eastAsia="zh-CN"/>
              </w:rPr>
              <w:t>100</w:t>
            </w:r>
          </w:p>
        </w:tc>
        <w:tc>
          <w:tcPr>
            <w:tcW w:w="480" w:type="dxa"/>
            <w:tcBorders>
              <w:tl2br w:val="nil"/>
              <w:tr2bl w:val="nil"/>
            </w:tcBorders>
            <w:vAlign w:val="center"/>
          </w:tcPr>
          <w:p>
            <w:pPr>
              <w:widowControl/>
              <w:adjustRightInd w:val="0"/>
              <w:snapToGrid w:val="0"/>
              <w:spacing w:line="584" w:lineRule="exact"/>
              <w:jc w:val="center"/>
              <w:rPr>
                <w:rFonts w:hint="eastAsia" w:ascii="仿宋" w:hAnsi="仿宋" w:eastAsia="仿宋" w:cs="仿宋"/>
                <w:kern w:val="2"/>
                <w:sz w:val="21"/>
                <w:szCs w:val="22"/>
                <w:lang w:val="en-US" w:eastAsia="zh-CN" w:bidi="ar-SA"/>
              </w:rPr>
            </w:pPr>
            <w:r>
              <w:rPr>
                <w:rFonts w:hint="eastAsia" w:ascii="仿宋" w:hAnsi="仿宋" w:eastAsia="仿宋" w:cs="仿宋"/>
                <w:lang w:val="en-US" w:eastAsia="zh-CN"/>
              </w:rPr>
              <w:t>%</w:t>
            </w:r>
          </w:p>
        </w:tc>
        <w:tc>
          <w:tcPr>
            <w:tcW w:w="2145" w:type="dxa"/>
            <w:tcBorders>
              <w:tl2br w:val="nil"/>
              <w:tr2bl w:val="nil"/>
            </w:tcBorders>
            <w:vAlign w:val="center"/>
          </w:tcPr>
          <w:p>
            <w:pPr>
              <w:widowControl/>
              <w:adjustRightInd w:val="0"/>
              <w:snapToGrid w:val="0"/>
              <w:spacing w:line="584" w:lineRule="exact"/>
              <w:rPr>
                <w:rFonts w:hint="eastAsia" w:ascii="仿宋" w:hAnsi="仿宋" w:eastAsia="仿宋" w:cs="仿宋"/>
              </w:rPr>
            </w:pPr>
            <w:r>
              <w:rPr>
                <w:rFonts w:hint="eastAsia" w:ascii="仿宋" w:hAnsi="仿宋" w:eastAsia="仿宋" w:cs="仿宋"/>
                <w:i w:val="0"/>
                <w:color w:val="000000"/>
                <w:kern w:val="0"/>
                <w:sz w:val="21"/>
                <w:szCs w:val="21"/>
                <w:u w:val="none"/>
                <w:lang w:val="en-US" w:eastAsia="zh-CN" w:bidi="ar"/>
              </w:rPr>
              <w:t>年初工作计划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977" w:hRule="atLeast"/>
        </w:trPr>
        <w:tc>
          <w:tcPr>
            <w:tcW w:w="570" w:type="dxa"/>
            <w:vMerge w:val="restart"/>
            <w:tcBorders>
              <w:tl2br w:val="nil"/>
              <w:tr2bl w:val="nil"/>
            </w:tcBorders>
            <w:vAlign w:val="center"/>
          </w:tcPr>
          <w:p>
            <w:pPr>
              <w:adjustRightInd w:val="0"/>
              <w:snapToGrid w:val="0"/>
              <w:spacing w:line="584" w:lineRule="exact"/>
              <w:jc w:val="center"/>
              <w:rPr>
                <w:rFonts w:ascii="方正书宋_GBK" w:eastAsia="方正书宋_GBK"/>
              </w:rPr>
            </w:pPr>
            <w:r>
              <w:rPr>
                <w:rFonts w:hint="eastAsia" w:ascii="方正书宋_GBK" w:eastAsia="方正书宋_GBK"/>
                <w:lang w:eastAsia="zh-CN"/>
              </w:rPr>
              <w:t>单位</w:t>
            </w:r>
            <w:r>
              <w:rPr>
                <w:rFonts w:hint="eastAsia" w:ascii="方正书宋_GBK" w:eastAsia="方正书宋_GBK"/>
              </w:rPr>
              <w:t>效果</w:t>
            </w:r>
          </w:p>
        </w:tc>
        <w:tc>
          <w:tcPr>
            <w:tcW w:w="1020" w:type="dxa"/>
            <w:tcBorders>
              <w:tl2br w:val="nil"/>
              <w:tr2bl w:val="nil"/>
            </w:tcBorders>
            <w:vAlign w:val="center"/>
          </w:tcPr>
          <w:p>
            <w:pPr>
              <w:widowControl/>
              <w:adjustRightInd w:val="0"/>
              <w:snapToGrid w:val="0"/>
              <w:spacing w:line="584" w:lineRule="exact"/>
              <w:jc w:val="center"/>
              <w:rPr>
                <w:rFonts w:hint="eastAsia" w:ascii="仿宋" w:hAnsi="仿宋" w:eastAsia="仿宋" w:cs="仿宋"/>
                <w:sz w:val="21"/>
                <w:szCs w:val="21"/>
              </w:rPr>
            </w:pPr>
            <w:r>
              <w:rPr>
                <w:rFonts w:hint="eastAsia" w:ascii="仿宋" w:hAnsi="仿宋" w:eastAsia="仿宋" w:cs="仿宋"/>
                <w:sz w:val="21"/>
                <w:szCs w:val="21"/>
              </w:rPr>
              <w:t>社会效益</w:t>
            </w:r>
          </w:p>
        </w:tc>
        <w:tc>
          <w:tcPr>
            <w:tcW w:w="2460" w:type="dxa"/>
            <w:tcBorders>
              <w:tl2br w:val="nil"/>
              <w:tr2bl w:val="nil"/>
            </w:tcBorders>
            <w:vAlign w:val="center"/>
          </w:tcPr>
          <w:p>
            <w:pPr>
              <w:widowControl/>
              <w:adjustRightInd w:val="0"/>
              <w:snapToGrid w:val="0"/>
              <w:spacing w:line="584" w:lineRule="exact"/>
              <w:rPr>
                <w:rFonts w:hint="eastAsia" w:ascii="仿宋" w:hAnsi="仿宋" w:eastAsia="仿宋" w:cs="仿宋"/>
                <w:sz w:val="21"/>
                <w:szCs w:val="21"/>
              </w:rPr>
            </w:pPr>
            <w:r>
              <w:rPr>
                <w:rFonts w:hint="eastAsia" w:ascii="仿宋" w:hAnsi="仿宋" w:eastAsia="仿宋" w:cs="仿宋"/>
                <w:lang w:eastAsia="zh-CN"/>
              </w:rPr>
              <w:t>部门工作对社会效益发展带来的直接或间接影响率</w:t>
            </w:r>
          </w:p>
        </w:tc>
        <w:tc>
          <w:tcPr>
            <w:tcW w:w="2805" w:type="dxa"/>
            <w:tcBorders>
              <w:tl2br w:val="nil"/>
              <w:tr2bl w:val="nil"/>
            </w:tcBorders>
            <w:vAlign w:val="center"/>
          </w:tcPr>
          <w:p>
            <w:pPr>
              <w:widowControl/>
              <w:adjustRightInd w:val="0"/>
              <w:snapToGrid w:val="0"/>
              <w:spacing w:line="584" w:lineRule="exact"/>
              <w:rPr>
                <w:rFonts w:hint="eastAsia" w:ascii="仿宋" w:hAnsi="仿宋" w:eastAsia="仿宋" w:cs="仿宋"/>
                <w:sz w:val="21"/>
                <w:szCs w:val="21"/>
                <w:lang w:eastAsia="zh-CN"/>
              </w:rPr>
            </w:pPr>
            <w:r>
              <w:rPr>
                <w:rFonts w:hint="eastAsia" w:ascii="仿宋" w:hAnsi="仿宋" w:eastAsia="仿宋" w:cs="仿宋"/>
                <w:sz w:val="21"/>
                <w:szCs w:val="21"/>
                <w:lang w:eastAsia="zh-CN"/>
              </w:rPr>
              <w:t>实际值为</w:t>
            </w:r>
            <w:r>
              <w:rPr>
                <w:rFonts w:hint="eastAsia" w:ascii="仿宋" w:hAnsi="仿宋" w:eastAsia="仿宋" w:cs="仿宋"/>
                <w:sz w:val="21"/>
                <w:szCs w:val="21"/>
                <w:lang w:val="en-US" w:eastAsia="zh-CN"/>
              </w:rPr>
              <w:t>100%得满分，每降低1%扣权重分10%扣完为止</w:t>
            </w:r>
          </w:p>
        </w:tc>
        <w:tc>
          <w:tcPr>
            <w:tcW w:w="2565" w:type="dxa"/>
            <w:tcBorders>
              <w:tl2br w:val="nil"/>
              <w:tr2bl w:val="nil"/>
            </w:tcBorders>
            <w:vAlign w:val="center"/>
          </w:tcPr>
          <w:p>
            <w:pPr>
              <w:widowControl/>
              <w:adjustRightInd w:val="0"/>
              <w:snapToGrid w:val="0"/>
              <w:spacing w:line="584" w:lineRule="exact"/>
              <w:rPr>
                <w:rFonts w:hint="eastAsia" w:ascii="仿宋" w:hAnsi="仿宋" w:eastAsia="仿宋" w:cs="仿宋"/>
              </w:rPr>
            </w:pPr>
            <w:r>
              <w:rPr>
                <w:rFonts w:hint="eastAsia" w:ascii="仿宋" w:hAnsi="仿宋" w:eastAsia="仿宋" w:cs="仿宋"/>
                <w:lang w:eastAsia="zh-CN"/>
              </w:rPr>
              <w:t>部门工作对社会效益发展带来的直接或间接影响情况</w:t>
            </w:r>
          </w:p>
        </w:tc>
        <w:tc>
          <w:tcPr>
            <w:tcW w:w="585" w:type="dxa"/>
            <w:tcBorders>
              <w:tl2br w:val="nil"/>
              <w:tr2bl w:val="nil"/>
            </w:tcBorders>
            <w:vAlign w:val="center"/>
          </w:tcPr>
          <w:p>
            <w:pPr>
              <w:widowControl/>
              <w:adjustRightInd w:val="0"/>
              <w:snapToGrid w:val="0"/>
              <w:spacing w:line="584" w:lineRule="exact"/>
              <w:jc w:val="center"/>
              <w:rPr>
                <w:rFonts w:hint="eastAsia" w:ascii="仿宋" w:hAnsi="仿宋" w:eastAsia="仿宋" w:cs="仿宋"/>
              </w:rPr>
            </w:pPr>
            <w:r>
              <w:rPr>
                <w:rFonts w:hint="eastAsia" w:ascii="仿宋" w:hAnsi="仿宋" w:eastAsia="仿宋" w:cs="仿宋"/>
                <w:i w:val="0"/>
                <w:color w:val="000000"/>
                <w:kern w:val="0"/>
                <w:sz w:val="21"/>
                <w:szCs w:val="21"/>
                <w:u w:val="none"/>
                <w:lang w:val="en-US" w:eastAsia="zh-CN" w:bidi="ar"/>
              </w:rPr>
              <w:t>≥</w:t>
            </w:r>
          </w:p>
        </w:tc>
        <w:tc>
          <w:tcPr>
            <w:tcW w:w="795" w:type="dxa"/>
            <w:tcBorders>
              <w:tl2br w:val="nil"/>
              <w:tr2bl w:val="nil"/>
            </w:tcBorders>
            <w:vAlign w:val="center"/>
          </w:tcPr>
          <w:p>
            <w:pPr>
              <w:widowControl/>
              <w:adjustRightInd w:val="0"/>
              <w:snapToGrid w:val="0"/>
              <w:spacing w:line="584" w:lineRule="exact"/>
              <w:jc w:val="center"/>
              <w:rPr>
                <w:rFonts w:hint="eastAsia" w:ascii="仿宋" w:hAnsi="仿宋" w:eastAsia="仿宋" w:cs="仿宋"/>
              </w:rPr>
            </w:pPr>
            <w:r>
              <w:rPr>
                <w:rFonts w:hint="eastAsia" w:ascii="仿宋" w:hAnsi="仿宋" w:eastAsia="仿宋" w:cs="仿宋"/>
                <w:lang w:val="en-US" w:eastAsia="zh-CN"/>
              </w:rPr>
              <w:t>100</w:t>
            </w:r>
          </w:p>
        </w:tc>
        <w:tc>
          <w:tcPr>
            <w:tcW w:w="480" w:type="dxa"/>
            <w:tcBorders>
              <w:tl2br w:val="nil"/>
              <w:tr2bl w:val="nil"/>
            </w:tcBorders>
            <w:vAlign w:val="center"/>
          </w:tcPr>
          <w:p>
            <w:pPr>
              <w:widowControl/>
              <w:adjustRightInd w:val="0"/>
              <w:snapToGrid w:val="0"/>
              <w:spacing w:line="584" w:lineRule="exact"/>
              <w:jc w:val="center"/>
              <w:rPr>
                <w:rFonts w:hint="eastAsia" w:ascii="仿宋" w:hAnsi="仿宋" w:eastAsia="仿宋" w:cs="仿宋"/>
              </w:rPr>
            </w:pPr>
            <w:r>
              <w:rPr>
                <w:rFonts w:hint="eastAsia" w:ascii="仿宋" w:hAnsi="仿宋" w:eastAsia="仿宋" w:cs="仿宋"/>
                <w:lang w:val="en-US" w:eastAsia="zh-CN"/>
              </w:rPr>
              <w:t>%</w:t>
            </w:r>
          </w:p>
        </w:tc>
        <w:tc>
          <w:tcPr>
            <w:tcW w:w="2145" w:type="dxa"/>
            <w:tcBorders>
              <w:tl2br w:val="nil"/>
              <w:tr2bl w:val="nil"/>
            </w:tcBorders>
            <w:vAlign w:val="center"/>
          </w:tcPr>
          <w:p>
            <w:pPr>
              <w:widowControl/>
              <w:adjustRightInd w:val="0"/>
              <w:snapToGrid w:val="0"/>
              <w:spacing w:line="584" w:lineRule="exact"/>
              <w:rPr>
                <w:rFonts w:hint="eastAsia" w:ascii="仿宋" w:hAnsi="仿宋" w:eastAsia="仿宋" w:cs="仿宋"/>
                <w:kern w:val="2"/>
                <w:sz w:val="21"/>
                <w:szCs w:val="22"/>
                <w:lang w:val="en-US" w:eastAsia="zh-CN" w:bidi="ar-SA"/>
              </w:rPr>
            </w:pPr>
            <w:r>
              <w:rPr>
                <w:rFonts w:hint="eastAsia" w:ascii="仿宋" w:hAnsi="仿宋" w:eastAsia="仿宋" w:cs="仿宋"/>
                <w:i w:val="0"/>
                <w:color w:val="000000"/>
                <w:kern w:val="0"/>
                <w:sz w:val="21"/>
                <w:szCs w:val="21"/>
                <w:u w:val="none"/>
                <w:lang w:val="en-US" w:eastAsia="zh-CN" w:bidi="ar"/>
              </w:rPr>
              <w:t>年初工作计划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1" w:hRule="atLeast"/>
        </w:trPr>
        <w:tc>
          <w:tcPr>
            <w:tcW w:w="570" w:type="dxa"/>
            <w:vMerge w:val="continue"/>
            <w:tcBorders>
              <w:tl2br w:val="nil"/>
              <w:tr2bl w:val="nil"/>
            </w:tcBorders>
            <w:vAlign w:val="center"/>
          </w:tcPr>
          <w:p>
            <w:pPr>
              <w:spacing w:line="584" w:lineRule="exact"/>
            </w:pPr>
          </w:p>
        </w:tc>
        <w:tc>
          <w:tcPr>
            <w:tcW w:w="1020" w:type="dxa"/>
            <w:tcBorders>
              <w:tl2br w:val="nil"/>
              <w:tr2bl w:val="nil"/>
            </w:tcBorders>
            <w:vAlign w:val="center"/>
          </w:tcPr>
          <w:p>
            <w:pPr>
              <w:widowControl/>
              <w:adjustRightInd w:val="0"/>
              <w:snapToGrid w:val="0"/>
              <w:spacing w:line="584" w:lineRule="exact"/>
              <w:jc w:val="center"/>
              <w:rPr>
                <w:rFonts w:hint="eastAsia" w:ascii="仿宋" w:hAnsi="仿宋" w:eastAsia="仿宋" w:cs="仿宋"/>
              </w:rPr>
            </w:pPr>
            <w:r>
              <w:rPr>
                <w:rFonts w:hint="eastAsia" w:ascii="仿宋" w:hAnsi="仿宋" w:eastAsia="仿宋" w:cs="仿宋"/>
              </w:rPr>
              <w:t>经济</w:t>
            </w:r>
          </w:p>
          <w:p>
            <w:pPr>
              <w:widowControl/>
              <w:adjustRightInd w:val="0"/>
              <w:snapToGrid w:val="0"/>
              <w:spacing w:line="584" w:lineRule="exact"/>
              <w:jc w:val="center"/>
              <w:rPr>
                <w:rFonts w:hint="eastAsia" w:ascii="仿宋" w:hAnsi="仿宋" w:eastAsia="仿宋" w:cs="仿宋"/>
              </w:rPr>
            </w:pPr>
            <w:r>
              <w:rPr>
                <w:rFonts w:hint="eastAsia" w:ascii="仿宋" w:hAnsi="仿宋" w:eastAsia="仿宋" w:cs="仿宋"/>
              </w:rPr>
              <w:t>效益</w:t>
            </w:r>
          </w:p>
        </w:tc>
        <w:tc>
          <w:tcPr>
            <w:tcW w:w="2460" w:type="dxa"/>
            <w:tcBorders>
              <w:tl2br w:val="nil"/>
              <w:tr2bl w:val="nil"/>
            </w:tcBorders>
            <w:vAlign w:val="center"/>
          </w:tcPr>
          <w:p>
            <w:pPr>
              <w:widowControl/>
              <w:adjustRightInd w:val="0"/>
              <w:snapToGrid w:val="0"/>
              <w:spacing w:line="584" w:lineRule="exact"/>
              <w:rPr>
                <w:rFonts w:hint="eastAsia" w:ascii="仿宋" w:hAnsi="仿宋" w:eastAsia="仿宋" w:cs="仿宋"/>
                <w:lang w:eastAsia="zh-CN"/>
              </w:rPr>
            </w:pPr>
            <w:r>
              <w:rPr>
                <w:rFonts w:hint="eastAsia" w:ascii="仿宋" w:hAnsi="仿宋" w:eastAsia="仿宋" w:cs="仿宋"/>
                <w:lang w:eastAsia="zh-CN"/>
              </w:rPr>
              <w:t>部门工作对经济效益发展带来的直接或间接影响率</w:t>
            </w:r>
          </w:p>
        </w:tc>
        <w:tc>
          <w:tcPr>
            <w:tcW w:w="2805" w:type="dxa"/>
            <w:tcBorders>
              <w:tl2br w:val="nil"/>
              <w:tr2bl w:val="nil"/>
            </w:tcBorders>
            <w:vAlign w:val="center"/>
          </w:tcPr>
          <w:p>
            <w:pPr>
              <w:widowControl/>
              <w:adjustRightInd w:val="0"/>
              <w:snapToGrid w:val="0"/>
              <w:spacing w:line="584" w:lineRule="exact"/>
              <w:rPr>
                <w:rFonts w:hint="eastAsia" w:ascii="仿宋" w:hAnsi="仿宋" w:eastAsia="仿宋" w:cs="仿宋"/>
                <w:lang w:eastAsia="zh-CN"/>
              </w:rPr>
            </w:pPr>
            <w:r>
              <w:rPr>
                <w:rFonts w:hint="eastAsia" w:ascii="仿宋" w:hAnsi="仿宋" w:eastAsia="仿宋" w:cs="仿宋"/>
                <w:sz w:val="21"/>
                <w:szCs w:val="21"/>
                <w:lang w:eastAsia="zh-CN"/>
              </w:rPr>
              <w:t>实际值为</w:t>
            </w:r>
            <w:r>
              <w:rPr>
                <w:rFonts w:hint="eastAsia" w:ascii="仿宋" w:hAnsi="仿宋" w:eastAsia="仿宋" w:cs="仿宋"/>
                <w:sz w:val="21"/>
                <w:szCs w:val="21"/>
                <w:lang w:val="en-US" w:eastAsia="zh-CN"/>
              </w:rPr>
              <w:t>100%得满分，每降低1%扣权重分10%扣完为止</w:t>
            </w:r>
          </w:p>
        </w:tc>
        <w:tc>
          <w:tcPr>
            <w:tcW w:w="2565" w:type="dxa"/>
            <w:tcBorders>
              <w:tl2br w:val="nil"/>
              <w:tr2bl w:val="nil"/>
            </w:tcBorders>
            <w:vAlign w:val="center"/>
          </w:tcPr>
          <w:p>
            <w:pPr>
              <w:widowControl/>
              <w:adjustRightInd w:val="0"/>
              <w:snapToGrid w:val="0"/>
              <w:spacing w:line="584" w:lineRule="exact"/>
              <w:rPr>
                <w:rFonts w:hint="eastAsia" w:ascii="仿宋" w:hAnsi="仿宋" w:eastAsia="仿宋" w:cs="仿宋"/>
              </w:rPr>
            </w:pPr>
            <w:r>
              <w:rPr>
                <w:rFonts w:hint="eastAsia" w:ascii="仿宋" w:hAnsi="仿宋" w:eastAsia="仿宋" w:cs="仿宋"/>
                <w:lang w:eastAsia="zh-CN"/>
              </w:rPr>
              <w:t>部门工作对经济效益发展带来的直接或间接影响情况</w:t>
            </w:r>
          </w:p>
        </w:tc>
        <w:tc>
          <w:tcPr>
            <w:tcW w:w="585" w:type="dxa"/>
            <w:tcBorders>
              <w:tl2br w:val="nil"/>
              <w:tr2bl w:val="nil"/>
            </w:tcBorders>
            <w:vAlign w:val="center"/>
          </w:tcPr>
          <w:p>
            <w:pPr>
              <w:widowControl/>
              <w:adjustRightInd w:val="0"/>
              <w:snapToGrid w:val="0"/>
              <w:spacing w:line="584" w:lineRule="exact"/>
              <w:jc w:val="center"/>
              <w:rPr>
                <w:rFonts w:hint="eastAsia" w:ascii="仿宋" w:hAnsi="仿宋" w:eastAsia="仿宋" w:cs="仿宋"/>
                <w:kern w:val="2"/>
                <w:sz w:val="21"/>
                <w:szCs w:val="22"/>
                <w:lang w:val="en-US" w:eastAsia="zh-CN" w:bidi="ar-SA"/>
              </w:rPr>
            </w:pPr>
            <w:r>
              <w:rPr>
                <w:rFonts w:hint="eastAsia" w:ascii="仿宋" w:hAnsi="仿宋" w:eastAsia="仿宋" w:cs="仿宋"/>
                <w:i w:val="0"/>
                <w:color w:val="000000"/>
                <w:kern w:val="0"/>
                <w:sz w:val="21"/>
                <w:szCs w:val="21"/>
                <w:u w:val="none"/>
                <w:lang w:val="en-US" w:eastAsia="zh-CN" w:bidi="ar"/>
              </w:rPr>
              <w:t>≥</w:t>
            </w:r>
          </w:p>
        </w:tc>
        <w:tc>
          <w:tcPr>
            <w:tcW w:w="795" w:type="dxa"/>
            <w:tcBorders>
              <w:tl2br w:val="nil"/>
              <w:tr2bl w:val="nil"/>
            </w:tcBorders>
            <w:vAlign w:val="center"/>
          </w:tcPr>
          <w:p>
            <w:pPr>
              <w:widowControl/>
              <w:adjustRightInd w:val="0"/>
              <w:snapToGrid w:val="0"/>
              <w:spacing w:line="584" w:lineRule="exact"/>
              <w:jc w:val="center"/>
              <w:rPr>
                <w:rFonts w:hint="eastAsia" w:ascii="仿宋" w:hAnsi="仿宋" w:eastAsia="仿宋" w:cs="仿宋"/>
                <w:kern w:val="2"/>
                <w:sz w:val="21"/>
                <w:szCs w:val="22"/>
                <w:lang w:val="en-US" w:eastAsia="zh-CN" w:bidi="ar-SA"/>
              </w:rPr>
            </w:pPr>
            <w:r>
              <w:rPr>
                <w:rFonts w:hint="eastAsia" w:ascii="仿宋" w:hAnsi="仿宋" w:eastAsia="仿宋" w:cs="仿宋"/>
                <w:lang w:val="en-US" w:eastAsia="zh-CN"/>
              </w:rPr>
              <w:t>100</w:t>
            </w:r>
          </w:p>
        </w:tc>
        <w:tc>
          <w:tcPr>
            <w:tcW w:w="480" w:type="dxa"/>
            <w:tcBorders>
              <w:tl2br w:val="nil"/>
              <w:tr2bl w:val="nil"/>
            </w:tcBorders>
            <w:vAlign w:val="center"/>
          </w:tcPr>
          <w:p>
            <w:pPr>
              <w:widowControl/>
              <w:adjustRightInd w:val="0"/>
              <w:snapToGrid w:val="0"/>
              <w:spacing w:line="584" w:lineRule="exact"/>
              <w:jc w:val="center"/>
              <w:rPr>
                <w:rFonts w:hint="eastAsia" w:ascii="仿宋" w:hAnsi="仿宋" w:eastAsia="仿宋" w:cs="仿宋"/>
                <w:kern w:val="2"/>
                <w:sz w:val="21"/>
                <w:szCs w:val="22"/>
                <w:lang w:val="en-US" w:eastAsia="zh-CN" w:bidi="ar-SA"/>
              </w:rPr>
            </w:pPr>
            <w:r>
              <w:rPr>
                <w:rFonts w:hint="eastAsia" w:ascii="仿宋" w:hAnsi="仿宋" w:eastAsia="仿宋" w:cs="仿宋"/>
                <w:lang w:val="en-US" w:eastAsia="zh-CN"/>
              </w:rPr>
              <w:t>%</w:t>
            </w:r>
          </w:p>
        </w:tc>
        <w:tc>
          <w:tcPr>
            <w:tcW w:w="2145" w:type="dxa"/>
            <w:tcBorders>
              <w:tl2br w:val="nil"/>
              <w:tr2bl w:val="nil"/>
            </w:tcBorders>
            <w:vAlign w:val="center"/>
          </w:tcPr>
          <w:p>
            <w:pPr>
              <w:widowControl/>
              <w:adjustRightInd w:val="0"/>
              <w:snapToGrid w:val="0"/>
              <w:spacing w:line="584" w:lineRule="exact"/>
              <w:rPr>
                <w:rFonts w:hint="eastAsia" w:ascii="仿宋" w:hAnsi="仿宋" w:eastAsia="仿宋" w:cs="仿宋"/>
                <w:kern w:val="2"/>
                <w:sz w:val="21"/>
                <w:szCs w:val="22"/>
                <w:lang w:val="en-US" w:eastAsia="zh-CN" w:bidi="ar-SA"/>
              </w:rPr>
            </w:pPr>
            <w:r>
              <w:rPr>
                <w:rFonts w:hint="eastAsia" w:ascii="仿宋" w:hAnsi="仿宋" w:eastAsia="仿宋" w:cs="仿宋"/>
                <w:i w:val="0"/>
                <w:color w:val="000000"/>
                <w:kern w:val="0"/>
                <w:sz w:val="21"/>
                <w:szCs w:val="21"/>
                <w:u w:val="none"/>
                <w:lang w:val="en-US" w:eastAsia="zh-CN" w:bidi="ar"/>
              </w:rPr>
              <w:t>年初工作计划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977" w:hRule="atLeast"/>
        </w:trPr>
        <w:tc>
          <w:tcPr>
            <w:tcW w:w="570" w:type="dxa"/>
            <w:vMerge w:val="continue"/>
            <w:tcBorders>
              <w:tl2br w:val="nil"/>
              <w:tr2bl w:val="nil"/>
            </w:tcBorders>
            <w:vAlign w:val="center"/>
          </w:tcPr>
          <w:p>
            <w:pPr>
              <w:spacing w:line="584" w:lineRule="exact"/>
            </w:pPr>
          </w:p>
        </w:tc>
        <w:tc>
          <w:tcPr>
            <w:tcW w:w="1020" w:type="dxa"/>
            <w:tcBorders>
              <w:tl2br w:val="nil"/>
              <w:tr2bl w:val="nil"/>
            </w:tcBorders>
            <w:vAlign w:val="center"/>
          </w:tcPr>
          <w:p>
            <w:pPr>
              <w:widowControl/>
              <w:adjustRightInd w:val="0"/>
              <w:snapToGrid w:val="0"/>
              <w:spacing w:line="584" w:lineRule="exact"/>
              <w:jc w:val="center"/>
              <w:rPr>
                <w:rFonts w:hint="eastAsia" w:ascii="仿宋" w:hAnsi="仿宋" w:eastAsia="仿宋" w:cs="仿宋"/>
              </w:rPr>
            </w:pPr>
            <w:r>
              <w:rPr>
                <w:rFonts w:hint="eastAsia" w:ascii="仿宋" w:hAnsi="仿宋" w:eastAsia="仿宋" w:cs="仿宋"/>
              </w:rPr>
              <w:t>生态</w:t>
            </w:r>
          </w:p>
          <w:p>
            <w:pPr>
              <w:widowControl/>
              <w:adjustRightInd w:val="0"/>
              <w:snapToGrid w:val="0"/>
              <w:spacing w:line="584" w:lineRule="exact"/>
              <w:jc w:val="center"/>
              <w:rPr>
                <w:rFonts w:hint="eastAsia" w:ascii="仿宋" w:hAnsi="仿宋" w:eastAsia="仿宋" w:cs="仿宋"/>
              </w:rPr>
            </w:pPr>
            <w:r>
              <w:rPr>
                <w:rFonts w:hint="eastAsia" w:ascii="仿宋" w:hAnsi="仿宋" w:eastAsia="仿宋" w:cs="仿宋"/>
              </w:rPr>
              <w:t>效益</w:t>
            </w:r>
          </w:p>
        </w:tc>
        <w:tc>
          <w:tcPr>
            <w:tcW w:w="2460" w:type="dxa"/>
            <w:tcBorders>
              <w:tl2br w:val="nil"/>
              <w:tr2bl w:val="nil"/>
            </w:tcBorders>
            <w:vAlign w:val="center"/>
          </w:tcPr>
          <w:p>
            <w:pPr>
              <w:widowControl/>
              <w:adjustRightInd w:val="0"/>
              <w:snapToGrid w:val="0"/>
              <w:spacing w:line="584" w:lineRule="exact"/>
              <w:rPr>
                <w:rFonts w:hint="eastAsia" w:ascii="仿宋" w:hAnsi="仿宋" w:eastAsia="仿宋" w:cs="仿宋"/>
                <w:lang w:eastAsia="zh-CN"/>
              </w:rPr>
            </w:pPr>
            <w:r>
              <w:rPr>
                <w:rFonts w:hint="eastAsia" w:ascii="仿宋" w:hAnsi="仿宋" w:eastAsia="仿宋" w:cs="仿宋"/>
                <w:lang w:eastAsia="zh-CN"/>
              </w:rPr>
              <w:t>部门工作对生态效益发展带来的直接或间接影响率</w:t>
            </w:r>
          </w:p>
        </w:tc>
        <w:tc>
          <w:tcPr>
            <w:tcW w:w="2805" w:type="dxa"/>
            <w:tcBorders>
              <w:tl2br w:val="nil"/>
              <w:tr2bl w:val="nil"/>
            </w:tcBorders>
            <w:vAlign w:val="center"/>
          </w:tcPr>
          <w:p>
            <w:pPr>
              <w:widowControl/>
              <w:adjustRightInd w:val="0"/>
              <w:snapToGrid w:val="0"/>
              <w:spacing w:line="584" w:lineRule="exact"/>
              <w:rPr>
                <w:rFonts w:hint="eastAsia" w:ascii="仿宋" w:hAnsi="仿宋" w:eastAsia="仿宋" w:cs="仿宋"/>
              </w:rPr>
            </w:pPr>
            <w:r>
              <w:rPr>
                <w:rFonts w:hint="eastAsia" w:ascii="仿宋" w:hAnsi="仿宋" w:eastAsia="仿宋" w:cs="仿宋"/>
                <w:sz w:val="21"/>
                <w:szCs w:val="21"/>
                <w:lang w:eastAsia="zh-CN"/>
              </w:rPr>
              <w:t>实际值为</w:t>
            </w:r>
            <w:r>
              <w:rPr>
                <w:rFonts w:hint="eastAsia" w:ascii="仿宋" w:hAnsi="仿宋" w:eastAsia="仿宋" w:cs="仿宋"/>
                <w:sz w:val="21"/>
                <w:szCs w:val="21"/>
                <w:lang w:val="en-US" w:eastAsia="zh-CN"/>
              </w:rPr>
              <w:t>100%得满分，每降低1%扣权重分10%扣完为止</w:t>
            </w:r>
          </w:p>
        </w:tc>
        <w:tc>
          <w:tcPr>
            <w:tcW w:w="2565" w:type="dxa"/>
            <w:tcBorders>
              <w:tl2br w:val="nil"/>
              <w:tr2bl w:val="nil"/>
            </w:tcBorders>
            <w:vAlign w:val="center"/>
          </w:tcPr>
          <w:p>
            <w:pPr>
              <w:widowControl/>
              <w:adjustRightInd w:val="0"/>
              <w:snapToGrid w:val="0"/>
              <w:spacing w:line="584" w:lineRule="exact"/>
              <w:rPr>
                <w:rFonts w:hint="eastAsia" w:ascii="仿宋" w:hAnsi="仿宋" w:eastAsia="仿宋" w:cs="仿宋"/>
              </w:rPr>
            </w:pPr>
            <w:r>
              <w:rPr>
                <w:rFonts w:hint="eastAsia" w:ascii="仿宋" w:hAnsi="仿宋" w:eastAsia="仿宋" w:cs="仿宋"/>
                <w:lang w:eastAsia="zh-CN"/>
              </w:rPr>
              <w:t>部门工作对生态效益发展带来的直接或间接影响率</w:t>
            </w:r>
          </w:p>
        </w:tc>
        <w:tc>
          <w:tcPr>
            <w:tcW w:w="585" w:type="dxa"/>
            <w:tcBorders>
              <w:tl2br w:val="nil"/>
              <w:tr2bl w:val="nil"/>
            </w:tcBorders>
            <w:vAlign w:val="center"/>
          </w:tcPr>
          <w:p>
            <w:pPr>
              <w:widowControl/>
              <w:adjustRightInd w:val="0"/>
              <w:snapToGrid w:val="0"/>
              <w:spacing w:line="584" w:lineRule="exact"/>
              <w:jc w:val="center"/>
              <w:rPr>
                <w:rFonts w:hint="eastAsia" w:ascii="仿宋" w:hAnsi="仿宋" w:eastAsia="仿宋" w:cs="仿宋"/>
                <w:kern w:val="2"/>
                <w:sz w:val="21"/>
                <w:szCs w:val="22"/>
                <w:lang w:val="en-US" w:eastAsia="zh-CN" w:bidi="ar-SA"/>
              </w:rPr>
            </w:pPr>
            <w:r>
              <w:rPr>
                <w:rFonts w:hint="eastAsia" w:ascii="仿宋" w:hAnsi="仿宋" w:eastAsia="仿宋" w:cs="仿宋"/>
                <w:i w:val="0"/>
                <w:color w:val="000000"/>
                <w:kern w:val="0"/>
                <w:sz w:val="21"/>
                <w:szCs w:val="21"/>
                <w:u w:val="none"/>
                <w:lang w:val="en-US" w:eastAsia="zh-CN" w:bidi="ar"/>
              </w:rPr>
              <w:t>≥</w:t>
            </w:r>
          </w:p>
        </w:tc>
        <w:tc>
          <w:tcPr>
            <w:tcW w:w="795" w:type="dxa"/>
            <w:tcBorders>
              <w:tl2br w:val="nil"/>
              <w:tr2bl w:val="nil"/>
            </w:tcBorders>
            <w:vAlign w:val="center"/>
          </w:tcPr>
          <w:p>
            <w:pPr>
              <w:widowControl/>
              <w:adjustRightInd w:val="0"/>
              <w:snapToGrid w:val="0"/>
              <w:spacing w:line="584" w:lineRule="exact"/>
              <w:jc w:val="center"/>
              <w:rPr>
                <w:rFonts w:hint="eastAsia" w:ascii="仿宋" w:hAnsi="仿宋" w:eastAsia="仿宋" w:cs="仿宋"/>
                <w:kern w:val="2"/>
                <w:sz w:val="21"/>
                <w:szCs w:val="22"/>
                <w:lang w:val="en-US" w:eastAsia="zh-CN" w:bidi="ar-SA"/>
              </w:rPr>
            </w:pPr>
            <w:r>
              <w:rPr>
                <w:rFonts w:hint="eastAsia" w:ascii="仿宋" w:hAnsi="仿宋" w:eastAsia="仿宋" w:cs="仿宋"/>
                <w:lang w:val="en-US" w:eastAsia="zh-CN"/>
              </w:rPr>
              <w:t>100</w:t>
            </w:r>
          </w:p>
        </w:tc>
        <w:tc>
          <w:tcPr>
            <w:tcW w:w="480" w:type="dxa"/>
            <w:tcBorders>
              <w:tl2br w:val="nil"/>
              <w:tr2bl w:val="nil"/>
            </w:tcBorders>
            <w:vAlign w:val="center"/>
          </w:tcPr>
          <w:p>
            <w:pPr>
              <w:widowControl/>
              <w:adjustRightInd w:val="0"/>
              <w:snapToGrid w:val="0"/>
              <w:spacing w:line="584" w:lineRule="exact"/>
              <w:jc w:val="center"/>
              <w:rPr>
                <w:rFonts w:hint="eastAsia" w:ascii="仿宋" w:hAnsi="仿宋" w:eastAsia="仿宋" w:cs="仿宋"/>
                <w:kern w:val="2"/>
                <w:sz w:val="21"/>
                <w:szCs w:val="22"/>
                <w:lang w:val="en-US" w:eastAsia="zh-CN" w:bidi="ar-SA"/>
              </w:rPr>
            </w:pPr>
            <w:r>
              <w:rPr>
                <w:rFonts w:hint="eastAsia" w:ascii="仿宋" w:hAnsi="仿宋" w:eastAsia="仿宋" w:cs="仿宋"/>
                <w:lang w:val="en-US" w:eastAsia="zh-CN"/>
              </w:rPr>
              <w:t>%</w:t>
            </w:r>
          </w:p>
        </w:tc>
        <w:tc>
          <w:tcPr>
            <w:tcW w:w="2145" w:type="dxa"/>
            <w:tcBorders>
              <w:tl2br w:val="nil"/>
              <w:tr2bl w:val="nil"/>
            </w:tcBorders>
            <w:vAlign w:val="center"/>
          </w:tcPr>
          <w:p>
            <w:pPr>
              <w:widowControl/>
              <w:adjustRightInd w:val="0"/>
              <w:snapToGrid w:val="0"/>
              <w:spacing w:line="584" w:lineRule="exact"/>
              <w:rPr>
                <w:rFonts w:hint="eastAsia" w:ascii="仿宋" w:hAnsi="仿宋" w:eastAsia="仿宋" w:cs="仿宋"/>
                <w:kern w:val="2"/>
                <w:sz w:val="21"/>
                <w:szCs w:val="22"/>
                <w:lang w:val="en-US" w:eastAsia="zh-CN" w:bidi="ar-SA"/>
              </w:rPr>
            </w:pPr>
            <w:r>
              <w:rPr>
                <w:rFonts w:hint="eastAsia" w:ascii="仿宋" w:hAnsi="仿宋" w:eastAsia="仿宋" w:cs="仿宋"/>
                <w:i w:val="0"/>
                <w:color w:val="000000"/>
                <w:kern w:val="0"/>
                <w:sz w:val="21"/>
                <w:szCs w:val="21"/>
                <w:u w:val="none"/>
                <w:lang w:val="en-US" w:eastAsia="zh-CN" w:bidi="ar"/>
              </w:rPr>
              <w:t>年初工作计划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977" w:hRule="atLeast"/>
        </w:trPr>
        <w:tc>
          <w:tcPr>
            <w:tcW w:w="570" w:type="dxa"/>
            <w:vMerge w:val="continue"/>
            <w:tcBorders>
              <w:tl2br w:val="nil"/>
              <w:tr2bl w:val="nil"/>
            </w:tcBorders>
            <w:vAlign w:val="center"/>
          </w:tcPr>
          <w:p>
            <w:pPr>
              <w:spacing w:line="584" w:lineRule="exact"/>
            </w:pPr>
          </w:p>
        </w:tc>
        <w:tc>
          <w:tcPr>
            <w:tcW w:w="1020" w:type="dxa"/>
            <w:tcBorders>
              <w:tl2br w:val="nil"/>
              <w:tr2bl w:val="nil"/>
            </w:tcBorders>
            <w:vAlign w:val="center"/>
          </w:tcPr>
          <w:p>
            <w:pPr>
              <w:adjustRightInd w:val="0"/>
              <w:snapToGrid w:val="0"/>
              <w:spacing w:line="584" w:lineRule="exact"/>
              <w:jc w:val="center"/>
              <w:rPr>
                <w:rFonts w:hint="eastAsia" w:ascii="仿宋" w:hAnsi="仿宋" w:eastAsia="仿宋" w:cs="仿宋"/>
              </w:rPr>
            </w:pPr>
            <w:r>
              <w:rPr>
                <w:rFonts w:hint="eastAsia" w:ascii="仿宋" w:hAnsi="仿宋" w:eastAsia="仿宋" w:cs="仿宋"/>
              </w:rPr>
              <w:t>可持续影响</w:t>
            </w:r>
          </w:p>
        </w:tc>
        <w:tc>
          <w:tcPr>
            <w:tcW w:w="2460" w:type="dxa"/>
            <w:tcBorders>
              <w:tl2br w:val="nil"/>
              <w:tr2bl w:val="nil"/>
            </w:tcBorders>
            <w:noWrap/>
            <w:vAlign w:val="center"/>
          </w:tcPr>
          <w:p>
            <w:pPr>
              <w:widowControl/>
              <w:adjustRightInd w:val="0"/>
              <w:snapToGrid w:val="0"/>
              <w:spacing w:line="584" w:lineRule="exact"/>
              <w:rPr>
                <w:rFonts w:hint="eastAsia" w:ascii="仿宋" w:hAnsi="仿宋" w:eastAsia="仿宋" w:cs="仿宋"/>
                <w:lang w:eastAsia="zh-CN"/>
              </w:rPr>
            </w:pPr>
            <w:r>
              <w:rPr>
                <w:rFonts w:hint="eastAsia" w:ascii="仿宋" w:hAnsi="仿宋" w:eastAsia="仿宋" w:cs="仿宋"/>
                <w:lang w:eastAsia="zh-CN"/>
              </w:rPr>
              <w:t>可持续影响</w:t>
            </w:r>
          </w:p>
        </w:tc>
        <w:tc>
          <w:tcPr>
            <w:tcW w:w="2805" w:type="dxa"/>
            <w:tcBorders>
              <w:tl2br w:val="nil"/>
              <w:tr2bl w:val="nil"/>
            </w:tcBorders>
            <w:noWrap/>
            <w:vAlign w:val="center"/>
          </w:tcPr>
          <w:p>
            <w:pPr>
              <w:widowControl/>
              <w:adjustRightInd w:val="0"/>
              <w:snapToGrid w:val="0"/>
              <w:spacing w:line="584" w:lineRule="exact"/>
              <w:rPr>
                <w:rFonts w:hint="eastAsia" w:ascii="仿宋" w:hAnsi="仿宋" w:eastAsia="仿宋" w:cs="仿宋"/>
                <w:lang w:eastAsia="zh-CN"/>
              </w:rPr>
            </w:pPr>
            <w:r>
              <w:rPr>
                <w:rFonts w:hint="eastAsia" w:ascii="仿宋" w:hAnsi="仿宋" w:eastAsia="仿宋" w:cs="仿宋"/>
                <w:sz w:val="21"/>
                <w:szCs w:val="21"/>
                <w:lang w:eastAsia="zh-CN"/>
              </w:rPr>
              <w:t>实际值为</w:t>
            </w:r>
            <w:r>
              <w:rPr>
                <w:rFonts w:hint="eastAsia" w:ascii="仿宋" w:hAnsi="仿宋" w:eastAsia="仿宋" w:cs="仿宋"/>
                <w:sz w:val="21"/>
                <w:szCs w:val="21"/>
                <w:lang w:val="en-US" w:eastAsia="zh-CN"/>
              </w:rPr>
              <w:t>100%得满分，每降低1%扣权重分10%扣完为止</w:t>
            </w:r>
          </w:p>
        </w:tc>
        <w:tc>
          <w:tcPr>
            <w:tcW w:w="2565" w:type="dxa"/>
            <w:tcBorders>
              <w:tl2br w:val="nil"/>
              <w:tr2bl w:val="nil"/>
            </w:tcBorders>
            <w:noWrap/>
            <w:vAlign w:val="center"/>
          </w:tcPr>
          <w:p>
            <w:pPr>
              <w:widowControl/>
              <w:adjustRightInd w:val="0"/>
              <w:snapToGrid w:val="0"/>
              <w:spacing w:line="584" w:lineRule="exact"/>
              <w:rPr>
                <w:rFonts w:hint="eastAsia" w:ascii="仿宋" w:hAnsi="仿宋" w:eastAsia="仿宋" w:cs="仿宋"/>
              </w:rPr>
            </w:pPr>
            <w:r>
              <w:rPr>
                <w:rFonts w:hint="eastAsia" w:ascii="仿宋" w:hAnsi="仿宋" w:eastAsia="仿宋" w:cs="仿宋"/>
                <w:lang w:eastAsia="zh-CN"/>
              </w:rPr>
              <w:t>综合事务管理工作完成情况</w:t>
            </w:r>
          </w:p>
        </w:tc>
        <w:tc>
          <w:tcPr>
            <w:tcW w:w="585" w:type="dxa"/>
            <w:tcBorders>
              <w:tl2br w:val="nil"/>
              <w:tr2bl w:val="nil"/>
            </w:tcBorders>
            <w:vAlign w:val="center"/>
          </w:tcPr>
          <w:p>
            <w:pPr>
              <w:widowControl/>
              <w:adjustRightInd w:val="0"/>
              <w:snapToGrid w:val="0"/>
              <w:spacing w:line="584" w:lineRule="exact"/>
              <w:jc w:val="center"/>
              <w:rPr>
                <w:rFonts w:hint="eastAsia" w:ascii="仿宋" w:hAnsi="仿宋" w:eastAsia="仿宋" w:cs="仿宋"/>
                <w:kern w:val="2"/>
                <w:sz w:val="21"/>
                <w:szCs w:val="22"/>
                <w:lang w:val="en-US" w:eastAsia="zh-CN" w:bidi="ar-SA"/>
              </w:rPr>
            </w:pPr>
            <w:r>
              <w:rPr>
                <w:rFonts w:hint="eastAsia" w:ascii="仿宋" w:hAnsi="仿宋" w:eastAsia="仿宋" w:cs="仿宋"/>
                <w:i w:val="0"/>
                <w:color w:val="000000"/>
                <w:kern w:val="0"/>
                <w:sz w:val="21"/>
                <w:szCs w:val="21"/>
                <w:u w:val="none"/>
                <w:lang w:val="en-US" w:eastAsia="zh-CN" w:bidi="ar"/>
              </w:rPr>
              <w:t>≥</w:t>
            </w:r>
          </w:p>
        </w:tc>
        <w:tc>
          <w:tcPr>
            <w:tcW w:w="795" w:type="dxa"/>
            <w:tcBorders>
              <w:tl2br w:val="nil"/>
              <w:tr2bl w:val="nil"/>
            </w:tcBorders>
            <w:vAlign w:val="center"/>
          </w:tcPr>
          <w:p>
            <w:pPr>
              <w:widowControl/>
              <w:adjustRightInd w:val="0"/>
              <w:snapToGrid w:val="0"/>
              <w:spacing w:line="584" w:lineRule="exact"/>
              <w:jc w:val="center"/>
              <w:rPr>
                <w:rFonts w:hint="eastAsia" w:ascii="仿宋" w:hAnsi="仿宋" w:eastAsia="仿宋" w:cs="仿宋"/>
                <w:kern w:val="2"/>
                <w:sz w:val="21"/>
                <w:szCs w:val="22"/>
                <w:lang w:val="en-US" w:eastAsia="zh-CN" w:bidi="ar-SA"/>
              </w:rPr>
            </w:pPr>
            <w:r>
              <w:rPr>
                <w:rFonts w:hint="eastAsia" w:ascii="仿宋" w:hAnsi="仿宋" w:eastAsia="仿宋" w:cs="仿宋"/>
                <w:lang w:val="en-US" w:eastAsia="zh-CN"/>
              </w:rPr>
              <w:t>100</w:t>
            </w:r>
          </w:p>
        </w:tc>
        <w:tc>
          <w:tcPr>
            <w:tcW w:w="480" w:type="dxa"/>
            <w:tcBorders>
              <w:tl2br w:val="nil"/>
              <w:tr2bl w:val="nil"/>
            </w:tcBorders>
            <w:vAlign w:val="center"/>
          </w:tcPr>
          <w:p>
            <w:pPr>
              <w:widowControl/>
              <w:adjustRightInd w:val="0"/>
              <w:snapToGrid w:val="0"/>
              <w:spacing w:line="584" w:lineRule="exact"/>
              <w:jc w:val="center"/>
              <w:rPr>
                <w:rFonts w:hint="eastAsia" w:ascii="仿宋" w:hAnsi="仿宋" w:eastAsia="仿宋" w:cs="仿宋"/>
                <w:kern w:val="2"/>
                <w:sz w:val="21"/>
                <w:szCs w:val="22"/>
                <w:lang w:val="en-US" w:eastAsia="zh-CN" w:bidi="ar-SA"/>
              </w:rPr>
            </w:pPr>
            <w:r>
              <w:rPr>
                <w:rFonts w:hint="eastAsia" w:ascii="仿宋" w:hAnsi="仿宋" w:eastAsia="仿宋" w:cs="仿宋"/>
                <w:lang w:val="en-US" w:eastAsia="zh-CN"/>
              </w:rPr>
              <w:t>%</w:t>
            </w:r>
          </w:p>
        </w:tc>
        <w:tc>
          <w:tcPr>
            <w:tcW w:w="2145" w:type="dxa"/>
            <w:tcBorders>
              <w:tl2br w:val="nil"/>
              <w:tr2bl w:val="nil"/>
            </w:tcBorders>
            <w:vAlign w:val="center"/>
          </w:tcPr>
          <w:p>
            <w:pPr>
              <w:widowControl/>
              <w:adjustRightInd w:val="0"/>
              <w:snapToGrid w:val="0"/>
              <w:spacing w:line="584" w:lineRule="exact"/>
              <w:rPr>
                <w:rFonts w:hint="eastAsia" w:ascii="仿宋" w:hAnsi="仿宋" w:eastAsia="仿宋" w:cs="仿宋"/>
              </w:rPr>
            </w:pPr>
            <w:r>
              <w:rPr>
                <w:rFonts w:hint="eastAsia" w:ascii="仿宋" w:hAnsi="仿宋" w:eastAsia="仿宋" w:cs="仿宋"/>
                <w:i w:val="0"/>
                <w:color w:val="000000"/>
                <w:kern w:val="0"/>
                <w:sz w:val="21"/>
                <w:szCs w:val="21"/>
                <w:u w:val="none"/>
                <w:lang w:val="en-US" w:eastAsia="zh-CN" w:bidi="ar"/>
              </w:rPr>
              <w:t>年初工作计划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985" w:hRule="atLeast"/>
        </w:trPr>
        <w:tc>
          <w:tcPr>
            <w:tcW w:w="570" w:type="dxa"/>
            <w:vMerge w:val="continue"/>
            <w:tcBorders>
              <w:tl2br w:val="nil"/>
              <w:tr2bl w:val="nil"/>
            </w:tcBorders>
            <w:vAlign w:val="center"/>
          </w:tcPr>
          <w:p>
            <w:pPr>
              <w:spacing w:line="584" w:lineRule="exact"/>
            </w:pPr>
          </w:p>
        </w:tc>
        <w:tc>
          <w:tcPr>
            <w:tcW w:w="1020" w:type="dxa"/>
            <w:tcBorders>
              <w:tl2br w:val="nil"/>
              <w:tr2bl w:val="nil"/>
            </w:tcBorders>
            <w:vAlign w:val="center"/>
          </w:tcPr>
          <w:p>
            <w:pPr>
              <w:widowControl/>
              <w:adjustRightInd w:val="0"/>
              <w:snapToGrid w:val="0"/>
              <w:spacing w:line="584" w:lineRule="exact"/>
              <w:jc w:val="center"/>
              <w:rPr>
                <w:rFonts w:hint="eastAsia" w:ascii="仿宋" w:hAnsi="仿宋" w:eastAsia="仿宋" w:cs="仿宋"/>
              </w:rPr>
            </w:pPr>
            <w:r>
              <w:rPr>
                <w:rFonts w:hint="eastAsia" w:ascii="仿宋" w:hAnsi="仿宋" w:eastAsia="仿宋" w:cs="仿宋"/>
              </w:rPr>
              <w:t>满意度</w:t>
            </w:r>
          </w:p>
        </w:tc>
        <w:tc>
          <w:tcPr>
            <w:tcW w:w="2460" w:type="dxa"/>
            <w:tcBorders>
              <w:tl2br w:val="nil"/>
              <w:tr2bl w:val="nil"/>
            </w:tcBorders>
            <w:noWrap/>
            <w:vAlign w:val="center"/>
          </w:tcPr>
          <w:p>
            <w:pPr>
              <w:widowControl/>
              <w:adjustRightInd w:val="0"/>
              <w:snapToGrid w:val="0"/>
              <w:spacing w:line="584" w:lineRule="exact"/>
              <w:rPr>
                <w:rFonts w:hint="eastAsia" w:ascii="仿宋" w:hAnsi="仿宋" w:eastAsia="仿宋" w:cs="仿宋"/>
              </w:rPr>
            </w:pPr>
            <w:r>
              <w:rPr>
                <w:rFonts w:hint="eastAsia" w:ascii="仿宋" w:hAnsi="仿宋" w:eastAsia="仿宋" w:cs="仿宋"/>
                <w:lang w:eastAsia="zh-CN"/>
              </w:rPr>
              <w:t>当地群众和干部的满意度</w:t>
            </w:r>
          </w:p>
        </w:tc>
        <w:tc>
          <w:tcPr>
            <w:tcW w:w="2805" w:type="dxa"/>
            <w:tcBorders>
              <w:tl2br w:val="nil"/>
              <w:tr2bl w:val="nil"/>
            </w:tcBorders>
            <w:noWrap/>
            <w:vAlign w:val="center"/>
          </w:tcPr>
          <w:p>
            <w:pPr>
              <w:widowControl/>
              <w:adjustRightInd w:val="0"/>
              <w:snapToGrid w:val="0"/>
              <w:spacing w:line="584" w:lineRule="exact"/>
              <w:rPr>
                <w:rFonts w:hint="eastAsia" w:ascii="仿宋" w:hAnsi="仿宋" w:eastAsia="仿宋" w:cs="仿宋"/>
                <w:lang w:eastAsia="zh-CN"/>
              </w:rPr>
            </w:pPr>
            <w:r>
              <w:rPr>
                <w:rFonts w:hint="eastAsia" w:ascii="仿宋" w:hAnsi="仿宋" w:eastAsia="仿宋" w:cs="仿宋"/>
                <w:sz w:val="21"/>
                <w:szCs w:val="21"/>
                <w:lang w:eastAsia="zh-CN"/>
              </w:rPr>
              <w:t>实际值为</w:t>
            </w:r>
            <w:r>
              <w:rPr>
                <w:rFonts w:hint="eastAsia" w:ascii="仿宋" w:hAnsi="仿宋" w:eastAsia="仿宋" w:cs="仿宋"/>
                <w:sz w:val="21"/>
                <w:szCs w:val="21"/>
                <w:lang w:val="en-US" w:eastAsia="zh-CN"/>
              </w:rPr>
              <w:t>100%得满分，每降低1%扣权重分10%扣完为止</w:t>
            </w:r>
          </w:p>
        </w:tc>
        <w:tc>
          <w:tcPr>
            <w:tcW w:w="2565" w:type="dxa"/>
            <w:tcBorders>
              <w:tl2br w:val="nil"/>
              <w:tr2bl w:val="nil"/>
            </w:tcBorders>
            <w:noWrap/>
            <w:vAlign w:val="center"/>
          </w:tcPr>
          <w:p>
            <w:pPr>
              <w:widowControl/>
              <w:adjustRightInd w:val="0"/>
              <w:snapToGrid w:val="0"/>
              <w:spacing w:line="584" w:lineRule="exact"/>
              <w:rPr>
                <w:rFonts w:hint="eastAsia" w:ascii="仿宋" w:hAnsi="仿宋" w:eastAsia="仿宋" w:cs="仿宋"/>
              </w:rPr>
            </w:pPr>
            <w:r>
              <w:rPr>
                <w:rFonts w:hint="eastAsia" w:ascii="仿宋" w:hAnsi="仿宋" w:eastAsia="仿宋" w:cs="仿宋"/>
                <w:lang w:eastAsia="zh-CN"/>
              </w:rPr>
              <w:t>当地群众和干部的满意度</w:t>
            </w:r>
          </w:p>
        </w:tc>
        <w:tc>
          <w:tcPr>
            <w:tcW w:w="585" w:type="dxa"/>
            <w:tcBorders>
              <w:tl2br w:val="nil"/>
              <w:tr2bl w:val="nil"/>
            </w:tcBorders>
            <w:vAlign w:val="center"/>
          </w:tcPr>
          <w:p>
            <w:pPr>
              <w:widowControl/>
              <w:adjustRightInd w:val="0"/>
              <w:snapToGrid w:val="0"/>
              <w:spacing w:line="584" w:lineRule="exact"/>
              <w:jc w:val="center"/>
              <w:rPr>
                <w:rFonts w:hint="eastAsia" w:ascii="仿宋" w:hAnsi="仿宋" w:eastAsia="仿宋" w:cs="仿宋"/>
                <w:kern w:val="2"/>
                <w:sz w:val="21"/>
                <w:szCs w:val="22"/>
                <w:lang w:val="en-US" w:eastAsia="zh-CN" w:bidi="ar-SA"/>
              </w:rPr>
            </w:pPr>
            <w:r>
              <w:rPr>
                <w:rFonts w:hint="eastAsia" w:ascii="仿宋" w:hAnsi="仿宋" w:eastAsia="仿宋" w:cs="仿宋"/>
                <w:i w:val="0"/>
                <w:color w:val="000000"/>
                <w:kern w:val="0"/>
                <w:sz w:val="21"/>
                <w:szCs w:val="21"/>
                <w:u w:val="none"/>
                <w:lang w:val="en-US" w:eastAsia="zh-CN" w:bidi="ar"/>
              </w:rPr>
              <w:t>≥</w:t>
            </w:r>
          </w:p>
        </w:tc>
        <w:tc>
          <w:tcPr>
            <w:tcW w:w="795" w:type="dxa"/>
            <w:tcBorders>
              <w:tl2br w:val="nil"/>
              <w:tr2bl w:val="nil"/>
            </w:tcBorders>
            <w:vAlign w:val="center"/>
          </w:tcPr>
          <w:p>
            <w:pPr>
              <w:widowControl/>
              <w:adjustRightInd w:val="0"/>
              <w:snapToGrid w:val="0"/>
              <w:spacing w:line="584" w:lineRule="exact"/>
              <w:jc w:val="center"/>
              <w:rPr>
                <w:rFonts w:hint="eastAsia" w:ascii="仿宋" w:hAnsi="仿宋" w:eastAsia="仿宋" w:cs="仿宋"/>
                <w:kern w:val="2"/>
                <w:sz w:val="21"/>
                <w:szCs w:val="22"/>
                <w:lang w:val="en-US" w:eastAsia="zh-CN" w:bidi="ar-SA"/>
              </w:rPr>
            </w:pPr>
            <w:r>
              <w:rPr>
                <w:rFonts w:hint="eastAsia" w:ascii="仿宋" w:hAnsi="仿宋" w:eastAsia="仿宋" w:cs="仿宋"/>
                <w:lang w:val="en-US" w:eastAsia="zh-CN"/>
              </w:rPr>
              <w:t>100</w:t>
            </w:r>
          </w:p>
        </w:tc>
        <w:tc>
          <w:tcPr>
            <w:tcW w:w="480" w:type="dxa"/>
            <w:tcBorders>
              <w:tl2br w:val="nil"/>
              <w:tr2bl w:val="nil"/>
            </w:tcBorders>
            <w:vAlign w:val="center"/>
          </w:tcPr>
          <w:p>
            <w:pPr>
              <w:widowControl/>
              <w:adjustRightInd w:val="0"/>
              <w:snapToGrid w:val="0"/>
              <w:spacing w:line="584" w:lineRule="exact"/>
              <w:jc w:val="center"/>
              <w:rPr>
                <w:rFonts w:hint="eastAsia" w:ascii="仿宋" w:hAnsi="仿宋" w:eastAsia="仿宋" w:cs="仿宋"/>
                <w:kern w:val="2"/>
                <w:sz w:val="21"/>
                <w:szCs w:val="22"/>
                <w:lang w:val="en-US" w:eastAsia="zh-CN" w:bidi="ar-SA"/>
              </w:rPr>
            </w:pPr>
            <w:r>
              <w:rPr>
                <w:rFonts w:hint="eastAsia" w:ascii="仿宋" w:hAnsi="仿宋" w:eastAsia="仿宋" w:cs="仿宋"/>
                <w:lang w:val="en-US" w:eastAsia="zh-CN"/>
              </w:rPr>
              <w:t>%</w:t>
            </w:r>
          </w:p>
        </w:tc>
        <w:tc>
          <w:tcPr>
            <w:tcW w:w="2145" w:type="dxa"/>
            <w:tcBorders>
              <w:tl2br w:val="nil"/>
              <w:tr2bl w:val="nil"/>
            </w:tcBorders>
            <w:vAlign w:val="center"/>
          </w:tcPr>
          <w:p>
            <w:pPr>
              <w:widowControl/>
              <w:adjustRightInd w:val="0"/>
              <w:snapToGrid w:val="0"/>
              <w:spacing w:line="584" w:lineRule="exact"/>
              <w:rPr>
                <w:rFonts w:hint="eastAsia" w:ascii="仿宋" w:hAnsi="仿宋" w:eastAsia="仿宋" w:cs="仿宋"/>
              </w:rPr>
            </w:pPr>
            <w:r>
              <w:rPr>
                <w:rFonts w:hint="eastAsia" w:ascii="仿宋" w:hAnsi="仿宋" w:eastAsia="仿宋" w:cs="仿宋"/>
                <w:i w:val="0"/>
                <w:color w:val="000000"/>
                <w:kern w:val="0"/>
                <w:sz w:val="21"/>
                <w:szCs w:val="21"/>
                <w:u w:val="none"/>
                <w:lang w:val="en-US" w:eastAsia="zh-CN" w:bidi="ar"/>
              </w:rPr>
              <w:t>年初工作计划</w:t>
            </w:r>
          </w:p>
        </w:tc>
      </w:tr>
    </w:tbl>
    <w:p>
      <w:pPr>
        <w:spacing w:line="584" w:lineRule="exact"/>
        <w:ind w:firstLine="640" w:firstLineChars="200"/>
        <w:rPr>
          <w:rFonts w:ascii="Times New Roman" w:hAnsi="黑体" w:eastAsia="黑体" w:cs="Times New Roman"/>
          <w:sz w:val="32"/>
          <w:szCs w:val="32"/>
        </w:rPr>
      </w:pPr>
    </w:p>
    <w:p>
      <w:pPr>
        <w:spacing w:line="584" w:lineRule="exact"/>
        <w:ind w:firstLine="640" w:firstLineChars="200"/>
        <w:rPr>
          <w:rFonts w:ascii="Times New Roman" w:hAnsi="黑体" w:eastAsia="黑体" w:cs="Times New Roman"/>
          <w:sz w:val="32"/>
          <w:szCs w:val="32"/>
        </w:rPr>
      </w:pPr>
    </w:p>
    <w:p>
      <w:pPr>
        <w:spacing w:line="584" w:lineRule="exact"/>
        <w:ind w:firstLine="640" w:firstLineChars="200"/>
        <w:rPr>
          <w:rFonts w:ascii="Times New Roman" w:hAnsi="黑体" w:eastAsia="黑体" w:cs="Times New Roman"/>
          <w:sz w:val="32"/>
          <w:szCs w:val="32"/>
        </w:rPr>
      </w:pPr>
    </w:p>
    <w:p>
      <w:pPr>
        <w:spacing w:line="584" w:lineRule="exact"/>
        <w:ind w:firstLine="640" w:firstLineChars="200"/>
        <w:rPr>
          <w:rFonts w:ascii="Times New Roman" w:hAnsi="黑体" w:eastAsia="黑体" w:cs="Times New Roman"/>
          <w:sz w:val="32"/>
          <w:szCs w:val="32"/>
        </w:rPr>
      </w:pPr>
    </w:p>
    <w:p>
      <w:pPr>
        <w:spacing w:line="584" w:lineRule="exact"/>
        <w:ind w:firstLine="640" w:firstLineChars="200"/>
        <w:rPr>
          <w:rFonts w:hint="eastAsia" w:ascii="Times New Roman" w:hAnsi="黑体" w:eastAsia="黑体" w:cs="Times New Roman"/>
          <w:sz w:val="32"/>
          <w:szCs w:val="32"/>
        </w:rPr>
      </w:pPr>
    </w:p>
    <w:p>
      <w:pPr>
        <w:spacing w:line="584" w:lineRule="exact"/>
        <w:ind w:firstLine="640" w:firstLineChars="200"/>
        <w:rPr>
          <w:rFonts w:hint="eastAsia" w:ascii="Times New Roman" w:hAnsi="黑体" w:eastAsia="黑体" w:cs="Times New Roman"/>
          <w:sz w:val="32"/>
          <w:szCs w:val="32"/>
        </w:rPr>
      </w:pPr>
    </w:p>
    <w:p>
      <w:pPr>
        <w:spacing w:line="584" w:lineRule="exact"/>
        <w:ind w:firstLine="640" w:firstLineChars="200"/>
        <w:rPr>
          <w:rFonts w:hint="eastAsia" w:ascii="Times New Roman" w:hAnsi="黑体" w:eastAsia="黑体" w:cs="Times New Roman"/>
          <w:sz w:val="32"/>
          <w:szCs w:val="32"/>
        </w:rPr>
      </w:pPr>
    </w:p>
    <w:p>
      <w:pPr>
        <w:spacing w:line="584" w:lineRule="exact"/>
        <w:ind w:firstLine="640" w:firstLineChars="200"/>
        <w:rPr>
          <w:rFonts w:hint="eastAsia" w:ascii="Times New Roman" w:hAnsi="黑体" w:eastAsia="黑体" w:cs="Times New Roman"/>
          <w:sz w:val="32"/>
          <w:szCs w:val="32"/>
        </w:rPr>
      </w:pPr>
    </w:p>
    <w:p>
      <w:pPr>
        <w:spacing w:line="584" w:lineRule="exact"/>
        <w:ind w:firstLine="640" w:firstLineChars="200"/>
        <w:rPr>
          <w:rFonts w:hint="eastAsia" w:ascii="Times New Roman" w:hAnsi="黑体" w:eastAsia="黑体" w:cs="Times New Roman"/>
          <w:sz w:val="32"/>
          <w:szCs w:val="32"/>
        </w:rPr>
      </w:pPr>
    </w:p>
    <w:p>
      <w:pPr>
        <w:spacing w:line="584" w:lineRule="exact"/>
        <w:ind w:firstLine="640" w:firstLineChars="200"/>
        <w:rPr>
          <w:rFonts w:hint="eastAsia" w:ascii="Times New Roman" w:hAnsi="黑体" w:eastAsia="黑体" w:cs="Times New Roman"/>
          <w:sz w:val="32"/>
          <w:szCs w:val="32"/>
        </w:rPr>
      </w:pPr>
    </w:p>
    <w:p>
      <w:pPr>
        <w:spacing w:line="584" w:lineRule="exact"/>
        <w:ind w:firstLine="640" w:firstLineChars="200"/>
        <w:rPr>
          <w:rFonts w:hint="eastAsia" w:ascii="Times New Roman" w:hAnsi="黑体" w:eastAsia="黑体" w:cs="Times New Roman"/>
          <w:sz w:val="32"/>
          <w:szCs w:val="32"/>
        </w:rPr>
      </w:pPr>
    </w:p>
    <w:p>
      <w:pPr>
        <w:spacing w:line="584" w:lineRule="exact"/>
        <w:ind w:firstLine="640" w:firstLineChars="200"/>
        <w:rPr>
          <w:rFonts w:hint="eastAsia" w:ascii="Times New Roman" w:hAnsi="黑体" w:eastAsia="黑体" w:cs="Times New Roman"/>
          <w:sz w:val="32"/>
          <w:szCs w:val="32"/>
        </w:rPr>
      </w:pPr>
    </w:p>
    <w:p>
      <w:pPr>
        <w:spacing w:line="584" w:lineRule="exact"/>
        <w:ind w:firstLine="640" w:firstLineChars="200"/>
        <w:rPr>
          <w:rFonts w:hint="eastAsia" w:ascii="Times New Roman" w:hAnsi="黑体" w:eastAsia="黑体" w:cs="Times New Roman"/>
          <w:sz w:val="32"/>
          <w:szCs w:val="32"/>
        </w:rPr>
      </w:pPr>
    </w:p>
    <w:p>
      <w:pPr>
        <w:spacing w:line="584" w:lineRule="exact"/>
        <w:ind w:firstLine="640" w:firstLineChars="200"/>
        <w:rPr>
          <w:rFonts w:hint="eastAsia" w:ascii="Times New Roman" w:hAnsi="黑体" w:eastAsia="黑体" w:cs="Times New Roman"/>
          <w:sz w:val="32"/>
          <w:szCs w:val="32"/>
        </w:rPr>
      </w:pPr>
    </w:p>
    <w:p>
      <w:pPr>
        <w:spacing w:line="584" w:lineRule="exact"/>
        <w:ind w:firstLine="640" w:firstLineChars="200"/>
        <w:rPr>
          <w:rFonts w:ascii="Times New Roman" w:hAnsi="黑体" w:eastAsia="黑体" w:cs="Times New Roman"/>
          <w:sz w:val="32"/>
          <w:szCs w:val="32"/>
        </w:rPr>
      </w:pPr>
      <w:r>
        <w:rPr>
          <w:rFonts w:hint="eastAsia" w:ascii="Times New Roman" w:hAnsi="黑体" w:eastAsia="黑体" w:cs="Times New Roman"/>
          <w:sz w:val="32"/>
          <w:szCs w:val="32"/>
        </w:rPr>
        <w:t>第二部分资金绩效目标</w:t>
      </w:r>
    </w:p>
    <w:p>
      <w:pPr>
        <w:spacing w:line="584" w:lineRule="exact"/>
        <w:ind w:firstLine="640" w:firstLineChars="200"/>
        <w:jc w:val="left"/>
        <w:outlineLvl w:val="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归国华侨补助经费</w:t>
      </w:r>
      <w:r>
        <w:rPr>
          <w:rFonts w:hint="eastAsia" w:ascii="仿宋_GB2312" w:hAnsi="仿宋_GB2312" w:eastAsia="仿宋_GB2312" w:cs="仿宋_GB2312"/>
          <w:sz w:val="32"/>
          <w:szCs w:val="32"/>
          <w:lang w:val="en-US" w:eastAsia="zh-CN"/>
        </w:rPr>
        <w:t>-人员专项项目</w:t>
      </w:r>
      <w:r>
        <w:rPr>
          <w:rFonts w:hint="eastAsia" w:ascii="仿宋_GB2312" w:hAnsi="仿宋_GB2312" w:eastAsia="仿宋_GB2312" w:cs="仿宋_GB2312"/>
          <w:sz w:val="32"/>
          <w:szCs w:val="32"/>
        </w:rPr>
        <w:t>绩效目标表</w:t>
      </w:r>
    </w:p>
    <w:p>
      <w:pPr>
        <w:spacing w:line="58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81"/>
        <w:gridCol w:w="2025"/>
        <w:gridCol w:w="2610"/>
        <w:gridCol w:w="3615"/>
        <w:gridCol w:w="1335"/>
        <w:gridCol w:w="269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781"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281" w:type="dxa"/>
            <w:gridSpan w:val="5"/>
            <w:shd w:val="clear" w:color="auto" w:fill="auto"/>
            <w:vAlign w:val="center"/>
          </w:tcPr>
          <w:p>
            <w:pPr>
              <w:spacing w:line="584" w:lineRule="exact"/>
              <w:rPr>
                <w:rFonts w:hint="eastAsia" w:ascii="Times New Roman" w:hAnsi="Times New Roman" w:eastAsia="仿宋_GB2312" w:cs="Times New Roman"/>
                <w:b/>
                <w:lang w:val="en-US" w:eastAsia="zh-CN"/>
              </w:rPr>
            </w:pPr>
            <w:r>
              <w:rPr>
                <w:rFonts w:hint="eastAsia" w:ascii="Times New Roman" w:hAnsi="Times New Roman" w:eastAsia="仿宋_GB2312" w:cs="Times New Roman"/>
                <w:b/>
                <w:lang w:val="en-US" w:eastAsia="zh-CN"/>
              </w:rPr>
              <w:t>1目标内容归国华侨补助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781"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02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610"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61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33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696"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81" w:type="dxa"/>
            <w:vMerge w:val="restart"/>
            <w:shd w:val="clear" w:color="auto" w:fill="auto"/>
            <w:vAlign w:val="center"/>
          </w:tcPr>
          <w:p>
            <w:pPr>
              <w:spacing w:line="584" w:lineRule="exact"/>
              <w:jc w:val="center"/>
              <w:rPr>
                <w:rFonts w:hint="eastAsia" w:ascii="仿宋" w:hAnsi="仿宋" w:eastAsia="仿宋" w:cs="仿宋"/>
              </w:rPr>
            </w:pPr>
            <w:r>
              <w:rPr>
                <w:rFonts w:hint="eastAsia" w:ascii="仿宋" w:hAnsi="仿宋" w:eastAsia="仿宋" w:cs="仿宋"/>
              </w:rPr>
              <w:t>产出指标</w:t>
            </w:r>
          </w:p>
        </w:tc>
        <w:tc>
          <w:tcPr>
            <w:tcW w:w="202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数量指标</w:t>
            </w:r>
          </w:p>
        </w:tc>
        <w:tc>
          <w:tcPr>
            <w:tcW w:w="2610"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促成华侨往来交流的次数</w:t>
            </w:r>
          </w:p>
        </w:tc>
        <w:tc>
          <w:tcPr>
            <w:tcW w:w="361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征求和听取意见</w:t>
            </w:r>
          </w:p>
        </w:tc>
        <w:tc>
          <w:tcPr>
            <w:tcW w:w="133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≥2次</w:t>
            </w:r>
          </w:p>
        </w:tc>
        <w:tc>
          <w:tcPr>
            <w:tcW w:w="2696"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归国华侨补助工作要求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81" w:type="dxa"/>
            <w:vMerge w:val="continue"/>
            <w:shd w:val="clear" w:color="auto" w:fill="auto"/>
            <w:vAlign w:val="center"/>
          </w:tcPr>
          <w:p>
            <w:pPr>
              <w:spacing w:line="584" w:lineRule="exact"/>
              <w:jc w:val="center"/>
              <w:rPr>
                <w:rFonts w:hint="eastAsia" w:ascii="仿宋" w:hAnsi="仿宋" w:eastAsia="仿宋" w:cs="仿宋"/>
              </w:rPr>
            </w:pPr>
          </w:p>
        </w:tc>
        <w:tc>
          <w:tcPr>
            <w:tcW w:w="202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质量指标</w:t>
            </w:r>
          </w:p>
        </w:tc>
        <w:tc>
          <w:tcPr>
            <w:tcW w:w="2610"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补助给华侨带来生活质量的影响</w:t>
            </w:r>
          </w:p>
        </w:tc>
        <w:tc>
          <w:tcPr>
            <w:tcW w:w="361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对华侨生活方面的影响</w:t>
            </w:r>
          </w:p>
        </w:tc>
        <w:tc>
          <w:tcPr>
            <w:tcW w:w="133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≥1个</w:t>
            </w:r>
          </w:p>
        </w:tc>
        <w:tc>
          <w:tcPr>
            <w:tcW w:w="2696"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归国华侨补助工作要求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81" w:type="dxa"/>
            <w:vMerge w:val="continue"/>
            <w:shd w:val="clear" w:color="auto" w:fill="auto"/>
            <w:vAlign w:val="center"/>
          </w:tcPr>
          <w:p>
            <w:pPr>
              <w:spacing w:line="584" w:lineRule="exact"/>
              <w:jc w:val="center"/>
              <w:rPr>
                <w:rFonts w:hint="eastAsia" w:ascii="仿宋" w:hAnsi="仿宋" w:eastAsia="仿宋" w:cs="仿宋"/>
              </w:rPr>
            </w:pPr>
          </w:p>
        </w:tc>
        <w:tc>
          <w:tcPr>
            <w:tcW w:w="202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时效指标</w:t>
            </w:r>
          </w:p>
        </w:tc>
        <w:tc>
          <w:tcPr>
            <w:tcW w:w="2610"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补助发放的及时性</w:t>
            </w:r>
          </w:p>
        </w:tc>
        <w:tc>
          <w:tcPr>
            <w:tcW w:w="361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及时发放补助的效率</w:t>
            </w:r>
          </w:p>
        </w:tc>
        <w:tc>
          <w:tcPr>
            <w:tcW w:w="133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≥90%</w:t>
            </w:r>
          </w:p>
        </w:tc>
        <w:tc>
          <w:tcPr>
            <w:tcW w:w="2696"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归国华侨补助工作要求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81" w:type="dxa"/>
            <w:vMerge w:val="continue"/>
            <w:shd w:val="clear" w:color="auto" w:fill="auto"/>
            <w:vAlign w:val="center"/>
          </w:tcPr>
          <w:p>
            <w:pPr>
              <w:spacing w:line="584" w:lineRule="exact"/>
              <w:jc w:val="center"/>
              <w:rPr>
                <w:rFonts w:hint="eastAsia" w:ascii="仿宋" w:hAnsi="仿宋" w:eastAsia="仿宋" w:cs="仿宋"/>
              </w:rPr>
            </w:pPr>
          </w:p>
        </w:tc>
        <w:tc>
          <w:tcPr>
            <w:tcW w:w="2025" w:type="dxa"/>
            <w:shd w:val="clear" w:color="auto" w:fill="auto"/>
            <w:vAlign w:val="top"/>
          </w:tcPr>
          <w:p>
            <w:pPr>
              <w:keepNext w:val="0"/>
              <w:keepLines w:val="0"/>
              <w:widowControl/>
              <w:suppressLineNumbers w:val="0"/>
              <w:jc w:val="left"/>
              <w:textAlignment w:val="top"/>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成本指标</w:t>
            </w:r>
          </w:p>
        </w:tc>
        <w:tc>
          <w:tcPr>
            <w:tcW w:w="2610" w:type="dxa"/>
            <w:shd w:val="clear" w:color="auto" w:fill="auto"/>
            <w:vAlign w:val="top"/>
          </w:tcPr>
          <w:p>
            <w:pPr>
              <w:keepNext w:val="0"/>
              <w:keepLines w:val="0"/>
              <w:widowControl/>
              <w:suppressLineNumbers w:val="0"/>
              <w:jc w:val="left"/>
              <w:textAlignment w:val="top"/>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控制成本支出</w:t>
            </w:r>
          </w:p>
        </w:tc>
        <w:tc>
          <w:tcPr>
            <w:tcW w:w="3615" w:type="dxa"/>
            <w:shd w:val="clear" w:color="auto" w:fill="auto"/>
            <w:vAlign w:val="top"/>
          </w:tcPr>
          <w:p>
            <w:pPr>
              <w:keepNext w:val="0"/>
              <w:keepLines w:val="0"/>
              <w:widowControl/>
              <w:suppressLineNumbers w:val="0"/>
              <w:jc w:val="left"/>
              <w:textAlignment w:val="top"/>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成本支出控制在预算内</w:t>
            </w:r>
          </w:p>
        </w:tc>
        <w:tc>
          <w:tcPr>
            <w:tcW w:w="1335" w:type="dxa"/>
            <w:shd w:val="clear" w:color="auto" w:fill="auto"/>
            <w:vAlign w:val="top"/>
          </w:tcPr>
          <w:p>
            <w:pPr>
              <w:keepNext w:val="0"/>
              <w:keepLines w:val="0"/>
              <w:widowControl/>
              <w:suppressLineNumbers w:val="0"/>
              <w:jc w:val="left"/>
              <w:textAlignment w:val="top"/>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≤0.24万</w:t>
            </w:r>
          </w:p>
        </w:tc>
        <w:tc>
          <w:tcPr>
            <w:tcW w:w="2696" w:type="dxa"/>
            <w:shd w:val="clear" w:color="auto" w:fill="auto"/>
            <w:vAlign w:val="top"/>
          </w:tcPr>
          <w:p>
            <w:pPr>
              <w:keepNext w:val="0"/>
              <w:keepLines w:val="0"/>
              <w:widowControl/>
              <w:suppressLineNumbers w:val="0"/>
              <w:jc w:val="left"/>
              <w:textAlignment w:val="top"/>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归国华侨补助工作要求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81" w:type="dxa"/>
            <w:vMerge w:val="restart"/>
            <w:shd w:val="clear" w:color="auto" w:fill="auto"/>
            <w:vAlign w:val="center"/>
          </w:tcPr>
          <w:p>
            <w:pPr>
              <w:spacing w:line="584" w:lineRule="exact"/>
              <w:jc w:val="center"/>
              <w:rPr>
                <w:rFonts w:hint="eastAsia" w:ascii="仿宋" w:hAnsi="仿宋" w:eastAsia="仿宋" w:cs="仿宋"/>
              </w:rPr>
            </w:pPr>
            <w:r>
              <w:rPr>
                <w:rFonts w:hint="eastAsia" w:ascii="仿宋" w:hAnsi="仿宋" w:eastAsia="仿宋" w:cs="仿宋"/>
              </w:rPr>
              <w:t>效果指标</w:t>
            </w:r>
          </w:p>
        </w:tc>
        <w:tc>
          <w:tcPr>
            <w:tcW w:w="2025" w:type="dxa"/>
            <w:shd w:val="clear" w:color="auto" w:fill="auto"/>
            <w:vAlign w:val="center"/>
          </w:tcPr>
          <w:p>
            <w:pPr>
              <w:spacing w:line="584" w:lineRule="exact"/>
              <w:jc w:val="left"/>
              <w:rPr>
                <w:rFonts w:hint="eastAsia" w:ascii="仿宋" w:hAnsi="仿宋" w:eastAsia="仿宋" w:cs="仿宋"/>
              </w:rPr>
            </w:pPr>
            <w:r>
              <w:rPr>
                <w:rFonts w:hint="eastAsia" w:ascii="仿宋" w:hAnsi="仿宋" w:eastAsia="仿宋" w:cs="仿宋"/>
                <w:i w:val="0"/>
                <w:color w:val="000000"/>
                <w:kern w:val="0"/>
                <w:sz w:val="21"/>
                <w:szCs w:val="21"/>
                <w:u w:val="none"/>
                <w:lang w:val="en-US" w:eastAsia="zh-CN" w:bidi="ar"/>
              </w:rPr>
              <w:t>社会效益指标</w:t>
            </w:r>
          </w:p>
        </w:tc>
        <w:tc>
          <w:tcPr>
            <w:tcW w:w="2610"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推介典型人物</w:t>
            </w:r>
          </w:p>
        </w:tc>
        <w:tc>
          <w:tcPr>
            <w:tcW w:w="3615" w:type="dxa"/>
            <w:shd w:val="clear" w:color="auto" w:fill="auto"/>
            <w:vAlign w:val="center"/>
          </w:tcPr>
          <w:p>
            <w:pPr>
              <w:spacing w:line="584" w:lineRule="exact"/>
              <w:jc w:val="left"/>
              <w:rPr>
                <w:rFonts w:hint="eastAsia" w:ascii="仿宋" w:hAnsi="仿宋" w:eastAsia="仿宋" w:cs="仿宋"/>
              </w:rPr>
            </w:pPr>
            <w:r>
              <w:rPr>
                <w:rFonts w:hint="eastAsia" w:ascii="仿宋" w:hAnsi="仿宋" w:eastAsia="仿宋" w:cs="仿宋"/>
                <w:i w:val="0"/>
                <w:color w:val="000000"/>
                <w:kern w:val="0"/>
                <w:sz w:val="21"/>
                <w:szCs w:val="21"/>
                <w:u w:val="none"/>
                <w:lang w:val="en-US" w:eastAsia="zh-CN" w:bidi="ar"/>
              </w:rPr>
              <w:t>有效激励促进华侨与国内的关系往来</w:t>
            </w:r>
          </w:p>
        </w:tc>
        <w:tc>
          <w:tcPr>
            <w:tcW w:w="1335" w:type="dxa"/>
            <w:shd w:val="clear" w:color="auto" w:fill="auto"/>
            <w:vAlign w:val="center"/>
          </w:tcPr>
          <w:p>
            <w:pPr>
              <w:spacing w:line="584" w:lineRule="exact"/>
              <w:jc w:val="left"/>
              <w:rPr>
                <w:rFonts w:hint="eastAsia" w:ascii="仿宋" w:hAnsi="仿宋" w:eastAsia="仿宋" w:cs="仿宋"/>
              </w:rPr>
            </w:pPr>
            <w:r>
              <w:rPr>
                <w:rFonts w:hint="eastAsia" w:ascii="仿宋" w:hAnsi="仿宋" w:eastAsia="仿宋" w:cs="仿宋"/>
                <w:i w:val="0"/>
                <w:color w:val="000000"/>
                <w:kern w:val="0"/>
                <w:sz w:val="21"/>
                <w:szCs w:val="21"/>
                <w:u w:val="none"/>
                <w:lang w:val="en-US" w:eastAsia="zh-CN" w:bidi="ar"/>
              </w:rPr>
              <w:t>≥1个</w:t>
            </w:r>
          </w:p>
        </w:tc>
        <w:tc>
          <w:tcPr>
            <w:tcW w:w="2696"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归国华侨补助工作要求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81" w:type="dxa"/>
            <w:vMerge w:val="continue"/>
            <w:shd w:val="clear" w:color="auto" w:fill="auto"/>
            <w:vAlign w:val="center"/>
          </w:tcPr>
          <w:p>
            <w:pPr>
              <w:spacing w:line="584" w:lineRule="exact"/>
              <w:jc w:val="center"/>
              <w:rPr>
                <w:rFonts w:hint="eastAsia" w:ascii="仿宋" w:hAnsi="仿宋" w:eastAsia="仿宋" w:cs="仿宋"/>
              </w:rPr>
            </w:pPr>
          </w:p>
        </w:tc>
        <w:tc>
          <w:tcPr>
            <w:tcW w:w="2025" w:type="dxa"/>
            <w:shd w:val="clear" w:color="auto" w:fill="auto"/>
            <w:vAlign w:val="center"/>
          </w:tcPr>
          <w:p>
            <w:pPr>
              <w:spacing w:line="584" w:lineRule="exact"/>
              <w:jc w:val="left"/>
              <w:rPr>
                <w:rFonts w:hint="eastAsia" w:ascii="仿宋" w:hAnsi="仿宋" w:eastAsia="仿宋" w:cs="仿宋"/>
                <w:lang w:eastAsia="zh-CN"/>
              </w:rPr>
            </w:pPr>
            <w:r>
              <w:rPr>
                <w:rFonts w:hint="eastAsia" w:ascii="仿宋" w:hAnsi="仿宋" w:eastAsia="仿宋" w:cs="仿宋"/>
                <w:lang w:eastAsia="zh-CN"/>
              </w:rPr>
              <w:t>经济效益指标</w:t>
            </w:r>
          </w:p>
        </w:tc>
        <w:tc>
          <w:tcPr>
            <w:tcW w:w="2610" w:type="dxa"/>
            <w:shd w:val="clear" w:color="auto" w:fill="auto"/>
            <w:vAlign w:val="center"/>
          </w:tcPr>
          <w:p>
            <w:pPr>
              <w:spacing w:line="584" w:lineRule="exact"/>
              <w:jc w:val="left"/>
              <w:rPr>
                <w:rFonts w:hint="eastAsia" w:ascii="仿宋" w:hAnsi="仿宋" w:eastAsia="仿宋" w:cs="仿宋"/>
                <w:lang w:eastAsia="zh-CN"/>
              </w:rPr>
            </w:pPr>
            <w:r>
              <w:rPr>
                <w:rFonts w:hint="eastAsia" w:ascii="仿宋" w:hAnsi="仿宋" w:eastAsia="仿宋" w:cs="仿宋"/>
                <w:lang w:eastAsia="zh-CN"/>
              </w:rPr>
              <w:t>带动增加归国华侨</w:t>
            </w:r>
          </w:p>
        </w:tc>
        <w:tc>
          <w:tcPr>
            <w:tcW w:w="3615" w:type="dxa"/>
            <w:shd w:val="clear" w:color="auto" w:fill="auto"/>
            <w:vAlign w:val="center"/>
          </w:tcPr>
          <w:p>
            <w:pPr>
              <w:spacing w:line="584" w:lineRule="exact"/>
              <w:jc w:val="left"/>
              <w:rPr>
                <w:rFonts w:hint="eastAsia" w:ascii="仿宋" w:hAnsi="仿宋" w:eastAsia="仿宋" w:cs="仿宋"/>
                <w:lang w:eastAsia="zh-CN"/>
              </w:rPr>
            </w:pPr>
            <w:r>
              <w:rPr>
                <w:rFonts w:hint="eastAsia" w:ascii="仿宋" w:hAnsi="仿宋" w:eastAsia="仿宋" w:cs="仿宋"/>
                <w:lang w:eastAsia="zh-CN"/>
              </w:rPr>
              <w:t>投资与占总投资方面的比率</w:t>
            </w:r>
          </w:p>
        </w:tc>
        <w:tc>
          <w:tcPr>
            <w:tcW w:w="1335" w:type="dxa"/>
            <w:shd w:val="clear" w:color="auto" w:fill="auto"/>
            <w:vAlign w:val="center"/>
          </w:tcPr>
          <w:p>
            <w:pPr>
              <w:spacing w:line="584" w:lineRule="exact"/>
              <w:jc w:val="left"/>
              <w:rPr>
                <w:rFonts w:hint="eastAsia" w:ascii="仿宋" w:hAnsi="仿宋" w:eastAsia="仿宋" w:cs="仿宋"/>
              </w:rPr>
            </w:pPr>
            <w:r>
              <w:rPr>
                <w:rFonts w:hint="eastAsia" w:ascii="仿宋" w:hAnsi="仿宋" w:eastAsia="仿宋" w:cs="仿宋"/>
                <w:i w:val="0"/>
                <w:color w:val="000000"/>
                <w:kern w:val="0"/>
                <w:sz w:val="21"/>
                <w:szCs w:val="21"/>
                <w:u w:val="none"/>
                <w:lang w:val="en-US" w:eastAsia="zh-CN" w:bidi="ar"/>
              </w:rPr>
              <w:t>≥15个</w:t>
            </w:r>
          </w:p>
        </w:tc>
        <w:tc>
          <w:tcPr>
            <w:tcW w:w="2696" w:type="dxa"/>
            <w:shd w:val="clear" w:color="auto" w:fill="auto"/>
            <w:vAlign w:val="center"/>
          </w:tcPr>
          <w:p>
            <w:pPr>
              <w:spacing w:line="584" w:lineRule="exact"/>
              <w:jc w:val="left"/>
              <w:rPr>
                <w:rFonts w:hint="eastAsia" w:ascii="仿宋" w:hAnsi="仿宋" w:eastAsia="仿宋" w:cs="仿宋"/>
              </w:rPr>
            </w:pPr>
            <w:r>
              <w:rPr>
                <w:rFonts w:hint="eastAsia" w:ascii="仿宋" w:hAnsi="仿宋" w:eastAsia="仿宋" w:cs="仿宋"/>
                <w:i w:val="0"/>
                <w:color w:val="000000"/>
                <w:kern w:val="0"/>
                <w:sz w:val="21"/>
                <w:szCs w:val="21"/>
                <w:u w:val="none"/>
                <w:lang w:val="en-US" w:eastAsia="zh-CN" w:bidi="ar"/>
              </w:rPr>
              <w:t>归国华侨补助工作要求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81" w:type="dxa"/>
            <w:shd w:val="clear" w:color="auto" w:fill="auto"/>
            <w:vAlign w:val="center"/>
          </w:tcPr>
          <w:p>
            <w:pPr>
              <w:spacing w:line="584" w:lineRule="exact"/>
              <w:jc w:val="center"/>
              <w:rPr>
                <w:rFonts w:hint="eastAsia" w:ascii="仿宋" w:hAnsi="仿宋" w:eastAsia="仿宋" w:cs="仿宋"/>
              </w:rPr>
            </w:pPr>
            <w:r>
              <w:rPr>
                <w:rFonts w:hint="eastAsia" w:ascii="仿宋" w:hAnsi="仿宋" w:eastAsia="仿宋" w:cs="仿宋"/>
              </w:rPr>
              <w:t>满意度指标</w:t>
            </w:r>
          </w:p>
        </w:tc>
        <w:tc>
          <w:tcPr>
            <w:tcW w:w="2025" w:type="dxa"/>
            <w:shd w:val="clear" w:color="auto" w:fill="auto"/>
            <w:vAlign w:val="center"/>
          </w:tcPr>
          <w:p>
            <w:pPr>
              <w:spacing w:line="584" w:lineRule="exact"/>
              <w:jc w:val="left"/>
              <w:rPr>
                <w:rFonts w:hint="eastAsia" w:ascii="仿宋" w:hAnsi="仿宋" w:eastAsia="仿宋" w:cs="仿宋"/>
                <w:kern w:val="2"/>
                <w:sz w:val="21"/>
                <w:szCs w:val="22"/>
                <w:lang w:val="en-US" w:eastAsia="zh-CN" w:bidi="ar-SA"/>
              </w:rPr>
            </w:pPr>
            <w:r>
              <w:rPr>
                <w:rFonts w:hint="eastAsia" w:ascii="仿宋" w:hAnsi="仿宋" w:eastAsia="仿宋" w:cs="仿宋"/>
                <w:i w:val="0"/>
                <w:color w:val="000000"/>
                <w:kern w:val="0"/>
                <w:sz w:val="21"/>
                <w:szCs w:val="21"/>
                <w:u w:val="none"/>
                <w:lang w:val="en-US" w:eastAsia="zh-CN" w:bidi="ar"/>
              </w:rPr>
              <w:t>服务对象满意度指标</w:t>
            </w:r>
          </w:p>
        </w:tc>
        <w:tc>
          <w:tcPr>
            <w:tcW w:w="2610" w:type="dxa"/>
            <w:shd w:val="clear" w:color="auto" w:fill="auto"/>
            <w:vAlign w:val="center"/>
          </w:tcPr>
          <w:p>
            <w:pPr>
              <w:spacing w:line="584" w:lineRule="exact"/>
              <w:jc w:val="left"/>
              <w:rPr>
                <w:rFonts w:hint="eastAsia" w:ascii="仿宋" w:hAnsi="仿宋" w:eastAsia="仿宋" w:cs="仿宋"/>
                <w:kern w:val="2"/>
                <w:sz w:val="21"/>
                <w:szCs w:val="22"/>
                <w:lang w:val="en-US" w:eastAsia="zh-CN" w:bidi="ar-SA"/>
              </w:rPr>
            </w:pPr>
            <w:r>
              <w:rPr>
                <w:rFonts w:hint="eastAsia" w:ascii="仿宋" w:hAnsi="仿宋" w:eastAsia="仿宋" w:cs="仿宋"/>
                <w:lang w:eastAsia="zh-CN"/>
              </w:rPr>
              <w:t>满意度</w:t>
            </w:r>
          </w:p>
        </w:tc>
        <w:tc>
          <w:tcPr>
            <w:tcW w:w="3615" w:type="dxa"/>
            <w:shd w:val="clear" w:color="auto" w:fill="auto"/>
            <w:vAlign w:val="center"/>
          </w:tcPr>
          <w:p>
            <w:pPr>
              <w:spacing w:line="584" w:lineRule="exact"/>
              <w:jc w:val="left"/>
              <w:rPr>
                <w:rFonts w:hint="eastAsia" w:ascii="仿宋" w:hAnsi="仿宋" w:eastAsia="仿宋" w:cs="仿宋"/>
                <w:kern w:val="2"/>
                <w:sz w:val="21"/>
                <w:szCs w:val="22"/>
                <w:lang w:val="en-US" w:eastAsia="zh-CN" w:bidi="ar-SA"/>
              </w:rPr>
            </w:pPr>
            <w:r>
              <w:rPr>
                <w:rFonts w:hint="eastAsia" w:ascii="仿宋" w:hAnsi="仿宋" w:eastAsia="仿宋" w:cs="仿宋"/>
                <w:lang w:eastAsia="zh-CN"/>
              </w:rPr>
              <w:t>华侨对当地统战工作的建议意见</w:t>
            </w:r>
          </w:p>
        </w:tc>
        <w:tc>
          <w:tcPr>
            <w:tcW w:w="1335" w:type="dxa"/>
            <w:shd w:val="clear" w:color="auto" w:fill="auto"/>
            <w:vAlign w:val="center"/>
          </w:tcPr>
          <w:p>
            <w:pPr>
              <w:spacing w:line="584" w:lineRule="exact"/>
              <w:jc w:val="left"/>
              <w:rPr>
                <w:rFonts w:hint="eastAsia" w:ascii="仿宋" w:hAnsi="仿宋" w:eastAsia="仿宋" w:cs="仿宋"/>
                <w:kern w:val="2"/>
                <w:sz w:val="21"/>
                <w:szCs w:val="22"/>
                <w:lang w:val="en-US" w:eastAsia="zh-CN" w:bidi="ar-SA"/>
              </w:rPr>
            </w:pPr>
            <w:r>
              <w:rPr>
                <w:rFonts w:hint="eastAsia" w:ascii="仿宋" w:hAnsi="仿宋" w:eastAsia="仿宋" w:cs="仿宋"/>
                <w:lang w:val="en-US" w:eastAsia="zh-CN"/>
              </w:rPr>
              <w:t>非常满意</w:t>
            </w:r>
          </w:p>
        </w:tc>
        <w:tc>
          <w:tcPr>
            <w:tcW w:w="2696" w:type="dxa"/>
            <w:shd w:val="clear" w:color="auto" w:fill="auto"/>
            <w:vAlign w:val="center"/>
          </w:tcPr>
          <w:p>
            <w:pPr>
              <w:spacing w:line="584" w:lineRule="exact"/>
              <w:jc w:val="left"/>
              <w:rPr>
                <w:rFonts w:hint="eastAsia" w:ascii="仿宋" w:hAnsi="仿宋" w:eastAsia="仿宋" w:cs="仿宋"/>
                <w:kern w:val="2"/>
                <w:sz w:val="21"/>
                <w:szCs w:val="22"/>
                <w:lang w:val="en-US" w:eastAsia="zh-CN" w:bidi="ar-SA"/>
              </w:rPr>
            </w:pPr>
            <w:r>
              <w:rPr>
                <w:rFonts w:hint="eastAsia" w:ascii="仿宋" w:hAnsi="仿宋" w:eastAsia="仿宋" w:cs="仿宋"/>
                <w:lang w:eastAsia="zh-CN"/>
              </w:rPr>
              <w:t>满意度</w:t>
            </w:r>
          </w:p>
        </w:tc>
      </w:tr>
    </w:tbl>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640" w:firstLineChars="200"/>
        <w:jc w:val="left"/>
        <w:outlineLvl w:val="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2.建档立卡</w:t>
      </w:r>
      <w:r>
        <w:rPr>
          <w:rFonts w:hint="eastAsia" w:ascii="仿宋_GB2312" w:hAnsi="仿宋_GB2312" w:eastAsia="仿宋_GB2312" w:cs="仿宋_GB2312"/>
          <w:sz w:val="32"/>
          <w:szCs w:val="32"/>
          <w:lang w:eastAsia="zh-CN"/>
        </w:rPr>
        <w:t>脱贫户生产</w:t>
      </w:r>
      <w:r>
        <w:rPr>
          <w:rFonts w:hint="eastAsia" w:ascii="仿宋_GB2312" w:hAnsi="仿宋_GB2312" w:eastAsia="仿宋_GB2312" w:cs="仿宋_GB2312"/>
          <w:sz w:val="32"/>
          <w:szCs w:val="32"/>
        </w:rPr>
        <w:t>生活补助金绩效目标表</w:t>
      </w:r>
    </w:p>
    <w:p>
      <w:pPr>
        <w:spacing w:line="58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hint="eastAsia" w:ascii="Times New Roman" w:hAnsi="Times New Roman" w:eastAsia="仿宋_GB2312" w:cs="Times New Roman"/>
                <w:b/>
                <w:sz w:val="28"/>
                <w:szCs w:val="28"/>
                <w:lang w:eastAsia="zh-CN"/>
              </w:rPr>
            </w:pPr>
            <w:r>
              <w:rPr>
                <w:rFonts w:hint="eastAsia" w:ascii="Times New Roman" w:hAnsi="Times New Roman" w:eastAsia="仿宋_GB2312" w:cs="Times New Roman"/>
                <w:sz w:val="21"/>
                <w:szCs w:val="21"/>
              </w:rPr>
              <w:t>建档立卡</w:t>
            </w:r>
            <w:r>
              <w:rPr>
                <w:rFonts w:hint="eastAsia" w:ascii="Times New Roman" w:hAnsi="Times New Roman" w:eastAsia="仿宋_GB2312" w:cs="Times New Roman"/>
                <w:sz w:val="21"/>
                <w:szCs w:val="21"/>
                <w:lang w:eastAsia="zh-CN"/>
              </w:rPr>
              <w:t>脱贫户生产</w:t>
            </w:r>
            <w:r>
              <w:rPr>
                <w:rFonts w:hint="eastAsia" w:ascii="Times New Roman" w:hAnsi="Times New Roman" w:eastAsia="仿宋_GB2312" w:cs="Times New Roman"/>
                <w:sz w:val="21"/>
                <w:szCs w:val="21"/>
              </w:rPr>
              <w:t>生活补</w:t>
            </w:r>
            <w:r>
              <w:rPr>
                <w:rFonts w:hint="eastAsia" w:ascii="Times New Roman" w:hAnsi="Times New Roman" w:eastAsia="仿宋_GB2312" w:cs="Times New Roman"/>
                <w:sz w:val="21"/>
                <w:szCs w:val="21"/>
                <w:lang w:eastAsia="zh-CN"/>
              </w:rPr>
              <w:t>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数量指标</w:t>
            </w:r>
          </w:p>
        </w:tc>
        <w:tc>
          <w:tcPr>
            <w:tcW w:w="198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贫困户数</w:t>
            </w:r>
          </w:p>
        </w:tc>
        <w:tc>
          <w:tcPr>
            <w:tcW w:w="3402"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贫困户数</w:t>
            </w:r>
          </w:p>
        </w:tc>
        <w:tc>
          <w:tcPr>
            <w:tcW w:w="1843" w:type="dxa"/>
            <w:shd w:val="clear" w:color="auto" w:fill="auto"/>
            <w:vAlign w:val="center"/>
          </w:tcPr>
          <w:p>
            <w:pPr>
              <w:spacing w:line="584" w:lineRule="exact"/>
              <w:jc w:val="left"/>
              <w:rPr>
                <w:rFonts w:hint="eastAsia" w:ascii="仿宋" w:hAnsi="仿宋" w:eastAsia="仿宋" w:cs="仿宋"/>
                <w:sz w:val="21"/>
                <w:szCs w:val="21"/>
                <w:lang w:eastAsia="zh-CN"/>
              </w:rPr>
            </w:pPr>
            <w:r>
              <w:rPr>
                <w:rFonts w:hint="eastAsia" w:ascii="仿宋" w:hAnsi="仿宋" w:eastAsia="仿宋" w:cs="仿宋"/>
                <w:sz w:val="21"/>
                <w:szCs w:val="21"/>
                <w:lang w:eastAsia="zh-CN"/>
              </w:rPr>
              <w:t>户</w:t>
            </w:r>
          </w:p>
        </w:tc>
        <w:tc>
          <w:tcPr>
            <w:tcW w:w="215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质量指标</w:t>
            </w:r>
          </w:p>
        </w:tc>
        <w:tc>
          <w:tcPr>
            <w:tcW w:w="198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帮扶到位</w:t>
            </w:r>
          </w:p>
        </w:tc>
        <w:tc>
          <w:tcPr>
            <w:tcW w:w="3402"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帮扶到位</w:t>
            </w:r>
          </w:p>
        </w:tc>
        <w:tc>
          <w:tcPr>
            <w:tcW w:w="1843" w:type="dxa"/>
            <w:shd w:val="clear" w:color="auto" w:fill="auto"/>
            <w:vAlign w:val="center"/>
          </w:tcPr>
          <w:p>
            <w:pPr>
              <w:spacing w:line="584" w:lineRule="exact"/>
              <w:jc w:val="left"/>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≥3个</w:t>
            </w:r>
          </w:p>
        </w:tc>
        <w:tc>
          <w:tcPr>
            <w:tcW w:w="215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时效指标</w:t>
            </w:r>
          </w:p>
        </w:tc>
        <w:tc>
          <w:tcPr>
            <w:tcW w:w="198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按及发放物资</w:t>
            </w:r>
          </w:p>
        </w:tc>
        <w:tc>
          <w:tcPr>
            <w:tcW w:w="3402"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按及发放物资</w:t>
            </w:r>
          </w:p>
        </w:tc>
        <w:tc>
          <w:tcPr>
            <w:tcW w:w="1843" w:type="dxa"/>
            <w:shd w:val="clear" w:color="auto" w:fill="auto"/>
            <w:vAlign w:val="center"/>
          </w:tcPr>
          <w:p>
            <w:pPr>
              <w:spacing w:line="584" w:lineRule="exact"/>
              <w:jc w:val="lef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100%</w:t>
            </w:r>
          </w:p>
        </w:tc>
        <w:tc>
          <w:tcPr>
            <w:tcW w:w="215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成本指标</w:t>
            </w:r>
          </w:p>
        </w:tc>
        <w:tc>
          <w:tcPr>
            <w:tcW w:w="1985" w:type="dxa"/>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控制村标准之内</w:t>
            </w:r>
          </w:p>
        </w:tc>
        <w:tc>
          <w:tcPr>
            <w:tcW w:w="3402" w:type="dxa"/>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控制村标准之内</w:t>
            </w:r>
          </w:p>
        </w:tc>
        <w:tc>
          <w:tcPr>
            <w:tcW w:w="1843" w:type="dxa"/>
            <w:shd w:val="clear" w:color="auto" w:fill="auto"/>
            <w:vAlign w:val="center"/>
          </w:tcPr>
          <w:p>
            <w:pPr>
              <w:spacing w:line="584" w:lineRule="exact"/>
              <w:jc w:val="left"/>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≤0.24万</w:t>
            </w:r>
          </w:p>
        </w:tc>
        <w:tc>
          <w:tcPr>
            <w:tcW w:w="2155" w:type="dxa"/>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91"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社会效益指标</w:t>
            </w:r>
          </w:p>
        </w:tc>
        <w:tc>
          <w:tcPr>
            <w:tcW w:w="198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少数民族地区特殊困难和问题有效解决率</w:t>
            </w:r>
          </w:p>
        </w:tc>
        <w:tc>
          <w:tcPr>
            <w:tcW w:w="3402"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有效解决特殊困难和问题的比率</w:t>
            </w:r>
          </w:p>
        </w:tc>
        <w:tc>
          <w:tcPr>
            <w:tcW w:w="1843" w:type="dxa"/>
            <w:shd w:val="clear" w:color="auto" w:fill="auto"/>
            <w:vAlign w:val="center"/>
          </w:tcPr>
          <w:p>
            <w:pPr>
              <w:spacing w:line="584" w:lineRule="exact"/>
              <w:jc w:val="left"/>
              <w:rPr>
                <w:rFonts w:hint="eastAsia" w:ascii="仿宋" w:hAnsi="仿宋" w:eastAsia="仿宋" w:cs="仿宋"/>
                <w:sz w:val="21"/>
                <w:szCs w:val="21"/>
              </w:rPr>
            </w:pPr>
            <w:r>
              <w:rPr>
                <w:rFonts w:hint="eastAsia" w:ascii="仿宋" w:hAnsi="仿宋" w:eastAsia="仿宋" w:cs="仿宋"/>
                <w:sz w:val="21"/>
                <w:szCs w:val="21"/>
                <w:lang w:val="en-US" w:eastAsia="zh-CN"/>
              </w:rPr>
              <w:t>100%</w:t>
            </w:r>
          </w:p>
        </w:tc>
        <w:tc>
          <w:tcPr>
            <w:tcW w:w="215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584" w:lineRule="exact"/>
              <w:jc w:val="left"/>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服务对象满意度指标</w:t>
            </w:r>
          </w:p>
        </w:tc>
        <w:tc>
          <w:tcPr>
            <w:tcW w:w="1985" w:type="dxa"/>
            <w:shd w:val="clear" w:color="auto" w:fill="auto"/>
            <w:vAlign w:val="center"/>
          </w:tcPr>
          <w:p>
            <w:pPr>
              <w:spacing w:line="584" w:lineRule="exact"/>
              <w:jc w:val="left"/>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贫困户满意</w:t>
            </w:r>
          </w:p>
        </w:tc>
        <w:tc>
          <w:tcPr>
            <w:tcW w:w="3402" w:type="dxa"/>
            <w:shd w:val="clear" w:color="auto" w:fill="auto"/>
            <w:vAlign w:val="center"/>
          </w:tcPr>
          <w:p>
            <w:pPr>
              <w:spacing w:line="584" w:lineRule="exact"/>
              <w:jc w:val="left"/>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贫困户满意</w:t>
            </w:r>
          </w:p>
        </w:tc>
        <w:tc>
          <w:tcPr>
            <w:tcW w:w="1843" w:type="dxa"/>
            <w:shd w:val="clear" w:color="auto" w:fill="auto"/>
            <w:vAlign w:val="center"/>
          </w:tcPr>
          <w:p>
            <w:pPr>
              <w:spacing w:line="584" w:lineRule="exact"/>
              <w:jc w:val="left"/>
              <w:rPr>
                <w:rFonts w:hint="eastAsia" w:ascii="仿宋" w:hAnsi="仿宋" w:eastAsia="仿宋" w:cs="仿宋"/>
                <w:sz w:val="21"/>
                <w:szCs w:val="21"/>
                <w:lang w:eastAsia="zh-CN"/>
              </w:rPr>
            </w:pPr>
            <w:r>
              <w:rPr>
                <w:rFonts w:hint="eastAsia" w:ascii="仿宋" w:hAnsi="仿宋" w:eastAsia="仿宋" w:cs="仿宋"/>
                <w:sz w:val="21"/>
                <w:szCs w:val="21"/>
                <w:lang w:eastAsia="zh-CN"/>
              </w:rPr>
              <w:t>满意度</w:t>
            </w:r>
          </w:p>
        </w:tc>
        <w:tc>
          <w:tcPr>
            <w:tcW w:w="2155" w:type="dxa"/>
            <w:shd w:val="clear" w:color="auto" w:fill="auto"/>
            <w:vAlign w:val="center"/>
          </w:tcPr>
          <w:p>
            <w:pPr>
              <w:spacing w:line="584" w:lineRule="exact"/>
              <w:jc w:val="left"/>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年初工作计划</w:t>
            </w:r>
          </w:p>
        </w:tc>
      </w:tr>
    </w:tbl>
    <w:p>
      <w:pPr>
        <w:autoSpaceDE w:val="0"/>
        <w:autoSpaceDN w:val="0"/>
        <w:adjustRightInd w:val="0"/>
        <w:spacing w:line="584" w:lineRule="exact"/>
        <w:ind w:firstLine="880" w:firstLineChars="200"/>
        <w:jc w:val="left"/>
        <w:rPr>
          <w:rFonts w:ascii="Times New Roman" w:hAnsi="黑体" w:eastAsia="黑体" w:cs="Times New Roman"/>
          <w:color w:val="FF0000"/>
          <w:sz w:val="44"/>
          <w:szCs w:val="44"/>
        </w:rPr>
      </w:pPr>
    </w:p>
    <w:p>
      <w:pPr>
        <w:autoSpaceDE w:val="0"/>
        <w:autoSpaceDN w:val="0"/>
        <w:adjustRightInd w:val="0"/>
        <w:spacing w:line="584" w:lineRule="exact"/>
        <w:ind w:firstLine="640" w:firstLineChars="200"/>
        <w:jc w:val="left"/>
        <w:rPr>
          <w:rFonts w:ascii="Times New Roman" w:hAnsi="Times New Roman" w:eastAsia="仿宋_GB2312"/>
          <w:color w:val="FF0000"/>
          <w:kern w:val="0"/>
          <w:sz w:val="32"/>
          <w:szCs w:val="32"/>
        </w:rPr>
      </w:pPr>
    </w:p>
    <w:p>
      <w:pPr>
        <w:autoSpaceDE w:val="0"/>
        <w:autoSpaceDN w:val="0"/>
        <w:adjustRightInd w:val="0"/>
        <w:spacing w:line="584" w:lineRule="exact"/>
        <w:ind w:firstLine="640" w:firstLineChars="200"/>
        <w:jc w:val="left"/>
        <w:rPr>
          <w:rFonts w:ascii="Times New Roman" w:hAnsi="Times New Roman" w:eastAsia="仿宋_GB2312"/>
          <w:color w:val="FF0000"/>
          <w:kern w:val="0"/>
          <w:sz w:val="32"/>
          <w:szCs w:val="32"/>
        </w:rPr>
      </w:pPr>
    </w:p>
    <w:p>
      <w:pPr>
        <w:spacing w:line="584" w:lineRule="exact"/>
        <w:ind w:firstLine="640" w:firstLineChars="200"/>
        <w:jc w:val="left"/>
        <w:outlineLvl w:val="1"/>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宗教工作联络员经费</w:t>
      </w:r>
      <w:r>
        <w:rPr>
          <w:rFonts w:hint="eastAsia" w:ascii="仿宋_GB2312" w:hAnsi="仿宋_GB2312" w:eastAsia="仿宋_GB2312" w:cs="仿宋_GB2312"/>
          <w:sz w:val="32"/>
          <w:szCs w:val="32"/>
          <w:lang w:val="en-US" w:eastAsia="zh-CN"/>
        </w:rPr>
        <w:t>-人员专项项目</w:t>
      </w:r>
      <w:r>
        <w:rPr>
          <w:rFonts w:hint="eastAsia" w:ascii="仿宋_GB2312" w:hAnsi="仿宋_GB2312" w:eastAsia="仿宋_GB2312" w:cs="仿宋_GB2312"/>
          <w:sz w:val="32"/>
          <w:szCs w:val="32"/>
        </w:rPr>
        <w:t>绩效目标表</w:t>
      </w:r>
    </w:p>
    <w:p>
      <w:pPr>
        <w:autoSpaceDE w:val="0"/>
        <w:autoSpaceDN w:val="0"/>
        <w:adjustRightInd w:val="0"/>
        <w:spacing w:line="584" w:lineRule="exact"/>
        <w:jc w:val="left"/>
        <w:rPr>
          <w:rFonts w:ascii="Times New Roman" w:hAnsi="黑体" w:eastAsia="黑体" w:cs="Times New Roman"/>
          <w:sz w:val="32"/>
          <w:szCs w:val="32"/>
        </w:rPr>
      </w:pPr>
    </w:p>
    <w:tbl>
      <w:tblPr>
        <w:tblStyle w:val="8"/>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656"/>
        <w:gridCol w:w="1448"/>
        <w:gridCol w:w="1448"/>
        <w:gridCol w:w="3579"/>
        <w:gridCol w:w="4795"/>
        <w:gridCol w:w="1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299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仿宋" w:hAnsi="仿宋" w:eastAsia="仿宋" w:cs="仿宋"/>
                <w:i w:val="0"/>
                <w:color w:val="000000"/>
                <w:kern w:val="0"/>
                <w:sz w:val="21"/>
                <w:szCs w:val="21"/>
                <w:u w:val="none"/>
                <w:lang w:val="en-US" w:eastAsia="zh-CN" w:bidi="ar"/>
              </w:rPr>
              <w:t>宗教工作联络员经费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8"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一级指标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二级指标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三级指标</w:t>
            </w:r>
          </w:p>
        </w:tc>
        <w:tc>
          <w:tcPr>
            <w:tcW w:w="3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4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指标值</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产出指标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大型宗教活动场所督导次数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大型宗教活动场所督导次数</w:t>
            </w:r>
          </w:p>
        </w:tc>
        <w:tc>
          <w:tcPr>
            <w:tcW w:w="4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≥3次</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质量指标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问题解决率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问题解决率</w:t>
            </w:r>
          </w:p>
        </w:tc>
        <w:tc>
          <w:tcPr>
            <w:tcW w:w="4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≥90%</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时效指标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事务办结及时性</w:t>
            </w:r>
          </w:p>
        </w:tc>
        <w:tc>
          <w:tcPr>
            <w:tcW w:w="3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事务办结及时性</w:t>
            </w:r>
          </w:p>
        </w:tc>
        <w:tc>
          <w:tcPr>
            <w:tcW w:w="4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及时</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成本指标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组织活动成本</w:t>
            </w:r>
          </w:p>
        </w:tc>
        <w:tc>
          <w:tcPr>
            <w:tcW w:w="357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单次活动成本</w:t>
            </w:r>
          </w:p>
        </w:tc>
        <w:tc>
          <w:tcPr>
            <w:tcW w:w="479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≤1万元</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社会效益指标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少数民族地区特殊困难和问题解决率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少数民族地区特殊困难和问题解决率</w:t>
            </w:r>
          </w:p>
        </w:tc>
        <w:tc>
          <w:tcPr>
            <w:tcW w:w="4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≥90%</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服务对象满意度指标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群众满意度</w:t>
            </w:r>
          </w:p>
        </w:tc>
        <w:tc>
          <w:tcPr>
            <w:tcW w:w="3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群众满意度</w:t>
            </w:r>
          </w:p>
        </w:tc>
        <w:tc>
          <w:tcPr>
            <w:tcW w:w="4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满意度</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年初计划</w:t>
            </w:r>
          </w:p>
        </w:tc>
      </w:tr>
    </w:tbl>
    <w:p>
      <w:pPr>
        <w:autoSpaceDE w:val="0"/>
        <w:autoSpaceDN w:val="0"/>
        <w:adjustRightInd w:val="0"/>
        <w:spacing w:line="584" w:lineRule="exact"/>
        <w:ind w:firstLine="640" w:firstLineChars="200"/>
        <w:jc w:val="left"/>
        <w:rPr>
          <w:rFonts w:ascii="Times New Roman" w:hAnsi="Times New Roman" w:eastAsia="仿宋_GB2312"/>
          <w:color w:val="FF0000"/>
          <w:kern w:val="0"/>
          <w:sz w:val="32"/>
          <w:szCs w:val="32"/>
        </w:rPr>
      </w:pPr>
    </w:p>
    <w:p>
      <w:pPr>
        <w:spacing w:line="584" w:lineRule="exact"/>
        <w:ind w:firstLine="640" w:firstLineChars="200"/>
        <w:jc w:val="left"/>
        <w:outlineLvl w:val="1"/>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2023年省级少数民族地区补助费-上级</w:t>
      </w:r>
      <w:r>
        <w:rPr>
          <w:rFonts w:hint="eastAsia" w:ascii="仿宋_GB2312" w:hAnsi="仿宋_GB2312" w:eastAsia="仿宋_GB2312" w:cs="仿宋_GB2312"/>
          <w:sz w:val="32"/>
          <w:szCs w:val="32"/>
        </w:rPr>
        <w:t>绩效目标表</w:t>
      </w:r>
    </w:p>
    <w:p>
      <w:pPr>
        <w:autoSpaceDE w:val="0"/>
        <w:autoSpaceDN w:val="0"/>
        <w:adjustRightInd w:val="0"/>
        <w:spacing w:line="584" w:lineRule="exact"/>
        <w:jc w:val="left"/>
        <w:rPr>
          <w:rFonts w:ascii="Times New Roman" w:hAnsi="黑体" w:eastAsia="黑体" w:cs="Times New Roman"/>
          <w:sz w:val="32"/>
          <w:szCs w:val="32"/>
        </w:rPr>
      </w:pPr>
    </w:p>
    <w:tbl>
      <w:tblPr>
        <w:tblStyle w:val="8"/>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656"/>
        <w:gridCol w:w="1810"/>
        <w:gridCol w:w="2490"/>
        <w:gridCol w:w="5445"/>
        <w:gridCol w:w="1525"/>
        <w:gridCol w:w="1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6" w:hRule="atLeast"/>
        </w:trPr>
        <w:tc>
          <w:tcPr>
            <w:tcW w:w="1656"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299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Times New Roman" w:hAnsi="Times New Roman" w:eastAsia="仿宋_GB2312" w:cs="Times New Roman"/>
                <w:sz w:val="21"/>
                <w:szCs w:val="21"/>
                <w:lang w:val="en-US" w:eastAsia="zh-CN"/>
              </w:rPr>
              <w:t>少数民族地区补助费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28"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一级指标</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二级指标</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三级指标</w:t>
            </w:r>
          </w:p>
        </w:tc>
        <w:tc>
          <w:tcPr>
            <w:tcW w:w="5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指标值</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产出指标</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数量指标</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支持专项工作数量</w:t>
            </w:r>
          </w:p>
        </w:tc>
        <w:tc>
          <w:tcPr>
            <w:tcW w:w="5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支持专项工作数量</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≥33个</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质量指标</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资金核拨、使用合格率</w:t>
            </w:r>
          </w:p>
        </w:tc>
        <w:tc>
          <w:tcPr>
            <w:tcW w:w="5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资金核拨、使用合格率</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100%</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时效指标</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完成工作任务事件</w:t>
            </w:r>
          </w:p>
        </w:tc>
        <w:tc>
          <w:tcPr>
            <w:tcW w:w="5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完成工作任务事件</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12月底前</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成本指标</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平均支持每个专项工作资金</w:t>
            </w:r>
          </w:p>
        </w:tc>
        <w:tc>
          <w:tcPr>
            <w:tcW w:w="544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平均支持每个专项工作资金</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≤2万元</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效益指标</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社会效益指标</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少数民族地区特殊困难</w:t>
            </w:r>
          </w:p>
        </w:tc>
        <w:tc>
          <w:tcPr>
            <w:tcW w:w="5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有效解决特殊困难和问题的比率</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≥90%</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经济效益指标</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服务经济</w:t>
            </w:r>
          </w:p>
        </w:tc>
        <w:tc>
          <w:tcPr>
            <w:tcW w:w="5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为各级党委政府在经济建设中提供决策</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良好</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可持续影响指标</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综合事务管理工作完成情况</w:t>
            </w:r>
          </w:p>
        </w:tc>
        <w:tc>
          <w:tcPr>
            <w:tcW w:w="5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综合事务管理工作完成情况</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≥95%</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满意度指标</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服务对象满意度指标</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当地群众和干部满意度</w:t>
            </w:r>
          </w:p>
        </w:tc>
        <w:tc>
          <w:tcPr>
            <w:tcW w:w="5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当地群众和干部满意度</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≥95%</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工作计划</w:t>
            </w:r>
          </w:p>
        </w:tc>
      </w:tr>
    </w:tbl>
    <w:p>
      <w:pPr>
        <w:autoSpaceDE w:val="0"/>
        <w:autoSpaceDN w:val="0"/>
        <w:adjustRightInd w:val="0"/>
        <w:spacing w:line="584" w:lineRule="exact"/>
        <w:ind w:firstLine="640" w:firstLineChars="200"/>
        <w:jc w:val="left"/>
        <w:rPr>
          <w:rFonts w:ascii="Times New Roman" w:hAnsi="Times New Roman" w:eastAsia="仿宋_GB2312"/>
          <w:color w:val="FF0000"/>
          <w:kern w:val="0"/>
          <w:sz w:val="32"/>
          <w:szCs w:val="32"/>
        </w:rPr>
      </w:pPr>
    </w:p>
    <w:p>
      <w:pPr>
        <w:autoSpaceDE w:val="0"/>
        <w:autoSpaceDN w:val="0"/>
        <w:adjustRightInd w:val="0"/>
        <w:spacing w:line="584" w:lineRule="exact"/>
        <w:ind w:firstLine="640" w:firstLineChars="200"/>
        <w:jc w:val="left"/>
        <w:rPr>
          <w:rFonts w:ascii="Times New Roman" w:hAnsi="Times New Roman" w:eastAsia="仿宋_GB2312"/>
          <w:color w:val="FF0000"/>
          <w:kern w:val="0"/>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0"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23</w:t>
      </w:r>
      <w:r>
        <w:rPr>
          <w:rFonts w:ascii="Times New Roman" w:hAnsi="Times New Roman" w:eastAsia="仿宋_GB2312" w:cs="Times New Roman"/>
          <w:sz w:val="32"/>
          <w:szCs w:val="24"/>
        </w:rPr>
        <w:t>年，我</w:t>
      </w:r>
      <w:r>
        <w:rPr>
          <w:rFonts w:hint="eastAsia" w:ascii="Times New Roman" w:hAnsi="Times New Roman" w:eastAsia="仿宋_GB2312" w:cs="Times New Roman"/>
          <w:sz w:val="32"/>
          <w:szCs w:val="24"/>
          <w:lang w:eastAsia="zh-CN"/>
        </w:rPr>
        <w:t>单位</w:t>
      </w:r>
      <w:r>
        <w:rPr>
          <w:rFonts w:ascii="Times New Roman" w:hAnsi="Times New Roman" w:eastAsia="仿宋_GB2312" w:cs="Times New Roman"/>
          <w:sz w:val="32"/>
          <w:szCs w:val="24"/>
        </w:rPr>
        <w:t>安排政府采购预算</w:t>
      </w:r>
      <w:r>
        <w:rPr>
          <w:rFonts w:hint="eastAsia" w:ascii="Times New Roman" w:hAnsi="Times New Roman" w:eastAsia="仿宋_GB2312" w:cs="Times New Roman"/>
          <w:sz w:val="32"/>
          <w:szCs w:val="24"/>
          <w:lang w:val="en-US" w:eastAsia="zh-CN"/>
        </w:rPr>
        <w:t>0</w:t>
      </w:r>
      <w:r>
        <w:rPr>
          <w:rFonts w:ascii="Times New Roman" w:hAnsi="Times New Roman" w:eastAsia="仿宋_GB2312" w:cs="Times New Roman"/>
          <w:sz w:val="32"/>
          <w:szCs w:val="24"/>
        </w:rPr>
        <w:t>万元。具体内容见下表。</w:t>
      </w:r>
    </w:p>
    <w:bookmarkEnd w:id="0"/>
    <w:p>
      <w:pPr>
        <w:spacing w:line="584" w:lineRule="exact"/>
        <w:jc w:val="left"/>
        <w:outlineLvl w:val="0"/>
        <w:rPr>
          <w:rFonts w:ascii="Times New Roman" w:hAnsi="Times New Roman" w:eastAsia="仿宋_GB2312" w:cs="Times New Roman"/>
        </w:rPr>
      </w:pPr>
    </w:p>
    <w:p>
      <w:pPr>
        <w:spacing w:line="584" w:lineRule="exact"/>
        <w:jc w:val="center"/>
        <w:outlineLvl w:val="1"/>
        <w:rPr>
          <w:rFonts w:ascii="方正小标宋_GBK" w:eastAsia="方正小标宋_GBK" w:cs="Times New Roman"/>
          <w:sz w:val="32"/>
        </w:rPr>
      </w:pPr>
      <w:bookmarkStart w:id="1" w:name="_Toc64920910"/>
      <w:r>
        <w:rPr>
          <w:rFonts w:hint="eastAsia" w:ascii="方正小标宋_GBK" w:eastAsia="方正小标宋_GBK" w:cs="Times New Roman"/>
          <w:sz w:val="32"/>
          <w:lang w:eastAsia="zh-CN"/>
        </w:rPr>
        <w:t>单位</w:t>
      </w:r>
      <w:r>
        <w:rPr>
          <w:rFonts w:hint="eastAsia" w:ascii="方正小标宋_GBK" w:eastAsia="方正小标宋_GBK" w:cs="Times New Roman"/>
          <w:sz w:val="32"/>
        </w:rPr>
        <w:t>政府采购预算</w:t>
      </w:r>
      <w:bookmarkEnd w:id="1"/>
    </w:p>
    <w:p>
      <w:pPr>
        <w:spacing w:line="584" w:lineRule="exact"/>
        <w:outlineLvl w:val="1"/>
        <w:rPr>
          <w:rFonts w:ascii="方正小标宋_GBK" w:eastAsia="方正小标宋_GBK" w:cs="Times New Roman"/>
          <w:sz w:val="32"/>
        </w:rPr>
      </w:pPr>
      <w:r>
        <w:rPr>
          <w:rFonts w:hint="eastAsia"/>
          <w:lang w:eastAsia="zh-CN"/>
        </w:rPr>
        <w:t>大城县委统战部</w:t>
      </w:r>
      <w:r>
        <w:t xml:space="preserve">                                                                                                             单位：万元</w:t>
      </w:r>
    </w:p>
    <w:tbl>
      <w:tblPr>
        <w:tblStyle w:val="8"/>
        <w:tblW w:w="1541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7"/>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061" w:type="dxa"/>
            <w:gridSpan w:val="2"/>
            <w:vAlign w:val="center"/>
          </w:tcPr>
          <w:p>
            <w:pPr>
              <w:pStyle w:val="16"/>
              <w:spacing w:line="584" w:lineRule="exact"/>
            </w:pPr>
            <w:r>
              <w:t>政府采购项目来源</w:t>
            </w:r>
          </w:p>
        </w:tc>
        <w:tc>
          <w:tcPr>
            <w:tcW w:w="1134" w:type="dxa"/>
            <w:vMerge w:val="restart"/>
            <w:vAlign w:val="center"/>
          </w:tcPr>
          <w:p>
            <w:pPr>
              <w:pStyle w:val="16"/>
              <w:spacing w:line="584" w:lineRule="exact"/>
            </w:pPr>
            <w:r>
              <w:t>采购物品名称</w:t>
            </w:r>
          </w:p>
        </w:tc>
        <w:tc>
          <w:tcPr>
            <w:tcW w:w="1134" w:type="dxa"/>
            <w:vMerge w:val="restart"/>
            <w:vAlign w:val="center"/>
          </w:tcPr>
          <w:p>
            <w:pPr>
              <w:pStyle w:val="16"/>
              <w:spacing w:line="584" w:lineRule="exact"/>
            </w:pPr>
            <w:r>
              <w:t>政府采购目录序号</w:t>
            </w:r>
          </w:p>
        </w:tc>
        <w:tc>
          <w:tcPr>
            <w:tcW w:w="709" w:type="dxa"/>
            <w:vMerge w:val="restart"/>
            <w:vAlign w:val="center"/>
          </w:tcPr>
          <w:p>
            <w:pPr>
              <w:pStyle w:val="16"/>
              <w:spacing w:line="584" w:lineRule="exact"/>
            </w:pPr>
            <w:r>
              <w:t>计量  单位</w:t>
            </w:r>
          </w:p>
        </w:tc>
        <w:tc>
          <w:tcPr>
            <w:tcW w:w="850" w:type="dxa"/>
            <w:vMerge w:val="restart"/>
            <w:vAlign w:val="center"/>
          </w:tcPr>
          <w:p>
            <w:pPr>
              <w:pStyle w:val="16"/>
              <w:spacing w:line="584" w:lineRule="exact"/>
            </w:pPr>
            <w:r>
              <w:t>数量</w:t>
            </w:r>
          </w:p>
        </w:tc>
        <w:tc>
          <w:tcPr>
            <w:tcW w:w="850" w:type="dxa"/>
            <w:vMerge w:val="restart"/>
            <w:vAlign w:val="center"/>
          </w:tcPr>
          <w:p>
            <w:pPr>
              <w:pStyle w:val="16"/>
              <w:spacing w:line="584" w:lineRule="exact"/>
            </w:pPr>
            <w:r>
              <w:t>单价</w:t>
            </w:r>
          </w:p>
        </w:tc>
        <w:tc>
          <w:tcPr>
            <w:tcW w:w="7712" w:type="dxa"/>
            <w:gridSpan w:val="8"/>
            <w:vAlign w:val="center"/>
          </w:tcPr>
          <w:p>
            <w:pPr>
              <w:pStyle w:val="16"/>
              <w:spacing w:line="584" w:lineRule="exact"/>
            </w:pPr>
            <w:r>
              <w:t>政府采购金额（当年</w:t>
            </w:r>
            <w:r>
              <w:rPr>
                <w:rFonts w:hint="eastAsia"/>
                <w:lang w:eastAsia="zh-CN"/>
              </w:rPr>
              <w:t>单位</w:t>
            </w:r>
            <w:r>
              <w:t>预算安排资金）</w:t>
            </w:r>
          </w:p>
        </w:tc>
        <w:tc>
          <w:tcPr>
            <w:tcW w:w="964" w:type="dxa"/>
            <w:vMerge w:val="restart"/>
            <w:vAlign w:val="center"/>
          </w:tcPr>
          <w:p>
            <w:pPr>
              <w:pStyle w:val="16"/>
              <w:spacing w:line="584" w:lineRule="exact"/>
            </w:pPr>
            <w:r>
              <w:t>202</w:t>
            </w:r>
            <w:r>
              <w:rPr>
                <w:rFonts w:hint="eastAsia" w:eastAsiaTheme="minorEastAsia"/>
                <w:lang w:eastAsia="zh-CN"/>
              </w:rPr>
              <w:t>3</w:t>
            </w:r>
            <w:r>
              <w:t>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097" w:type="dxa"/>
            <w:vAlign w:val="center"/>
          </w:tcPr>
          <w:p>
            <w:pPr>
              <w:pStyle w:val="16"/>
              <w:spacing w:line="584" w:lineRule="exact"/>
            </w:pPr>
            <w:r>
              <w:t>项目名称</w:t>
            </w:r>
          </w:p>
        </w:tc>
        <w:tc>
          <w:tcPr>
            <w:tcW w:w="964" w:type="dxa"/>
            <w:vAlign w:val="center"/>
          </w:tcPr>
          <w:p>
            <w:pPr>
              <w:pStyle w:val="16"/>
              <w:spacing w:line="584" w:lineRule="exact"/>
            </w:pPr>
            <w:r>
              <w:t>预算    资金</w:t>
            </w:r>
          </w:p>
        </w:tc>
        <w:tc>
          <w:tcPr>
            <w:tcW w:w="1134" w:type="dxa"/>
            <w:vMerge w:val="continue"/>
          </w:tcPr>
          <w:p>
            <w:pPr>
              <w:spacing w:line="584" w:lineRule="exact"/>
            </w:pPr>
          </w:p>
        </w:tc>
        <w:tc>
          <w:tcPr>
            <w:tcW w:w="1134" w:type="dxa"/>
            <w:vMerge w:val="continue"/>
          </w:tcPr>
          <w:p>
            <w:pPr>
              <w:spacing w:line="584" w:lineRule="exact"/>
            </w:pPr>
          </w:p>
        </w:tc>
        <w:tc>
          <w:tcPr>
            <w:tcW w:w="709" w:type="dxa"/>
            <w:vMerge w:val="continue"/>
          </w:tcPr>
          <w:p>
            <w:pPr>
              <w:spacing w:line="584" w:lineRule="exact"/>
            </w:pPr>
          </w:p>
        </w:tc>
        <w:tc>
          <w:tcPr>
            <w:tcW w:w="850" w:type="dxa"/>
            <w:vMerge w:val="continue"/>
          </w:tcPr>
          <w:p>
            <w:pPr>
              <w:spacing w:line="584" w:lineRule="exact"/>
            </w:pPr>
          </w:p>
        </w:tc>
        <w:tc>
          <w:tcPr>
            <w:tcW w:w="850" w:type="dxa"/>
            <w:vMerge w:val="continue"/>
          </w:tcPr>
          <w:p>
            <w:pPr>
              <w:spacing w:line="584" w:lineRule="exact"/>
            </w:pPr>
          </w:p>
        </w:tc>
        <w:tc>
          <w:tcPr>
            <w:tcW w:w="964" w:type="dxa"/>
            <w:vAlign w:val="center"/>
          </w:tcPr>
          <w:p>
            <w:pPr>
              <w:pStyle w:val="16"/>
              <w:spacing w:line="584" w:lineRule="exact"/>
            </w:pPr>
            <w:r>
              <w:t>合计</w:t>
            </w:r>
          </w:p>
        </w:tc>
        <w:tc>
          <w:tcPr>
            <w:tcW w:w="964" w:type="dxa"/>
            <w:vAlign w:val="center"/>
          </w:tcPr>
          <w:p>
            <w:pPr>
              <w:pStyle w:val="16"/>
              <w:spacing w:line="584" w:lineRule="exact"/>
            </w:pPr>
            <w:r>
              <w:t>一般公共预算拨款</w:t>
            </w:r>
          </w:p>
        </w:tc>
        <w:tc>
          <w:tcPr>
            <w:tcW w:w="964" w:type="dxa"/>
            <w:vAlign w:val="center"/>
          </w:tcPr>
          <w:p>
            <w:pPr>
              <w:pStyle w:val="16"/>
              <w:spacing w:line="584" w:lineRule="exact"/>
            </w:pPr>
            <w:r>
              <w:t>基金预算拨款</w:t>
            </w:r>
          </w:p>
        </w:tc>
        <w:tc>
          <w:tcPr>
            <w:tcW w:w="964" w:type="dxa"/>
            <w:vAlign w:val="center"/>
          </w:tcPr>
          <w:p>
            <w:pPr>
              <w:pStyle w:val="16"/>
              <w:spacing w:line="584" w:lineRule="exact"/>
            </w:pPr>
            <w:r>
              <w:t>国有资本经营预算拨款</w:t>
            </w:r>
          </w:p>
        </w:tc>
        <w:tc>
          <w:tcPr>
            <w:tcW w:w="964" w:type="dxa"/>
            <w:vAlign w:val="center"/>
          </w:tcPr>
          <w:p>
            <w:pPr>
              <w:pStyle w:val="16"/>
              <w:spacing w:line="584" w:lineRule="exact"/>
            </w:pPr>
            <w:r>
              <w:t>财政专户核拨</w:t>
            </w:r>
          </w:p>
        </w:tc>
        <w:tc>
          <w:tcPr>
            <w:tcW w:w="964" w:type="dxa"/>
            <w:vAlign w:val="center"/>
          </w:tcPr>
          <w:p>
            <w:pPr>
              <w:pStyle w:val="16"/>
              <w:spacing w:line="584" w:lineRule="exact"/>
            </w:pPr>
            <w:r>
              <w:t>单位    资金</w:t>
            </w:r>
          </w:p>
        </w:tc>
        <w:tc>
          <w:tcPr>
            <w:tcW w:w="964" w:type="dxa"/>
            <w:vAlign w:val="center"/>
          </w:tcPr>
          <w:p>
            <w:pPr>
              <w:pStyle w:val="16"/>
              <w:spacing w:line="584" w:lineRule="exact"/>
            </w:pPr>
            <w:r>
              <w:t>财政拨    款结转</w:t>
            </w:r>
          </w:p>
        </w:tc>
        <w:tc>
          <w:tcPr>
            <w:tcW w:w="964" w:type="dxa"/>
            <w:vAlign w:val="center"/>
          </w:tcPr>
          <w:p>
            <w:pPr>
              <w:pStyle w:val="16"/>
              <w:spacing w:line="584" w:lineRule="exact"/>
            </w:pPr>
            <w:r>
              <w:t>非财政    拨款结    转结余</w:t>
            </w:r>
          </w:p>
        </w:tc>
        <w:tc>
          <w:tcPr>
            <w:tcW w:w="964" w:type="dxa"/>
            <w:vMerge w:val="continue"/>
          </w:tcPr>
          <w:p>
            <w:pPr>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20"/>
              <w:spacing w:line="584" w:lineRule="exact"/>
            </w:pPr>
            <w:r>
              <w:t>合  计</w:t>
            </w:r>
          </w:p>
        </w:tc>
        <w:tc>
          <w:tcPr>
            <w:tcW w:w="964" w:type="dxa"/>
            <w:vAlign w:val="center"/>
          </w:tcPr>
          <w:p>
            <w:pPr>
              <w:pStyle w:val="21"/>
              <w:spacing w:line="584" w:lineRule="exact"/>
            </w:pPr>
          </w:p>
        </w:tc>
        <w:tc>
          <w:tcPr>
            <w:tcW w:w="1134" w:type="dxa"/>
            <w:vAlign w:val="center"/>
          </w:tcPr>
          <w:p>
            <w:pPr>
              <w:pStyle w:val="22"/>
              <w:spacing w:line="584" w:lineRule="exact"/>
            </w:pPr>
          </w:p>
        </w:tc>
        <w:tc>
          <w:tcPr>
            <w:tcW w:w="1134" w:type="dxa"/>
            <w:vAlign w:val="center"/>
          </w:tcPr>
          <w:p>
            <w:pPr>
              <w:pStyle w:val="22"/>
              <w:spacing w:line="584" w:lineRule="exact"/>
            </w:pPr>
          </w:p>
        </w:tc>
        <w:tc>
          <w:tcPr>
            <w:tcW w:w="709" w:type="dxa"/>
            <w:vAlign w:val="center"/>
          </w:tcPr>
          <w:p>
            <w:pPr>
              <w:pStyle w:val="20"/>
              <w:spacing w:line="584" w:lineRule="exact"/>
            </w:pPr>
          </w:p>
        </w:tc>
        <w:tc>
          <w:tcPr>
            <w:tcW w:w="850" w:type="dxa"/>
            <w:vAlign w:val="center"/>
          </w:tcPr>
          <w:p>
            <w:pPr>
              <w:pStyle w:val="21"/>
              <w:spacing w:line="584" w:lineRule="exact"/>
            </w:pPr>
          </w:p>
        </w:tc>
        <w:tc>
          <w:tcPr>
            <w:tcW w:w="850"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20"/>
              <w:spacing w:line="584" w:lineRule="exact"/>
            </w:pPr>
          </w:p>
        </w:tc>
        <w:tc>
          <w:tcPr>
            <w:tcW w:w="964" w:type="dxa"/>
            <w:vAlign w:val="center"/>
          </w:tcPr>
          <w:p>
            <w:pPr>
              <w:pStyle w:val="21"/>
              <w:spacing w:line="584" w:lineRule="exact"/>
            </w:pPr>
          </w:p>
        </w:tc>
        <w:tc>
          <w:tcPr>
            <w:tcW w:w="1134" w:type="dxa"/>
            <w:vAlign w:val="center"/>
          </w:tcPr>
          <w:p>
            <w:pPr>
              <w:pStyle w:val="22"/>
              <w:spacing w:line="584" w:lineRule="exact"/>
            </w:pPr>
          </w:p>
        </w:tc>
        <w:tc>
          <w:tcPr>
            <w:tcW w:w="1134" w:type="dxa"/>
            <w:vAlign w:val="center"/>
          </w:tcPr>
          <w:p>
            <w:pPr>
              <w:pStyle w:val="22"/>
              <w:spacing w:line="584" w:lineRule="exact"/>
            </w:pPr>
          </w:p>
        </w:tc>
        <w:tc>
          <w:tcPr>
            <w:tcW w:w="709" w:type="dxa"/>
            <w:vAlign w:val="center"/>
          </w:tcPr>
          <w:p>
            <w:pPr>
              <w:pStyle w:val="20"/>
              <w:spacing w:line="584" w:lineRule="exact"/>
            </w:pPr>
          </w:p>
        </w:tc>
        <w:tc>
          <w:tcPr>
            <w:tcW w:w="850" w:type="dxa"/>
            <w:vAlign w:val="center"/>
          </w:tcPr>
          <w:p>
            <w:pPr>
              <w:pStyle w:val="21"/>
              <w:spacing w:line="584" w:lineRule="exact"/>
            </w:pPr>
          </w:p>
        </w:tc>
        <w:tc>
          <w:tcPr>
            <w:tcW w:w="850"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8"/>
              <w:spacing w:line="584" w:lineRule="exact"/>
            </w:pPr>
          </w:p>
        </w:tc>
        <w:tc>
          <w:tcPr>
            <w:tcW w:w="964" w:type="dxa"/>
            <w:vAlign w:val="center"/>
          </w:tcPr>
          <w:p>
            <w:pPr>
              <w:pStyle w:val="17"/>
              <w:spacing w:line="584" w:lineRule="exact"/>
            </w:pPr>
          </w:p>
        </w:tc>
        <w:tc>
          <w:tcPr>
            <w:tcW w:w="1134" w:type="dxa"/>
            <w:vAlign w:val="center"/>
          </w:tcPr>
          <w:p>
            <w:pPr>
              <w:pStyle w:val="18"/>
              <w:spacing w:line="584" w:lineRule="exact"/>
            </w:pPr>
          </w:p>
        </w:tc>
        <w:tc>
          <w:tcPr>
            <w:tcW w:w="1134" w:type="dxa"/>
            <w:vAlign w:val="center"/>
          </w:tcPr>
          <w:p>
            <w:pPr>
              <w:pStyle w:val="18"/>
              <w:spacing w:line="584" w:lineRule="exact"/>
            </w:pPr>
          </w:p>
        </w:tc>
        <w:tc>
          <w:tcPr>
            <w:tcW w:w="709" w:type="dxa"/>
            <w:vAlign w:val="center"/>
          </w:tcPr>
          <w:p>
            <w:pPr>
              <w:pStyle w:val="19"/>
              <w:spacing w:line="584" w:lineRule="exact"/>
            </w:pPr>
          </w:p>
        </w:tc>
        <w:tc>
          <w:tcPr>
            <w:tcW w:w="850" w:type="dxa"/>
            <w:vAlign w:val="center"/>
          </w:tcPr>
          <w:p>
            <w:pPr>
              <w:pStyle w:val="17"/>
              <w:spacing w:line="584" w:lineRule="exact"/>
            </w:pPr>
          </w:p>
        </w:tc>
        <w:tc>
          <w:tcPr>
            <w:tcW w:w="850"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r>
    </w:tbl>
    <w:p>
      <w:pPr>
        <w:spacing w:line="584" w:lineRule="exact"/>
        <w:ind w:firstLine="420"/>
        <w:rPr>
          <w:rFonts w:ascii="方正仿宋_GBK" w:hAnsi="方正仿宋_GBK" w:eastAsia="方正仿宋_GBK" w:cs="方正仿宋_GBK"/>
          <w:color w:val="000000"/>
        </w:rPr>
      </w:pPr>
      <w:r>
        <w:rPr>
          <w:rFonts w:ascii="方正仿宋_GBK" w:hAnsi="方正仿宋_GBK" w:eastAsia="方正仿宋_GBK" w:cs="方正仿宋_GBK"/>
          <w:color w:val="000000"/>
        </w:rPr>
        <w:t>注：同一采购目录序号的物品，其单价会因配置规格不同而变动，均符合资产配置标准。涉密采购事项按照相关规定执行。</w:t>
      </w:r>
    </w:p>
    <w:p>
      <w:pPr>
        <w:spacing w:line="584" w:lineRule="exact"/>
        <w:ind w:firstLine="420"/>
        <w:rPr>
          <w:rFonts w:ascii="Times New Roman" w:hAnsi="Times New Roman" w:eastAsia="黑体" w:cs="Times New Roman"/>
          <w:sz w:val="32"/>
          <w:szCs w:val="32"/>
        </w:rPr>
      </w:pPr>
      <w:r>
        <w:rPr>
          <w:rFonts w:ascii="Times New Roman" w:hAnsi="黑体"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中共大城县委统一战线工作部</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lang w:val="en-US" w:eastAsia="zh-CN"/>
        </w:rPr>
        <w:t>15.26</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拟购置固定资产</w:t>
      </w:r>
      <w:r>
        <w:rPr>
          <w:rFonts w:hint="eastAsia" w:ascii="Times New Roman" w:hAnsi="Times New Roman" w:eastAsia="仿宋_GB2312" w:cs="Times New Roman"/>
          <w:sz w:val="32"/>
          <w:szCs w:val="32"/>
        </w:rPr>
        <w:t>总额为</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sz w:val="32"/>
          <w:szCs w:val="32"/>
        </w:rPr>
      </w:pPr>
    </w:p>
    <w:tbl>
      <w:tblPr>
        <w:tblStyle w:val="8"/>
        <w:tblW w:w="13482"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lang w:eastAsia="zh-CN"/>
              </w:rPr>
              <w:t>大城县单位</w:t>
            </w:r>
            <w:r>
              <w:rPr>
                <w:rFonts w:ascii="Times New Roman" w:hAnsi="Times New Roman" w:eastAsia="仿宋_GB2312" w:cs="Times New Roman"/>
                <w:b/>
                <w:bCs/>
                <w:kern w:val="0"/>
                <w:sz w:val="32"/>
                <w:szCs w:val="32"/>
              </w:rPr>
              <w:t>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hint="eastAsia" w:ascii="Times New Roman" w:hAnsi="Times New Roman" w:eastAsia="仿宋_GB2312" w:cs="Times New Roman"/>
                <w:kern w:val="0"/>
                <w:sz w:val="22"/>
                <w:lang w:eastAsia="zh-CN"/>
              </w:rPr>
            </w:pPr>
            <w:r>
              <w:rPr>
                <w:rFonts w:ascii="Times New Roman" w:hAnsi="Times New Roman" w:eastAsia="仿宋_GB2312" w:cs="Times New Roman"/>
                <w:kern w:val="0"/>
                <w:sz w:val="22"/>
              </w:rPr>
              <w:t>编制</w:t>
            </w:r>
            <w:r>
              <w:rPr>
                <w:rFonts w:hint="eastAsia" w:ascii="Times New Roman" w:hAnsi="Times New Roman" w:eastAsia="仿宋_GB2312" w:cs="Times New Roman"/>
                <w:kern w:val="0"/>
                <w:sz w:val="22"/>
                <w:lang w:eastAsia="zh-CN"/>
              </w:rPr>
              <w:t>单位</w:t>
            </w:r>
            <w:r>
              <w:rPr>
                <w:rFonts w:ascii="Times New Roman" w:hAnsi="Times New Roman" w:eastAsia="仿宋_GB2312" w:cs="Times New Roman"/>
                <w:kern w:val="0"/>
                <w:sz w:val="22"/>
              </w:rPr>
              <w:t>：</w:t>
            </w:r>
            <w:r>
              <w:rPr>
                <w:rFonts w:hint="eastAsia" w:ascii="Times New Roman" w:hAnsi="Times New Roman" w:eastAsia="仿宋_GB2312" w:cs="Times New Roman"/>
                <w:kern w:val="0"/>
                <w:sz w:val="22"/>
                <w:lang w:val="en-US" w:eastAsia="zh-CN"/>
              </w:rPr>
              <w:t xml:space="preserve"> 大城县</w:t>
            </w:r>
            <w:r>
              <w:rPr>
                <w:rFonts w:hint="eastAsia" w:ascii="Times New Roman" w:hAnsi="Times New Roman" w:eastAsia="仿宋_GB2312" w:cs="Times New Roman"/>
                <w:kern w:val="0"/>
                <w:sz w:val="22"/>
              </w:rPr>
              <w:t>***</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22</w:t>
            </w:r>
            <w:r>
              <w:rPr>
                <w:rFonts w:ascii="Times New Roman" w:hAnsi="Times New Roman" w:eastAsia="仿宋_GB2312" w:cs="Times New Roman"/>
                <w:kern w:val="0"/>
                <w:sz w:val="22"/>
              </w:rPr>
              <w:t>年12月31日</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kern w:val="2"/>
                <w:sz w:val="22"/>
                <w:szCs w:val="22"/>
                <w:lang w:val="en-US" w:eastAsia="zh-CN" w:bidi="ar-SA"/>
              </w:rPr>
            </w:pPr>
            <w:r>
              <w:rPr>
                <w:rFonts w:hint="eastAsia" w:ascii="Times New Roman" w:hAnsi="Times New Roman" w:eastAsia="仿宋_GB2312" w:cs="Times New Roman"/>
                <w:sz w:val="22"/>
                <w:lang w:val="en-US" w:eastAsia="zh-CN"/>
              </w:rPr>
              <w:t>15.26</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kern w:val="2"/>
                <w:sz w:val="22"/>
                <w:szCs w:val="22"/>
                <w:lang w:val="en-US" w:eastAsia="zh-CN" w:bidi="ar-SA"/>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kern w:val="2"/>
                <w:sz w:val="22"/>
                <w:szCs w:val="22"/>
                <w:lang w:val="en-US" w:eastAsia="zh-CN" w:bidi="ar-SA"/>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kern w:val="2"/>
                <w:sz w:val="22"/>
                <w:szCs w:val="22"/>
                <w:lang w:val="en-US" w:eastAsia="zh-CN" w:bidi="ar-SA"/>
              </w:rPr>
            </w:pPr>
            <w:r>
              <w:rPr>
                <w:rFonts w:hint="eastAsia" w:ascii="Times New Roman" w:hAnsi="Times New Roman" w:eastAsia="仿宋_GB2312" w:cs="Times New Roman"/>
                <w:sz w:val="22"/>
                <w:lang w:val="en-US" w:eastAsia="zh-CN"/>
              </w:rPr>
              <w:t>11.72</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kern w:val="2"/>
                <w:sz w:val="22"/>
                <w:szCs w:val="22"/>
                <w:lang w:val="en-US" w:eastAsia="zh-CN" w:bidi="ar-SA"/>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kern w:val="2"/>
                <w:sz w:val="22"/>
                <w:szCs w:val="22"/>
                <w:lang w:val="en-US" w:eastAsia="zh-CN" w:bidi="ar-SA"/>
              </w:rPr>
            </w:pPr>
            <w:r>
              <w:rPr>
                <w:rFonts w:hint="eastAsia" w:ascii="Times New Roman" w:hAnsi="Times New Roman" w:eastAsia="仿宋_GB2312" w:cs="Times New Roman"/>
                <w:sz w:val="22"/>
                <w:lang w:val="en-US" w:eastAsia="zh-CN"/>
              </w:rPr>
              <w:t>3.54</w:t>
            </w:r>
          </w:p>
        </w:tc>
      </w:tr>
    </w:tbl>
    <w:p>
      <w:pPr>
        <w:autoSpaceDE w:val="0"/>
        <w:autoSpaceDN w:val="0"/>
        <w:adjustRightInd w:val="0"/>
        <w:spacing w:line="584" w:lineRule="exact"/>
        <w:ind w:firstLine="640" w:firstLineChars="200"/>
        <w:jc w:val="left"/>
        <w:rPr>
          <w:rFonts w:ascii="Times New Roman" w:hAnsi="黑体"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无其他需要说明的事项。</w:t>
      </w:r>
    </w:p>
    <w:p>
      <w:pPr>
        <w:spacing w:line="584" w:lineRule="exact"/>
        <w:ind w:firstLine="640" w:firstLineChars="200"/>
        <w:rPr>
          <w:rFonts w:ascii="Times New Roman" w:hAnsi="Times New Roman" w:eastAsia="仿宋_GB2312" w:cs="Times New Roman"/>
          <w:sz w:val="32"/>
          <w:szCs w:val="32"/>
        </w:rPr>
      </w:pPr>
    </w:p>
    <w:p>
      <w:pPr>
        <w:spacing w:line="584" w:lineRule="exact"/>
        <w:rPr>
          <w:rFonts w:ascii="Times New Roman" w:hAnsi="Times New Roman" w:eastAsia="仿宋_GB2312" w:cs="Times New Roman"/>
          <w:sz w:val="32"/>
          <w:szCs w:val="32"/>
        </w:rPr>
      </w:pPr>
    </w:p>
    <w:p>
      <w:pPr>
        <w:spacing w:line="584" w:lineRule="exact"/>
        <w:ind w:firstLine="643" w:firstLineChars="200"/>
        <w:rPr>
          <w:rFonts w:ascii="Times New Roman" w:hAnsi="Times New Roman" w:eastAsia="仿宋_GB2312" w:cs="Times New Roman"/>
          <w:b/>
          <w:color w:val="FF0000"/>
          <w:sz w:val="32"/>
          <w:szCs w:val="32"/>
        </w:rPr>
      </w:pPr>
    </w:p>
    <w:sectPr>
      <w:footerReference r:id="rId3" w:type="default"/>
      <w:pgSz w:w="16838" w:h="11906" w:orient="landscape"/>
      <w:pgMar w:top="1800" w:right="1440" w:bottom="1800" w:left="144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7113679-0072-4148-BEA1-912ADB662ACD}"/>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2" w:fontKey="{51CFB23A-D00B-4C66-B3B3-C91951298A81}"/>
  </w:font>
  <w:font w:name="方正书宋_GBK">
    <w:altName w:val="微软雅黑"/>
    <w:panose1 w:val="00000000000000000000"/>
    <w:charset w:val="86"/>
    <w:family w:val="roman"/>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40000" w:csb1="00000000"/>
    <w:embedRegular r:id="rId3" w:fontKey="{EE915289-7237-4B14-85E8-5F53F121B8F7}"/>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panose1 w:val="02000000000000000000"/>
    <w:charset w:val="86"/>
    <w:family w:val="script"/>
    <w:pitch w:val="default"/>
    <w:sig w:usb0="A00002BF" w:usb1="38CF7CFA" w:usb2="00082016" w:usb3="00000000" w:csb0="00040001" w:csb1="00000000"/>
    <w:embedRegular r:id="rId4" w:fontKey="{3527CC0B-5608-4645-BC83-4C980AFC358D}"/>
  </w:font>
  <w:font w:name="方正仿宋_GBK">
    <w:panose1 w:val="02000000000000000000"/>
    <w:charset w:val="86"/>
    <w:family w:val="script"/>
    <w:pitch w:val="default"/>
    <w:sig w:usb0="A00002BF" w:usb1="38CF7CFA" w:usb2="00082016" w:usb3="00000000" w:csb0="00040001" w:csb1="00000000"/>
    <w:embedRegular r:id="rId5" w:fontKey="{47263AC1-BB52-4A8D-8A5B-6335FAE80E0F}"/>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73297"/>
      <w:docPartObj>
        <w:docPartGallery w:val="autotext"/>
      </w:docPartObj>
    </w:sdtPr>
    <w:sdtContent>
      <w:p>
        <w:pPr>
          <w:pStyle w:val="3"/>
          <w:jc w:val="center"/>
        </w:pPr>
        <w:r>
          <w:fldChar w:fldCharType="begin"/>
        </w:r>
        <w:r>
          <w:instrText xml:space="preserve"> PAGE   \* MERGEFORMAT </w:instrText>
        </w:r>
        <w:r>
          <w:fldChar w:fldCharType="separate"/>
        </w:r>
        <w:r>
          <w:rPr>
            <w:lang w:val="zh-CN"/>
          </w:rPr>
          <w:t>4</w:t>
        </w:r>
        <w:r>
          <w:rPr>
            <w:lang w:val="zh-CN"/>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9870E6E"/>
    <w:multiLevelType w:val="multilevel"/>
    <w:tmpl w:val="19870E6E"/>
    <w:lvl w:ilvl="0" w:tentative="0">
      <w:start w:val="1"/>
      <w:numFmt w:val="japaneseCounting"/>
      <w:lvlText w:val="（%1）"/>
      <w:lvlJc w:val="left"/>
      <w:pPr>
        <w:ind w:left="2820" w:hanging="1260"/>
      </w:pPr>
      <w:rPr>
        <w:rFonts w:hint="default"/>
      </w:rPr>
    </w:lvl>
    <w:lvl w:ilvl="1" w:tentative="0">
      <w:start w:val="1"/>
      <w:numFmt w:val="lowerLetter"/>
      <w:lvlText w:val="%2)"/>
      <w:lvlJc w:val="left"/>
      <w:pPr>
        <w:ind w:left="2400" w:hanging="420"/>
      </w:pPr>
    </w:lvl>
    <w:lvl w:ilvl="2" w:tentative="0">
      <w:start w:val="1"/>
      <w:numFmt w:val="lowerRoman"/>
      <w:lvlText w:val="%3."/>
      <w:lvlJc w:val="right"/>
      <w:pPr>
        <w:ind w:left="2820" w:hanging="420"/>
      </w:pPr>
    </w:lvl>
    <w:lvl w:ilvl="3" w:tentative="0">
      <w:start w:val="1"/>
      <w:numFmt w:val="decimal"/>
      <w:lvlText w:val="%4."/>
      <w:lvlJc w:val="left"/>
      <w:pPr>
        <w:ind w:left="3240" w:hanging="420"/>
      </w:pPr>
    </w:lvl>
    <w:lvl w:ilvl="4" w:tentative="0">
      <w:start w:val="1"/>
      <w:numFmt w:val="lowerLetter"/>
      <w:lvlText w:val="%5)"/>
      <w:lvlJc w:val="left"/>
      <w:pPr>
        <w:ind w:left="3660" w:hanging="420"/>
      </w:pPr>
    </w:lvl>
    <w:lvl w:ilvl="5" w:tentative="0">
      <w:start w:val="1"/>
      <w:numFmt w:val="lowerRoman"/>
      <w:lvlText w:val="%6."/>
      <w:lvlJc w:val="right"/>
      <w:pPr>
        <w:ind w:left="4080" w:hanging="420"/>
      </w:pPr>
    </w:lvl>
    <w:lvl w:ilvl="6" w:tentative="0">
      <w:start w:val="1"/>
      <w:numFmt w:val="decimal"/>
      <w:lvlText w:val="%7."/>
      <w:lvlJc w:val="left"/>
      <w:pPr>
        <w:ind w:left="4500" w:hanging="420"/>
      </w:pPr>
    </w:lvl>
    <w:lvl w:ilvl="7" w:tentative="0">
      <w:start w:val="1"/>
      <w:numFmt w:val="lowerLetter"/>
      <w:lvlText w:val="%8)"/>
      <w:lvlJc w:val="left"/>
      <w:pPr>
        <w:ind w:left="4920" w:hanging="420"/>
      </w:pPr>
    </w:lvl>
    <w:lvl w:ilvl="8" w:tentative="0">
      <w:start w:val="1"/>
      <w:numFmt w:val="lowerRoman"/>
      <w:lvlText w:val="%9."/>
      <w:lvlJc w:val="right"/>
      <w:pPr>
        <w:ind w:left="5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zgyNjRhMWVkMjE2YzZkZWRiYzc3OGIxNTZlM2VjMzcifQ=="/>
  </w:docVars>
  <w:rsids>
    <w:rsidRoot w:val="00F66032"/>
    <w:rsid w:val="000053CC"/>
    <w:rsid w:val="00005DD8"/>
    <w:rsid w:val="00007292"/>
    <w:rsid w:val="00007A31"/>
    <w:rsid w:val="0002784C"/>
    <w:rsid w:val="0003697D"/>
    <w:rsid w:val="00037AF6"/>
    <w:rsid w:val="0004565F"/>
    <w:rsid w:val="00072187"/>
    <w:rsid w:val="00075D5F"/>
    <w:rsid w:val="0008180F"/>
    <w:rsid w:val="00082B29"/>
    <w:rsid w:val="00093DA3"/>
    <w:rsid w:val="000B529B"/>
    <w:rsid w:val="000C1A24"/>
    <w:rsid w:val="000C2338"/>
    <w:rsid w:val="000C24E6"/>
    <w:rsid w:val="000C3A19"/>
    <w:rsid w:val="000D0983"/>
    <w:rsid w:val="000D49F2"/>
    <w:rsid w:val="000E4305"/>
    <w:rsid w:val="000F0D09"/>
    <w:rsid w:val="00123A3A"/>
    <w:rsid w:val="001245BB"/>
    <w:rsid w:val="001251A3"/>
    <w:rsid w:val="00137B51"/>
    <w:rsid w:val="00143193"/>
    <w:rsid w:val="001601F9"/>
    <w:rsid w:val="00160266"/>
    <w:rsid w:val="001643E8"/>
    <w:rsid w:val="00164641"/>
    <w:rsid w:val="00164B40"/>
    <w:rsid w:val="00176C13"/>
    <w:rsid w:val="00183D1E"/>
    <w:rsid w:val="001919C4"/>
    <w:rsid w:val="0019331A"/>
    <w:rsid w:val="0019412A"/>
    <w:rsid w:val="0019723B"/>
    <w:rsid w:val="001A0943"/>
    <w:rsid w:val="001A3D44"/>
    <w:rsid w:val="001B5C1D"/>
    <w:rsid w:val="001B614C"/>
    <w:rsid w:val="001C2B2C"/>
    <w:rsid w:val="001C3B5E"/>
    <w:rsid w:val="001D42E8"/>
    <w:rsid w:val="001E0757"/>
    <w:rsid w:val="001E5749"/>
    <w:rsid w:val="001E6DDC"/>
    <w:rsid w:val="001E70E9"/>
    <w:rsid w:val="001E7F38"/>
    <w:rsid w:val="001F5C92"/>
    <w:rsid w:val="001F7873"/>
    <w:rsid w:val="00204F37"/>
    <w:rsid w:val="002252C7"/>
    <w:rsid w:val="00230E48"/>
    <w:rsid w:val="00241FD4"/>
    <w:rsid w:val="00246317"/>
    <w:rsid w:val="00251B12"/>
    <w:rsid w:val="00265318"/>
    <w:rsid w:val="00277452"/>
    <w:rsid w:val="002835D7"/>
    <w:rsid w:val="00290B45"/>
    <w:rsid w:val="00290FD6"/>
    <w:rsid w:val="0029588E"/>
    <w:rsid w:val="00296113"/>
    <w:rsid w:val="002A673A"/>
    <w:rsid w:val="002C29A3"/>
    <w:rsid w:val="002C5E13"/>
    <w:rsid w:val="002C62BC"/>
    <w:rsid w:val="002E0EB8"/>
    <w:rsid w:val="002F3A53"/>
    <w:rsid w:val="002F3E58"/>
    <w:rsid w:val="0030542C"/>
    <w:rsid w:val="003075D4"/>
    <w:rsid w:val="00311B7A"/>
    <w:rsid w:val="003126B6"/>
    <w:rsid w:val="00313D9C"/>
    <w:rsid w:val="00314231"/>
    <w:rsid w:val="00325215"/>
    <w:rsid w:val="0033339C"/>
    <w:rsid w:val="0036386B"/>
    <w:rsid w:val="00371FDA"/>
    <w:rsid w:val="0039520A"/>
    <w:rsid w:val="003A04FB"/>
    <w:rsid w:val="003B6D37"/>
    <w:rsid w:val="003D2E03"/>
    <w:rsid w:val="004041B3"/>
    <w:rsid w:val="00415C0E"/>
    <w:rsid w:val="00424943"/>
    <w:rsid w:val="0042727E"/>
    <w:rsid w:val="0043175C"/>
    <w:rsid w:val="00437296"/>
    <w:rsid w:val="00451590"/>
    <w:rsid w:val="00451871"/>
    <w:rsid w:val="004706DE"/>
    <w:rsid w:val="00472923"/>
    <w:rsid w:val="00486DCD"/>
    <w:rsid w:val="0049120C"/>
    <w:rsid w:val="004B0C3A"/>
    <w:rsid w:val="004B12F3"/>
    <w:rsid w:val="004B45C1"/>
    <w:rsid w:val="004C49A8"/>
    <w:rsid w:val="004D0AD1"/>
    <w:rsid w:val="004D5788"/>
    <w:rsid w:val="004E15AE"/>
    <w:rsid w:val="004E3066"/>
    <w:rsid w:val="004E419C"/>
    <w:rsid w:val="004E581C"/>
    <w:rsid w:val="004E74CD"/>
    <w:rsid w:val="00501872"/>
    <w:rsid w:val="00517C46"/>
    <w:rsid w:val="00524EFD"/>
    <w:rsid w:val="00527CD9"/>
    <w:rsid w:val="00572067"/>
    <w:rsid w:val="00573562"/>
    <w:rsid w:val="00573966"/>
    <w:rsid w:val="0057546C"/>
    <w:rsid w:val="00590ECE"/>
    <w:rsid w:val="00597EFC"/>
    <w:rsid w:val="005A32B6"/>
    <w:rsid w:val="005B041A"/>
    <w:rsid w:val="005C0E90"/>
    <w:rsid w:val="005D37CA"/>
    <w:rsid w:val="005D5683"/>
    <w:rsid w:val="005F04DE"/>
    <w:rsid w:val="005F5714"/>
    <w:rsid w:val="005F7AE1"/>
    <w:rsid w:val="00611D03"/>
    <w:rsid w:val="00614A29"/>
    <w:rsid w:val="00616FCE"/>
    <w:rsid w:val="006351FB"/>
    <w:rsid w:val="006465EA"/>
    <w:rsid w:val="00651BA2"/>
    <w:rsid w:val="00665136"/>
    <w:rsid w:val="00672D6C"/>
    <w:rsid w:val="00673D76"/>
    <w:rsid w:val="006750E7"/>
    <w:rsid w:val="00677AC3"/>
    <w:rsid w:val="006854F0"/>
    <w:rsid w:val="00694D30"/>
    <w:rsid w:val="006B1C4A"/>
    <w:rsid w:val="006B610D"/>
    <w:rsid w:val="006C3E06"/>
    <w:rsid w:val="006D010F"/>
    <w:rsid w:val="006E49F5"/>
    <w:rsid w:val="006F66C9"/>
    <w:rsid w:val="006F74B7"/>
    <w:rsid w:val="007013C8"/>
    <w:rsid w:val="007154DA"/>
    <w:rsid w:val="00716BFB"/>
    <w:rsid w:val="00727C84"/>
    <w:rsid w:val="00740BB2"/>
    <w:rsid w:val="0074338E"/>
    <w:rsid w:val="00753836"/>
    <w:rsid w:val="0075393C"/>
    <w:rsid w:val="00754592"/>
    <w:rsid w:val="00776C08"/>
    <w:rsid w:val="00785B0E"/>
    <w:rsid w:val="007B0400"/>
    <w:rsid w:val="007B49AA"/>
    <w:rsid w:val="007B5167"/>
    <w:rsid w:val="007C219A"/>
    <w:rsid w:val="007C5EA6"/>
    <w:rsid w:val="007E1DA8"/>
    <w:rsid w:val="007E2167"/>
    <w:rsid w:val="007E5EC5"/>
    <w:rsid w:val="007F1335"/>
    <w:rsid w:val="007F2A37"/>
    <w:rsid w:val="007F3BE7"/>
    <w:rsid w:val="007F6C26"/>
    <w:rsid w:val="00800F72"/>
    <w:rsid w:val="00806294"/>
    <w:rsid w:val="00811795"/>
    <w:rsid w:val="00813208"/>
    <w:rsid w:val="00815157"/>
    <w:rsid w:val="00815F8F"/>
    <w:rsid w:val="008219E1"/>
    <w:rsid w:val="0083348E"/>
    <w:rsid w:val="008334AE"/>
    <w:rsid w:val="00835573"/>
    <w:rsid w:val="00836FED"/>
    <w:rsid w:val="0083724E"/>
    <w:rsid w:val="00841D53"/>
    <w:rsid w:val="00845CD2"/>
    <w:rsid w:val="00852B0D"/>
    <w:rsid w:val="0085425A"/>
    <w:rsid w:val="0085679A"/>
    <w:rsid w:val="0085726E"/>
    <w:rsid w:val="008575E3"/>
    <w:rsid w:val="008576D0"/>
    <w:rsid w:val="008616F6"/>
    <w:rsid w:val="00864B7F"/>
    <w:rsid w:val="00881692"/>
    <w:rsid w:val="008858FF"/>
    <w:rsid w:val="0089075B"/>
    <w:rsid w:val="008A62DA"/>
    <w:rsid w:val="008A6576"/>
    <w:rsid w:val="008A6D3B"/>
    <w:rsid w:val="008B3CC5"/>
    <w:rsid w:val="008B52CD"/>
    <w:rsid w:val="008C4AAE"/>
    <w:rsid w:val="008C7C4D"/>
    <w:rsid w:val="008E0AD8"/>
    <w:rsid w:val="008E4261"/>
    <w:rsid w:val="008E70D4"/>
    <w:rsid w:val="008F4662"/>
    <w:rsid w:val="0090563F"/>
    <w:rsid w:val="00905D08"/>
    <w:rsid w:val="009161E4"/>
    <w:rsid w:val="009166B4"/>
    <w:rsid w:val="00920908"/>
    <w:rsid w:val="00923F0E"/>
    <w:rsid w:val="00925753"/>
    <w:rsid w:val="00936DDD"/>
    <w:rsid w:val="00937F8B"/>
    <w:rsid w:val="009425F4"/>
    <w:rsid w:val="00943BD8"/>
    <w:rsid w:val="00950961"/>
    <w:rsid w:val="00954B20"/>
    <w:rsid w:val="00954B2C"/>
    <w:rsid w:val="0096626E"/>
    <w:rsid w:val="00966C5C"/>
    <w:rsid w:val="00973104"/>
    <w:rsid w:val="009842F6"/>
    <w:rsid w:val="00995BF0"/>
    <w:rsid w:val="009A16D5"/>
    <w:rsid w:val="009A20CE"/>
    <w:rsid w:val="009A353D"/>
    <w:rsid w:val="009B0B77"/>
    <w:rsid w:val="009B511E"/>
    <w:rsid w:val="009B5215"/>
    <w:rsid w:val="009C6C86"/>
    <w:rsid w:val="009D37D3"/>
    <w:rsid w:val="00A16E6C"/>
    <w:rsid w:val="00A40F60"/>
    <w:rsid w:val="00A44E3D"/>
    <w:rsid w:val="00A45598"/>
    <w:rsid w:val="00A72D2E"/>
    <w:rsid w:val="00A736A7"/>
    <w:rsid w:val="00A74447"/>
    <w:rsid w:val="00A74CE5"/>
    <w:rsid w:val="00A77500"/>
    <w:rsid w:val="00A8536F"/>
    <w:rsid w:val="00A911E7"/>
    <w:rsid w:val="00A92170"/>
    <w:rsid w:val="00A939D9"/>
    <w:rsid w:val="00AB77AA"/>
    <w:rsid w:val="00AC1794"/>
    <w:rsid w:val="00AC3370"/>
    <w:rsid w:val="00AC4748"/>
    <w:rsid w:val="00AD5259"/>
    <w:rsid w:val="00AE1A02"/>
    <w:rsid w:val="00B01D36"/>
    <w:rsid w:val="00B02FF0"/>
    <w:rsid w:val="00B061E8"/>
    <w:rsid w:val="00B078CD"/>
    <w:rsid w:val="00B20712"/>
    <w:rsid w:val="00B43238"/>
    <w:rsid w:val="00B45DD3"/>
    <w:rsid w:val="00B54B90"/>
    <w:rsid w:val="00B64FA8"/>
    <w:rsid w:val="00B73582"/>
    <w:rsid w:val="00B75216"/>
    <w:rsid w:val="00B755A2"/>
    <w:rsid w:val="00B75C1E"/>
    <w:rsid w:val="00B9104C"/>
    <w:rsid w:val="00B91D52"/>
    <w:rsid w:val="00B9490F"/>
    <w:rsid w:val="00BA0016"/>
    <w:rsid w:val="00BA1ACD"/>
    <w:rsid w:val="00BB50F3"/>
    <w:rsid w:val="00BD09F8"/>
    <w:rsid w:val="00BD7278"/>
    <w:rsid w:val="00BE2395"/>
    <w:rsid w:val="00BF2D2F"/>
    <w:rsid w:val="00C005B2"/>
    <w:rsid w:val="00C1565C"/>
    <w:rsid w:val="00C21E0F"/>
    <w:rsid w:val="00C362CA"/>
    <w:rsid w:val="00C40286"/>
    <w:rsid w:val="00C56BB2"/>
    <w:rsid w:val="00C649A9"/>
    <w:rsid w:val="00C772C1"/>
    <w:rsid w:val="00C77976"/>
    <w:rsid w:val="00CA7176"/>
    <w:rsid w:val="00CC0FB3"/>
    <w:rsid w:val="00CC75B0"/>
    <w:rsid w:val="00CD2773"/>
    <w:rsid w:val="00CD3C04"/>
    <w:rsid w:val="00CD52C7"/>
    <w:rsid w:val="00CE01BA"/>
    <w:rsid w:val="00CE143B"/>
    <w:rsid w:val="00CE3A91"/>
    <w:rsid w:val="00CF38DE"/>
    <w:rsid w:val="00D07DBA"/>
    <w:rsid w:val="00D23C16"/>
    <w:rsid w:val="00D24A4A"/>
    <w:rsid w:val="00D27003"/>
    <w:rsid w:val="00D270FD"/>
    <w:rsid w:val="00D27903"/>
    <w:rsid w:val="00D324AD"/>
    <w:rsid w:val="00D56115"/>
    <w:rsid w:val="00D86ED8"/>
    <w:rsid w:val="00D926D0"/>
    <w:rsid w:val="00D9307A"/>
    <w:rsid w:val="00D95B8B"/>
    <w:rsid w:val="00DB08DA"/>
    <w:rsid w:val="00DB4322"/>
    <w:rsid w:val="00DD1D0C"/>
    <w:rsid w:val="00DD62E6"/>
    <w:rsid w:val="00DE186D"/>
    <w:rsid w:val="00DE1C20"/>
    <w:rsid w:val="00DE4AC2"/>
    <w:rsid w:val="00E0381D"/>
    <w:rsid w:val="00E05C03"/>
    <w:rsid w:val="00E167C7"/>
    <w:rsid w:val="00E55B78"/>
    <w:rsid w:val="00E66527"/>
    <w:rsid w:val="00E74313"/>
    <w:rsid w:val="00E76361"/>
    <w:rsid w:val="00E84020"/>
    <w:rsid w:val="00EB53A2"/>
    <w:rsid w:val="00EB7A80"/>
    <w:rsid w:val="00EC47F6"/>
    <w:rsid w:val="00EC797B"/>
    <w:rsid w:val="00ED0C47"/>
    <w:rsid w:val="00EE697F"/>
    <w:rsid w:val="00EE6D6D"/>
    <w:rsid w:val="00EF08C9"/>
    <w:rsid w:val="00EF535E"/>
    <w:rsid w:val="00F10A48"/>
    <w:rsid w:val="00F15CD2"/>
    <w:rsid w:val="00F21842"/>
    <w:rsid w:val="00F22ECF"/>
    <w:rsid w:val="00F36922"/>
    <w:rsid w:val="00F41BFB"/>
    <w:rsid w:val="00F471F7"/>
    <w:rsid w:val="00F47C8F"/>
    <w:rsid w:val="00F506F5"/>
    <w:rsid w:val="00F52717"/>
    <w:rsid w:val="00F56E5A"/>
    <w:rsid w:val="00F66032"/>
    <w:rsid w:val="00F83B96"/>
    <w:rsid w:val="00F8441D"/>
    <w:rsid w:val="00F87C1E"/>
    <w:rsid w:val="00F9078A"/>
    <w:rsid w:val="00F958C2"/>
    <w:rsid w:val="00FA6FE9"/>
    <w:rsid w:val="00FA740E"/>
    <w:rsid w:val="00FC06C7"/>
    <w:rsid w:val="00FD5DB4"/>
    <w:rsid w:val="00FE1724"/>
    <w:rsid w:val="00FE375B"/>
    <w:rsid w:val="00FE753C"/>
    <w:rsid w:val="00FF2162"/>
    <w:rsid w:val="00FF2346"/>
    <w:rsid w:val="03D64DF8"/>
    <w:rsid w:val="04F2761B"/>
    <w:rsid w:val="0978174A"/>
    <w:rsid w:val="11F76C12"/>
    <w:rsid w:val="12973771"/>
    <w:rsid w:val="13E306DA"/>
    <w:rsid w:val="1B1D7A72"/>
    <w:rsid w:val="1B6E4190"/>
    <w:rsid w:val="1C502F39"/>
    <w:rsid w:val="1CBA5F77"/>
    <w:rsid w:val="21A34ECE"/>
    <w:rsid w:val="2256088E"/>
    <w:rsid w:val="38F17E51"/>
    <w:rsid w:val="3D6F14A0"/>
    <w:rsid w:val="3E8B454E"/>
    <w:rsid w:val="3F655022"/>
    <w:rsid w:val="48693750"/>
    <w:rsid w:val="49E737FD"/>
    <w:rsid w:val="55440103"/>
    <w:rsid w:val="57E040E2"/>
    <w:rsid w:val="636E45B4"/>
    <w:rsid w:val="6702296F"/>
    <w:rsid w:val="673B57FC"/>
    <w:rsid w:val="687D1153"/>
    <w:rsid w:val="6B1D22BB"/>
    <w:rsid w:val="6C2731BD"/>
    <w:rsid w:val="7C405169"/>
    <w:rsid w:val="7D3D0893"/>
    <w:rsid w:val="7E27440D"/>
    <w:rsid w:val="7E4F645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2"/>
    <w:autoRedefine/>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qFormat/>
    <w:uiPriority w:val="39"/>
    <w:rPr>
      <w:rFonts w:ascii="Times New Roman" w:hAnsi="Times New Roman" w:eastAsia="宋体" w:cs="Times New Roman"/>
      <w:szCs w:val="24"/>
    </w:rPr>
  </w:style>
  <w:style w:type="paragraph" w:styleId="6">
    <w:name w:val="footnote text"/>
    <w:basedOn w:val="1"/>
    <w:link w:val="15"/>
    <w:semiHidden/>
    <w:unhideWhenUsed/>
    <w:qFormat/>
    <w:uiPriority w:val="99"/>
    <w:pPr>
      <w:snapToGrid w:val="0"/>
      <w:jc w:val="left"/>
    </w:pPr>
    <w:rPr>
      <w:rFonts w:ascii="Calibri" w:hAnsi="Calibri" w:eastAsia="宋体" w:cs="Times New Roman"/>
      <w:sz w:val="18"/>
      <w:szCs w:val="18"/>
    </w:rPr>
  </w:style>
  <w:style w:type="paragraph" w:styleId="7">
    <w:name w:val="toc 2"/>
    <w:basedOn w:val="1"/>
    <w:next w:val="1"/>
    <w:autoRedefine/>
    <w:qFormat/>
    <w:uiPriority w:val="39"/>
    <w:pPr>
      <w:ind w:left="420" w:leftChars="200"/>
    </w:pPr>
    <w:rPr>
      <w:rFonts w:ascii="Times New Roman" w:hAnsi="Times New Roman" w:eastAsia="宋体" w:cs="Times New Roman"/>
      <w:szCs w:val="24"/>
    </w:rPr>
  </w:style>
  <w:style w:type="character" w:styleId="10">
    <w:name w:val="footnote reference"/>
    <w:autoRedefine/>
    <w:semiHidden/>
    <w:unhideWhenUsed/>
    <w:qFormat/>
    <w:uiPriority w:val="99"/>
    <w:rPr>
      <w:vertAlign w:val="superscript"/>
    </w:rPr>
  </w:style>
  <w:style w:type="character" w:customStyle="1" w:styleId="11">
    <w:name w:val="页眉 Char"/>
    <w:basedOn w:val="9"/>
    <w:link w:val="4"/>
    <w:autoRedefine/>
    <w:qFormat/>
    <w:uiPriority w:val="99"/>
    <w:rPr>
      <w:rFonts w:ascii="Times New Roman" w:hAnsi="Times New Roman" w:eastAsia="宋体" w:cs="Times New Roman"/>
      <w:sz w:val="18"/>
      <w:szCs w:val="18"/>
    </w:rPr>
  </w:style>
  <w:style w:type="character" w:customStyle="1" w:styleId="12">
    <w:name w:val="页脚 Char"/>
    <w:basedOn w:val="9"/>
    <w:link w:val="3"/>
    <w:autoRedefine/>
    <w:qFormat/>
    <w:uiPriority w:val="99"/>
    <w:rPr>
      <w:rFonts w:ascii="Times New Roman" w:hAnsi="Times New Roman" w:eastAsia="宋体" w:cs="Times New Roman"/>
      <w:sz w:val="18"/>
      <w:szCs w:val="18"/>
    </w:rPr>
  </w:style>
  <w:style w:type="character" w:customStyle="1" w:styleId="13">
    <w:name w:val="批注框文本 Char"/>
    <w:basedOn w:val="9"/>
    <w:link w:val="2"/>
    <w:autoRedefine/>
    <w:semiHidden/>
    <w:qFormat/>
    <w:uiPriority w:val="99"/>
    <w:rPr>
      <w:sz w:val="18"/>
      <w:szCs w:val="18"/>
    </w:rPr>
  </w:style>
  <w:style w:type="paragraph" w:customStyle="1" w:styleId="14">
    <w:name w:val="Default"/>
    <w:autoRedefine/>
    <w:qFormat/>
    <w:uiPriority w:val="0"/>
    <w:pPr>
      <w:widowControl w:val="0"/>
      <w:autoSpaceDE w:val="0"/>
      <w:autoSpaceDN w:val="0"/>
      <w:adjustRightInd w:val="0"/>
    </w:pPr>
    <w:rPr>
      <w:rFonts w:ascii="Times New Roman" w:hAnsi="Times New Roman" w:cs="Times New Roman" w:eastAsiaTheme="minorEastAsia"/>
      <w:color w:val="000000"/>
      <w:kern w:val="0"/>
      <w:sz w:val="24"/>
      <w:szCs w:val="24"/>
      <w:lang w:val="en-US" w:eastAsia="zh-CN" w:bidi="ar-SA"/>
    </w:rPr>
  </w:style>
  <w:style w:type="character" w:customStyle="1" w:styleId="15">
    <w:name w:val="脚注文本 Char"/>
    <w:basedOn w:val="9"/>
    <w:link w:val="6"/>
    <w:autoRedefine/>
    <w:semiHidden/>
    <w:qFormat/>
    <w:uiPriority w:val="99"/>
    <w:rPr>
      <w:rFonts w:ascii="Calibri" w:hAnsi="Calibri" w:eastAsia="宋体" w:cs="Times New Roman"/>
      <w:sz w:val="18"/>
      <w:szCs w:val="18"/>
    </w:rPr>
  </w:style>
  <w:style w:type="paragraph" w:customStyle="1" w:styleId="16">
    <w:name w:val="单元格样式1"/>
    <w:basedOn w:val="1"/>
    <w:autoRedefine/>
    <w:qFormat/>
    <w:uiPriority w:val="0"/>
    <w:pPr>
      <w:widowControl/>
      <w:jc w:val="center"/>
    </w:pPr>
    <w:rPr>
      <w:rFonts w:ascii="方正书宋_GBK" w:hAnsi="方正书宋_GBK" w:eastAsia="方正书宋_GBK" w:cs="方正书宋_GBK"/>
      <w:b/>
      <w:kern w:val="0"/>
      <w:szCs w:val="24"/>
      <w:lang w:eastAsia="uk-UA"/>
    </w:rPr>
  </w:style>
  <w:style w:type="paragraph" w:customStyle="1" w:styleId="17">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8">
    <w:name w:val="单元格样式2"/>
    <w:basedOn w:val="1"/>
    <w:autoRedefine/>
    <w:qFormat/>
    <w:uiPriority w:val="0"/>
    <w:pPr>
      <w:widowControl/>
      <w:jc w:val="left"/>
    </w:pPr>
    <w:rPr>
      <w:rFonts w:ascii="方正书宋_GBK" w:hAnsi="方正书宋_GBK" w:eastAsia="方正书宋_GBK" w:cs="方正书宋_GBK"/>
      <w:kern w:val="0"/>
      <w:szCs w:val="24"/>
      <w:lang w:eastAsia="uk-UA"/>
    </w:rPr>
  </w:style>
  <w:style w:type="paragraph" w:customStyle="1" w:styleId="19">
    <w:name w:val="单元格样式3"/>
    <w:basedOn w:val="1"/>
    <w:autoRedefine/>
    <w:qFormat/>
    <w:uiPriority w:val="0"/>
    <w:pPr>
      <w:widowControl/>
      <w:jc w:val="center"/>
    </w:pPr>
    <w:rPr>
      <w:rFonts w:ascii="方正书宋_GBK" w:hAnsi="方正书宋_GBK" w:eastAsia="方正书宋_GBK" w:cs="方正书宋_GBK"/>
      <w:kern w:val="0"/>
      <w:szCs w:val="24"/>
      <w:lang w:eastAsia="uk-UA"/>
    </w:rPr>
  </w:style>
  <w:style w:type="paragraph" w:customStyle="1" w:styleId="20">
    <w:name w:val="单元格样式6"/>
    <w:basedOn w:val="1"/>
    <w:autoRedefine/>
    <w:qFormat/>
    <w:uiPriority w:val="0"/>
    <w:pPr>
      <w:widowControl/>
      <w:jc w:val="center"/>
    </w:pPr>
    <w:rPr>
      <w:rFonts w:ascii="方正书宋_GBK" w:hAnsi="方正书宋_GBK" w:eastAsia="方正书宋_GBK" w:cs="方正书宋_GBK"/>
      <w:b/>
      <w:kern w:val="0"/>
      <w:szCs w:val="24"/>
      <w:lang w:eastAsia="uk-UA"/>
    </w:rPr>
  </w:style>
  <w:style w:type="paragraph" w:customStyle="1" w:styleId="21">
    <w:name w:val="单元格样式7"/>
    <w:basedOn w:val="1"/>
    <w:autoRedefine/>
    <w:qFormat/>
    <w:uiPriority w:val="0"/>
    <w:pPr>
      <w:widowControl/>
      <w:jc w:val="right"/>
    </w:pPr>
    <w:rPr>
      <w:rFonts w:ascii="方正书宋_GBK" w:hAnsi="方正书宋_GBK" w:eastAsia="方正书宋_GBK" w:cs="方正书宋_GBK"/>
      <w:b/>
      <w:kern w:val="0"/>
      <w:szCs w:val="24"/>
      <w:lang w:eastAsia="uk-UA"/>
    </w:rPr>
  </w:style>
  <w:style w:type="paragraph" w:customStyle="1" w:styleId="22">
    <w:name w:val="单元格样式5"/>
    <w:basedOn w:val="1"/>
    <w:autoRedefine/>
    <w:qFormat/>
    <w:uiPriority w:val="0"/>
    <w:pPr>
      <w:widowControl/>
      <w:jc w:val="left"/>
    </w:pPr>
    <w:rPr>
      <w:rFonts w:ascii="方正书宋_GBK" w:hAnsi="方正书宋_GBK" w:eastAsia="方正书宋_GBK" w:cs="方正书宋_GBK"/>
      <w:b/>
      <w:kern w:val="0"/>
      <w:szCs w:val="24"/>
      <w:lang w:eastAsia="uk-UA"/>
    </w:rPr>
  </w:style>
  <w:style w:type="paragraph" w:customStyle="1" w:styleId="23">
    <w:name w:val="List Paragraph"/>
    <w:basedOn w:val="1"/>
    <w:autoRedefine/>
    <w:qFormat/>
    <w:uiPriority w:val="34"/>
    <w:pPr>
      <w:ind w:firstLine="420" w:firstLineChars="200"/>
    </w:pPr>
    <w:rPr>
      <w:rFonts w:asciiTheme="minorHAnsi" w:hAnsiTheme="minorHAnsi" w:eastAsiaTheme="minorEastAsia" w:cstheme="minorBidi"/>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5A6AA-0715-40A4-8273-0FDE2CB9203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24</Pages>
  <Words>8653</Words>
  <Characters>8890</Characters>
  <Lines>35</Lines>
  <Paragraphs>10</Paragraphs>
  <TotalTime>7</TotalTime>
  <ScaleCrop>false</ScaleCrop>
  <LinksUpToDate>false</LinksUpToDate>
  <CharactersWithSpaces>9034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铁头</cp:lastModifiedBy>
  <cp:lastPrinted>2023-01-29T01:01:00Z</cp:lastPrinted>
  <dcterms:modified xsi:type="dcterms:W3CDTF">2024-01-18T06:25:26Z</dcterms:modified>
  <cp:revision>107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E0DCD2FAFD4C4EC78104898D7A030BBD</vt:lpwstr>
  </property>
</Properties>
</file>