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both"/>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河北大城经济开发区管理委员会</w:t>
      </w:r>
      <w:r>
        <w:rPr>
          <w:rFonts w:hint="default" w:ascii="Times New Roman" w:hAnsi="Times New Roman" w:eastAsia="方正小标宋简体" w:cs="Times New Roman"/>
          <w:sz w:val="44"/>
          <w:szCs w:val="44"/>
        </w:rPr>
        <w:t>2019</w:t>
      </w:r>
      <w:r>
        <w:rPr>
          <w:rFonts w:hint="eastAsia" w:ascii="方正小标宋简体" w:hAnsi="方正小标宋简体" w:eastAsia="方正小标宋简体" w:cs="方正小标宋简体"/>
          <w:sz w:val="44"/>
          <w:szCs w:val="44"/>
        </w:rPr>
        <w:t>年部门预算信息公开情况说明</w:t>
      </w:r>
    </w:p>
    <w:p>
      <w:pPr>
        <w:spacing w:line="584" w:lineRule="exact"/>
        <w:ind w:firstLine="880" w:firstLineChars="200"/>
        <w:jc w:val="center"/>
        <w:rPr>
          <w:rFonts w:ascii="Times New Roman" w:hAnsi="Times New Roman" w:eastAsia="仿宋_GB2312"/>
          <w:sz w:val="44"/>
          <w:szCs w:val="44"/>
        </w:rPr>
      </w:pP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按照《预算法》、《地方预决算公开操作规程》和《河北省省级预算公开办法》规定，现将河北大城经济开发区管理委员会2019年部门预算公开如下：</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jc w:val="both"/>
        <w:textAlignment w:val="auto"/>
        <w:outlineLvl w:val="9"/>
        <w:rPr>
          <w:rFonts w:ascii="Times New Roman" w:hAnsi="Times New Roman" w:eastAsia="黑体"/>
          <w:sz w:val="32"/>
          <w:szCs w:val="32"/>
        </w:rPr>
      </w:pPr>
      <w:r>
        <w:rPr>
          <w:rFonts w:hint="eastAsia" w:ascii="Times New Roman" w:hAnsi="黑体" w:eastAsia="黑体"/>
          <w:sz w:val="32"/>
          <w:szCs w:val="32"/>
        </w:rPr>
        <w:t>一、部门职责及机构设置情况</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3" w:firstLineChars="200"/>
        <w:jc w:val="both"/>
        <w:textAlignment w:val="auto"/>
        <w:outlineLvl w:val="9"/>
        <w:rPr>
          <w:rFonts w:ascii="Times New Roman" w:hAnsi="Times New Roman" w:eastAsia="楷体_GB2312"/>
          <w:b/>
          <w:sz w:val="32"/>
          <w:szCs w:val="32"/>
        </w:rPr>
      </w:pPr>
      <w:r>
        <w:rPr>
          <w:rFonts w:hint="eastAsia" w:ascii="Times New Roman" w:hAnsi="Times New Roman" w:eastAsia="楷体_GB2312"/>
          <w:b/>
          <w:sz w:val="32"/>
          <w:szCs w:val="32"/>
        </w:rPr>
        <w:t>部门职责：</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、提供各类计划生育技术服务，建立利益导向机制，开展出生人口性别比治理以及流动人口计划生育管理等各项工作。</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、依法监督技术引进、设备进口、国家限制出口的技术工作，拟订县级服务贸易发展规划并组织实施；负责对外贸易相关行政审批。</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、进行执法检查；围绕政府工作报告内容开展调查研究，开展专题询问和工作评议；对“一府两院”进行监督。</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Fonts w:ascii="仿宋_GB2312" w:hAnsi="仿宋_GB2312" w:eastAsia="仿宋_GB2312" w:cs="仿宋_GB2312"/>
          <w:sz w:val="32"/>
          <w:szCs w:val="32"/>
        </w:rPr>
        <w:t>4</w:t>
      </w:r>
      <w:r>
        <w:rPr>
          <w:rFonts w:hint="eastAsia" w:ascii="仿宋_GB2312" w:hAnsi="仿宋_GB2312" w:eastAsia="仿宋_GB2312" w:cs="仿宋_GB2312"/>
          <w:sz w:val="32"/>
          <w:szCs w:val="32"/>
        </w:rPr>
        <w:t>、新闻宣传和机关信息化建设与维护；人代会及常委会机关基础设施建设与维护；县人大常委会机关</w:t>
      </w:r>
      <w:bookmarkStart w:id="4" w:name="_GoBack"/>
      <w:bookmarkEnd w:id="4"/>
      <w:r>
        <w:rPr>
          <w:rFonts w:hint="eastAsia" w:ascii="仿宋_GB2312" w:hAnsi="仿宋_GB2312" w:eastAsia="仿宋_GB2312" w:cs="仿宋_GB2312"/>
          <w:sz w:val="32"/>
          <w:szCs w:val="32"/>
        </w:rPr>
        <w:t>日常管理事务；信访工作。</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Fonts w:ascii="仿宋_GB2312" w:hAnsi="仿宋_GB2312" w:eastAsia="仿宋_GB2312" w:cs="仿宋_GB2312"/>
          <w:sz w:val="32"/>
          <w:szCs w:val="32"/>
        </w:rPr>
        <w:t>5</w:t>
      </w:r>
      <w:r>
        <w:rPr>
          <w:rFonts w:hint="eastAsia" w:ascii="仿宋_GB2312" w:hAnsi="仿宋_GB2312" w:eastAsia="仿宋_GB2312" w:cs="仿宋_GB2312"/>
          <w:sz w:val="32"/>
          <w:szCs w:val="32"/>
        </w:rPr>
        <w:t>、完善县委公文运转、大型会议和活动组织安排、公务接待等。</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Fonts w:ascii="仿宋_GB2312" w:hAnsi="仿宋_GB2312" w:eastAsia="仿宋_GB2312" w:cs="仿宋_GB2312"/>
          <w:sz w:val="32"/>
          <w:szCs w:val="32"/>
        </w:rPr>
        <w:t>6</w:t>
      </w:r>
      <w:r>
        <w:rPr>
          <w:rFonts w:hint="eastAsia" w:ascii="仿宋_GB2312" w:hAnsi="仿宋_GB2312" w:eastAsia="仿宋_GB2312" w:cs="仿宋_GB2312"/>
          <w:sz w:val="32"/>
          <w:szCs w:val="32"/>
        </w:rPr>
        <w:t>、围绕县委总体工作部署开展综合调研，收集和处理信息、反映动态；承担县委重要工作部署贯彻落实的督导检查，上级领导和县委领导批示件的传达和催办落实。</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Fonts w:ascii="仿宋_GB2312" w:hAnsi="仿宋_GB2312" w:eastAsia="仿宋_GB2312" w:cs="仿宋_GB2312"/>
          <w:sz w:val="32"/>
          <w:szCs w:val="32"/>
        </w:rPr>
        <w:t>7</w:t>
      </w:r>
      <w:r>
        <w:rPr>
          <w:rFonts w:hint="eastAsia" w:ascii="仿宋_GB2312" w:hAnsi="仿宋_GB2312" w:eastAsia="仿宋_GB2312" w:cs="仿宋_GB2312"/>
          <w:sz w:val="32"/>
          <w:szCs w:val="32"/>
        </w:rPr>
        <w:t>、组织实施农业产业化经营的发展规划与政策，支持全县农业企业产业化加快发展。</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Fonts w:ascii="仿宋_GB2312" w:hAnsi="仿宋_GB2312" w:eastAsia="仿宋_GB2312" w:cs="仿宋_GB2312"/>
          <w:sz w:val="32"/>
          <w:szCs w:val="32"/>
        </w:rPr>
        <w:t>8</w:t>
      </w:r>
      <w:r>
        <w:rPr>
          <w:rFonts w:hint="eastAsia" w:ascii="仿宋_GB2312" w:hAnsi="仿宋_GB2312" w:eastAsia="仿宋_GB2312" w:cs="仿宋_GB2312"/>
          <w:sz w:val="32"/>
          <w:szCs w:val="32"/>
        </w:rPr>
        <w:t>、制定和落实园区发展规划，做好园区基础设施建设工作</w:t>
      </w:r>
    </w:p>
    <w:p>
      <w:pPr>
        <w:autoSpaceDE w:val="0"/>
        <w:autoSpaceDN w:val="0"/>
        <w:adjustRightInd w:val="0"/>
        <w:spacing w:line="584" w:lineRule="exact"/>
        <w:ind w:firstLine="630" w:firstLineChars="196"/>
        <w:jc w:val="left"/>
        <w:rPr>
          <w:rFonts w:ascii="Times New Roman" w:hAnsi="Times New Roman" w:eastAsia="楷体_GB2312"/>
          <w:b/>
          <w:sz w:val="32"/>
          <w:szCs w:val="32"/>
        </w:rPr>
      </w:pPr>
      <w:r>
        <w:rPr>
          <w:rFonts w:hint="eastAsia" w:ascii="Times New Roman" w:hAnsi="Times New Roman" w:eastAsia="楷体_GB2312"/>
          <w:b/>
          <w:sz w:val="32"/>
          <w:szCs w:val="32"/>
        </w:rPr>
        <w:t>机构设置：</w:t>
      </w:r>
    </w:p>
    <w:p>
      <w:pPr>
        <w:ind w:firstLine="562" w:firstLineChars="200"/>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部门机构设置情况</w:t>
      </w:r>
    </w:p>
    <w:tbl>
      <w:tblPr>
        <w:tblStyle w:val="8"/>
        <w:tblW w:w="1024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138"/>
        <w:gridCol w:w="1650"/>
        <w:gridCol w:w="1558"/>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tblHeader/>
          <w:jc w:val="center"/>
        </w:trPr>
        <w:tc>
          <w:tcPr>
            <w:tcW w:w="4138" w:type="dxa"/>
            <w:vMerge w:val="restart"/>
            <w:vAlign w:val="center"/>
          </w:tcPr>
          <w:p>
            <w:pPr>
              <w:spacing w:line="300" w:lineRule="exact"/>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单位名称</w:t>
            </w:r>
          </w:p>
        </w:tc>
        <w:tc>
          <w:tcPr>
            <w:tcW w:w="1650" w:type="dxa"/>
            <w:vMerge w:val="restart"/>
            <w:vAlign w:val="center"/>
          </w:tcPr>
          <w:p>
            <w:pPr>
              <w:spacing w:line="300" w:lineRule="exact"/>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单位性质</w:t>
            </w:r>
          </w:p>
        </w:tc>
        <w:tc>
          <w:tcPr>
            <w:tcW w:w="1558" w:type="dxa"/>
            <w:vMerge w:val="restart"/>
            <w:vAlign w:val="center"/>
          </w:tcPr>
          <w:p>
            <w:pPr>
              <w:spacing w:line="300" w:lineRule="exact"/>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单位规格</w:t>
            </w:r>
          </w:p>
        </w:tc>
        <w:tc>
          <w:tcPr>
            <w:tcW w:w="2902" w:type="dxa"/>
            <w:vMerge w:val="restart"/>
            <w:vAlign w:val="center"/>
          </w:tcPr>
          <w:p>
            <w:pPr>
              <w:spacing w:line="300" w:lineRule="exact"/>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tblHeader/>
          <w:jc w:val="center"/>
        </w:trPr>
        <w:tc>
          <w:tcPr>
            <w:tcW w:w="4138" w:type="dxa"/>
            <w:vMerge w:val="continue"/>
            <w:vAlign w:val="center"/>
          </w:tcPr>
          <w:p>
            <w:pPr>
              <w:ind w:firstLine="480" w:firstLineChars="200"/>
              <w:rPr>
                <w:rFonts w:hint="eastAsia" w:ascii="仿宋_GB2312" w:hAnsi="仿宋_GB2312" w:eastAsia="仿宋_GB2312" w:cs="仿宋_GB2312"/>
                <w:sz w:val="24"/>
                <w:szCs w:val="24"/>
              </w:rPr>
            </w:pPr>
          </w:p>
        </w:tc>
        <w:tc>
          <w:tcPr>
            <w:tcW w:w="1650" w:type="dxa"/>
            <w:vMerge w:val="continue"/>
            <w:vAlign w:val="center"/>
          </w:tcPr>
          <w:p>
            <w:pPr>
              <w:ind w:firstLine="480" w:firstLineChars="200"/>
              <w:rPr>
                <w:rFonts w:hint="eastAsia" w:ascii="仿宋_GB2312" w:hAnsi="仿宋_GB2312" w:eastAsia="仿宋_GB2312" w:cs="仿宋_GB2312"/>
                <w:sz w:val="24"/>
                <w:szCs w:val="24"/>
              </w:rPr>
            </w:pPr>
          </w:p>
        </w:tc>
        <w:tc>
          <w:tcPr>
            <w:tcW w:w="1558" w:type="dxa"/>
            <w:vMerge w:val="continue"/>
            <w:vAlign w:val="center"/>
          </w:tcPr>
          <w:p>
            <w:pPr>
              <w:ind w:firstLine="480" w:firstLineChars="200"/>
              <w:rPr>
                <w:rFonts w:hint="eastAsia" w:ascii="仿宋_GB2312" w:hAnsi="仿宋_GB2312" w:eastAsia="仿宋_GB2312" w:cs="仿宋_GB2312"/>
                <w:sz w:val="24"/>
                <w:szCs w:val="24"/>
              </w:rPr>
            </w:pPr>
          </w:p>
        </w:tc>
        <w:tc>
          <w:tcPr>
            <w:tcW w:w="2902" w:type="dxa"/>
            <w:vMerge w:val="continue"/>
            <w:vAlign w:val="center"/>
          </w:tcPr>
          <w:p>
            <w:pPr>
              <w:ind w:firstLine="480" w:firstLineChars="200"/>
              <w:rPr>
                <w:rFonts w:hint="eastAsia" w:ascii="仿宋_GB2312" w:hAnsi="仿宋_GB2312" w:eastAsia="仿宋_GB2312" w:cs="仿宋_GB2312"/>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4138" w:type="dxa"/>
            <w:vAlign w:val="center"/>
          </w:tcPr>
          <w:p>
            <w:pPr>
              <w:spacing w:line="30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河北大城经济开发区管理委员会</w:t>
            </w:r>
          </w:p>
        </w:tc>
        <w:tc>
          <w:tcPr>
            <w:tcW w:w="1650" w:type="dxa"/>
            <w:vAlign w:val="center"/>
          </w:tcPr>
          <w:p>
            <w:pPr>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行政</w:t>
            </w:r>
          </w:p>
        </w:tc>
        <w:tc>
          <w:tcPr>
            <w:tcW w:w="1558" w:type="dxa"/>
            <w:vAlign w:val="center"/>
          </w:tcPr>
          <w:p>
            <w:pPr>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正处级</w:t>
            </w:r>
          </w:p>
        </w:tc>
        <w:tc>
          <w:tcPr>
            <w:tcW w:w="2902" w:type="dxa"/>
            <w:vAlign w:val="center"/>
          </w:tcPr>
          <w:p>
            <w:pPr>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4138" w:type="dxa"/>
            <w:vAlign w:val="center"/>
          </w:tcPr>
          <w:p>
            <w:pPr>
              <w:spacing w:line="30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现代制造业工业园区管理办公室</w:t>
            </w:r>
          </w:p>
        </w:tc>
        <w:tc>
          <w:tcPr>
            <w:tcW w:w="1650" w:type="dxa"/>
            <w:vAlign w:val="center"/>
          </w:tcPr>
          <w:p>
            <w:pPr>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行政</w:t>
            </w:r>
          </w:p>
        </w:tc>
        <w:tc>
          <w:tcPr>
            <w:tcW w:w="1558" w:type="dxa"/>
            <w:vAlign w:val="center"/>
          </w:tcPr>
          <w:p>
            <w:pPr>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正科级</w:t>
            </w:r>
          </w:p>
        </w:tc>
        <w:tc>
          <w:tcPr>
            <w:tcW w:w="2902" w:type="dxa"/>
            <w:vAlign w:val="center"/>
          </w:tcPr>
          <w:p>
            <w:pPr>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4138" w:type="dxa"/>
            <w:vAlign w:val="center"/>
          </w:tcPr>
          <w:p>
            <w:pPr>
              <w:spacing w:line="30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新能源车产业园管理办公室</w:t>
            </w:r>
          </w:p>
        </w:tc>
        <w:tc>
          <w:tcPr>
            <w:tcW w:w="1650" w:type="dxa"/>
            <w:vAlign w:val="center"/>
          </w:tcPr>
          <w:p>
            <w:pPr>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行政</w:t>
            </w:r>
          </w:p>
        </w:tc>
        <w:tc>
          <w:tcPr>
            <w:tcW w:w="1558" w:type="dxa"/>
            <w:vAlign w:val="center"/>
          </w:tcPr>
          <w:p>
            <w:pPr>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正科级</w:t>
            </w:r>
          </w:p>
        </w:tc>
        <w:tc>
          <w:tcPr>
            <w:tcW w:w="2902" w:type="dxa"/>
            <w:vAlign w:val="center"/>
          </w:tcPr>
          <w:p>
            <w:pPr>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4138" w:type="dxa"/>
            <w:vAlign w:val="center"/>
          </w:tcPr>
          <w:p>
            <w:pPr>
              <w:spacing w:line="30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气雾剂产业园管理办公室</w:t>
            </w:r>
          </w:p>
        </w:tc>
        <w:tc>
          <w:tcPr>
            <w:tcW w:w="1650" w:type="dxa"/>
            <w:vAlign w:val="center"/>
          </w:tcPr>
          <w:p>
            <w:pPr>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行政</w:t>
            </w:r>
          </w:p>
        </w:tc>
        <w:tc>
          <w:tcPr>
            <w:tcW w:w="1558" w:type="dxa"/>
            <w:vAlign w:val="center"/>
          </w:tcPr>
          <w:p>
            <w:pPr>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正科级</w:t>
            </w:r>
          </w:p>
        </w:tc>
        <w:tc>
          <w:tcPr>
            <w:tcW w:w="2902" w:type="dxa"/>
            <w:vAlign w:val="center"/>
          </w:tcPr>
          <w:p>
            <w:pPr>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财政拨款</w:t>
            </w:r>
          </w:p>
        </w:tc>
      </w:tr>
    </w:tbl>
    <w:p>
      <w:pPr>
        <w:keepNext w:val="0"/>
        <w:keepLines w:val="0"/>
        <w:pageBreakBefore w:val="0"/>
        <w:widowControl w:val="0"/>
        <w:kinsoku/>
        <w:wordWrap/>
        <w:overflowPunct/>
        <w:topLinePunct w:val="0"/>
        <w:bidi w:val="0"/>
        <w:snapToGrid/>
        <w:spacing w:line="570" w:lineRule="exact"/>
        <w:ind w:right="0" w:rightChars="0"/>
        <w:textAlignment w:val="auto"/>
        <w:outlineLvl w:val="9"/>
        <w:rPr>
          <w:rFonts w:ascii="Times New Roman" w:hAnsi="Times New Roman" w:eastAsia="黑体"/>
          <w:sz w:val="32"/>
          <w:szCs w:val="32"/>
        </w:rPr>
      </w:pPr>
      <w:r>
        <w:rPr>
          <w:rFonts w:hint="eastAsia" w:ascii="Times New Roman" w:hAnsi="黑体" w:eastAsia="黑体"/>
          <w:sz w:val="32"/>
          <w:szCs w:val="32"/>
          <w:lang w:val="en-US" w:eastAsia="zh-CN"/>
        </w:rPr>
        <w:t xml:space="preserve">     </w:t>
      </w:r>
      <w:r>
        <w:rPr>
          <w:rFonts w:hint="eastAsia" w:ascii="Times New Roman" w:hAnsi="黑体" w:eastAsia="黑体"/>
          <w:sz w:val="32"/>
          <w:szCs w:val="32"/>
        </w:rPr>
        <w:t>二、部门预算安排的总体情况</w:t>
      </w:r>
    </w:p>
    <w:p>
      <w:pPr>
        <w:keepNext w:val="0"/>
        <w:keepLines w:val="0"/>
        <w:pageBreakBefore w:val="0"/>
        <w:widowControl w:val="0"/>
        <w:kinsoku/>
        <w:wordWrap/>
        <w:overflowPunct/>
        <w:topLinePunct w:val="0"/>
        <w:bidi w:val="0"/>
        <w:snapToGrid/>
        <w:spacing w:line="57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按照预算管理有关规定，目前我</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部门预算的编制实行综合预算制度，即全部收入和支出都反映在预算中。河北大城经济开发区管理委员会机关及所属事业单位的收支包含在部门预算中。</w:t>
      </w:r>
    </w:p>
    <w:p>
      <w:pPr>
        <w:keepNext w:val="0"/>
        <w:keepLines w:val="0"/>
        <w:pageBreakBefore w:val="0"/>
        <w:widowControl w:val="0"/>
        <w:kinsoku/>
        <w:wordWrap/>
        <w:overflowPunct/>
        <w:topLinePunct w:val="0"/>
        <w:bidi w:val="0"/>
        <w:snapToGrid/>
        <w:spacing w:line="570" w:lineRule="exact"/>
        <w:ind w:right="0" w:rightChars="0" w:firstLine="640"/>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1、收入说明</w:t>
      </w:r>
    </w:p>
    <w:p>
      <w:pPr>
        <w:keepNext w:val="0"/>
        <w:keepLines w:val="0"/>
        <w:pageBreakBefore w:val="0"/>
        <w:widowControl w:val="0"/>
        <w:kinsoku/>
        <w:wordWrap/>
        <w:overflowPunct/>
        <w:topLinePunct w:val="0"/>
        <w:bidi w:val="0"/>
        <w:snapToGrid/>
        <w:spacing w:line="570" w:lineRule="exact"/>
        <w:ind w:right="0" w:rightChars="0"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反映本部门当年全部收入。2019年预算收入7262.39万元，其中：一般公共预算收入1621.69万元，基金预算收入5640.7万元，财政专户核拨收入0万元，其他来源收入0万元。</w:t>
      </w:r>
    </w:p>
    <w:p>
      <w:pPr>
        <w:keepNext w:val="0"/>
        <w:keepLines w:val="0"/>
        <w:pageBreakBefore w:val="0"/>
        <w:widowControl w:val="0"/>
        <w:kinsoku/>
        <w:wordWrap/>
        <w:overflowPunct/>
        <w:topLinePunct w:val="0"/>
        <w:bidi w:val="0"/>
        <w:snapToGrid/>
        <w:spacing w:line="570" w:lineRule="exact"/>
        <w:ind w:right="0" w:rightChars="0" w:firstLine="640"/>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2、支出说明</w:t>
      </w:r>
    </w:p>
    <w:p>
      <w:pPr>
        <w:keepNext w:val="0"/>
        <w:keepLines w:val="0"/>
        <w:pageBreakBefore w:val="0"/>
        <w:widowControl w:val="0"/>
        <w:kinsoku/>
        <w:wordWrap/>
        <w:overflowPunct/>
        <w:topLinePunct w:val="0"/>
        <w:bidi w:val="0"/>
        <w:snapToGrid/>
        <w:spacing w:line="570" w:lineRule="exact"/>
        <w:ind w:right="0" w:rightChars="0"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收支预算总表支出栏、基本支出表、项目支出表按经济分类和支出功能分类科目编制，反映河北大城经济开发区管理委员会2019年度部门预算中支出预算的总体情况。2019年支出预算7262.39万元，其中基本支出542.59万元，包括人员经费469.9万元和日常公用经费72.69万元；项目支出6719.8万元，全部为本级支出，主要为招商中心租金、经开区招商宣传推介费、博士后高新技术研究院资金、阜草干渠护坡工程、偿还市政二公司工程款、气雾剂产业园积水主管道工程项目、气雾剂一号路积水工程款、征地补偿款、土地流转资金、民兵训练基地征地资金等。</w:t>
      </w:r>
    </w:p>
    <w:p>
      <w:pPr>
        <w:keepNext w:val="0"/>
        <w:keepLines w:val="0"/>
        <w:pageBreakBefore w:val="0"/>
        <w:widowControl w:val="0"/>
        <w:kinsoku/>
        <w:wordWrap/>
        <w:overflowPunct/>
        <w:topLinePunct w:val="0"/>
        <w:bidi w:val="0"/>
        <w:snapToGrid/>
        <w:spacing w:line="570" w:lineRule="exact"/>
        <w:ind w:right="0" w:rightChars="0" w:firstLine="640"/>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3、比上年增减情况</w:t>
      </w:r>
    </w:p>
    <w:p>
      <w:pPr>
        <w:keepNext w:val="0"/>
        <w:keepLines w:val="0"/>
        <w:pageBreakBefore w:val="0"/>
        <w:widowControl w:val="0"/>
        <w:kinsoku/>
        <w:wordWrap/>
        <w:overflowPunct/>
        <w:topLinePunct w:val="0"/>
        <w:bidi w:val="0"/>
        <w:snapToGrid/>
        <w:spacing w:line="570" w:lineRule="exact"/>
        <w:ind w:right="0" w:rightChars="0"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2019年预算收支安排7262.39万元，较2018年预算增加580.34万元，其中：基本支出增加75.38万元，主要为人员经费支出；项目支出增加504.96万元，主要为民兵训练基地征地资金项目支出。</w:t>
      </w:r>
    </w:p>
    <w:p>
      <w:pPr>
        <w:keepNext w:val="0"/>
        <w:keepLines w:val="0"/>
        <w:pageBreakBefore w:val="0"/>
        <w:widowControl w:val="0"/>
        <w:kinsoku/>
        <w:wordWrap/>
        <w:overflowPunct/>
        <w:topLinePunct w:val="0"/>
        <w:autoSpaceDE w:val="0"/>
        <w:autoSpaceDN w:val="0"/>
        <w:bidi w:val="0"/>
        <w:adjustRightInd w:val="0"/>
        <w:snapToGrid/>
        <w:spacing w:line="570" w:lineRule="exact"/>
        <w:ind w:left="0" w:leftChars="0" w:right="0" w:rightChars="0" w:firstLine="640" w:firstLineChars="200"/>
        <w:jc w:val="left"/>
        <w:textAlignment w:val="auto"/>
        <w:outlineLvl w:val="9"/>
        <w:rPr>
          <w:rFonts w:ascii="Times New Roman" w:hAnsi="Times New Roman" w:eastAsia="黑体"/>
          <w:sz w:val="32"/>
          <w:szCs w:val="32"/>
        </w:rPr>
      </w:pPr>
      <w:r>
        <w:rPr>
          <w:rFonts w:hint="eastAsia" w:ascii="Times New Roman" w:hAnsi="黑体" w:eastAsia="黑体"/>
          <w:sz w:val="32"/>
          <w:szCs w:val="32"/>
        </w:rPr>
        <w:t>三、机关运行经费安排情况</w:t>
      </w:r>
    </w:p>
    <w:p>
      <w:pPr>
        <w:keepNext w:val="0"/>
        <w:keepLines w:val="0"/>
        <w:pageBreakBefore w:val="0"/>
        <w:widowControl w:val="0"/>
        <w:kinsoku/>
        <w:wordWrap/>
        <w:overflowPunct/>
        <w:topLinePunct w:val="0"/>
        <w:bidi w:val="0"/>
        <w:snapToGrid/>
        <w:spacing w:line="570" w:lineRule="exact"/>
        <w:ind w:right="0" w:rightChars="0"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2019年，我部门机关运行经费共计安排72.69万元，主要用于我部门的日常维修、办公用房水电费、办公用房取暖费、公务用车运行维护费等日常运行支出。</w:t>
      </w:r>
    </w:p>
    <w:p>
      <w:pPr>
        <w:keepNext w:val="0"/>
        <w:keepLines w:val="0"/>
        <w:pageBreakBefore w:val="0"/>
        <w:widowControl w:val="0"/>
        <w:kinsoku/>
        <w:wordWrap/>
        <w:overflowPunct/>
        <w:topLinePunct w:val="0"/>
        <w:autoSpaceDE w:val="0"/>
        <w:autoSpaceDN w:val="0"/>
        <w:bidi w:val="0"/>
        <w:adjustRightInd w:val="0"/>
        <w:snapToGrid/>
        <w:spacing w:line="570" w:lineRule="exact"/>
        <w:ind w:left="0" w:leftChars="0" w:right="0" w:rightChars="0" w:firstLine="640" w:firstLineChars="200"/>
        <w:jc w:val="left"/>
        <w:textAlignment w:val="auto"/>
        <w:outlineLvl w:val="9"/>
        <w:rPr>
          <w:rFonts w:hint="eastAsia" w:ascii="Times New Roman" w:hAnsi="黑体" w:eastAsia="黑体"/>
          <w:sz w:val="32"/>
          <w:szCs w:val="32"/>
        </w:rPr>
      </w:pPr>
      <w:r>
        <w:rPr>
          <w:rFonts w:hint="eastAsia" w:ascii="Times New Roman" w:hAnsi="黑体" w:eastAsia="黑体"/>
          <w:sz w:val="32"/>
          <w:szCs w:val="32"/>
        </w:rPr>
        <w:t>四、财政拨款“三公”经费预算情况及增减变化原因</w:t>
      </w:r>
    </w:p>
    <w:p>
      <w:pPr>
        <w:keepNext w:val="0"/>
        <w:keepLines w:val="0"/>
        <w:pageBreakBefore w:val="0"/>
        <w:widowControl w:val="0"/>
        <w:kinsoku/>
        <w:wordWrap/>
        <w:overflowPunct/>
        <w:topLinePunct w:val="0"/>
        <w:bidi w:val="0"/>
        <w:snapToGrid/>
        <w:spacing w:line="570" w:lineRule="exact"/>
        <w:ind w:right="0" w:rightChars="0"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2019年，我部门财政拨款“三公”经费预算安排10.5万元。其中，因公出国（境）费0万元；公务用车购置及运维费10.5万元（其中：公务用车购置费为0万元，公务用车运维费10.5万元)；公务接待费0万元。与2018年相比减少6万元，其中：公务用车购置及运维费减少4万元（其中：公务用车运维费减少4万元)，主要原因是我部门切实落实勤俭节约各项规定，压减公车运行经费支出；公务接待费减少2万元，主要原因是我部门切实落实勤俭节约各项规定，严格控制公务接待费支出。</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jc w:val="both"/>
        <w:textAlignment w:val="auto"/>
        <w:outlineLvl w:val="9"/>
        <w:rPr>
          <w:rFonts w:ascii="Times New Roman" w:hAnsi="Times New Roman" w:eastAsia="黑体"/>
          <w:sz w:val="32"/>
          <w:szCs w:val="32"/>
        </w:rPr>
      </w:pPr>
      <w:r>
        <w:rPr>
          <w:rFonts w:hint="eastAsia" w:ascii="Times New Roman" w:hAnsi="黑体" w:eastAsia="黑体"/>
          <w:sz w:val="32"/>
          <w:szCs w:val="32"/>
        </w:rPr>
        <w:t>五、绩效预算信息</w:t>
      </w:r>
    </w:p>
    <w:p>
      <w:pPr>
        <w:keepNext w:val="0"/>
        <w:keepLines w:val="0"/>
        <w:pageBreakBefore w:val="0"/>
        <w:widowControl w:val="0"/>
        <w:kinsoku/>
        <w:wordWrap/>
        <w:overflowPunct/>
        <w:topLinePunct w:val="0"/>
        <w:bidi w:val="0"/>
        <w:snapToGrid/>
        <w:spacing w:line="570" w:lineRule="exact"/>
        <w:ind w:right="0" w:rightChars="0" w:firstLine="643" w:firstLineChars="200"/>
        <w:jc w:val="left"/>
        <w:textAlignment w:val="auto"/>
        <w:outlineLvl w:val="9"/>
        <w:rPr>
          <w:rFonts w:hint="eastAsia" w:ascii="Times New Roman" w:hAnsi="Times New Roman" w:eastAsia="方正书宋_GBK" w:cs="Times New Roman"/>
          <w:b/>
          <w:bCs/>
          <w:szCs w:val="24"/>
        </w:rPr>
      </w:pPr>
      <w:bookmarkStart w:id="0" w:name="_Toc471398463"/>
      <w:r>
        <w:rPr>
          <w:rFonts w:hint="eastAsia" w:ascii="Times New Roman" w:hAnsi="Times New Roman" w:eastAsia="楷体_GB2312"/>
          <w:b/>
          <w:sz w:val="32"/>
          <w:szCs w:val="32"/>
        </w:rPr>
        <w:t>总体绩效目标：</w:t>
      </w:r>
    </w:p>
    <w:p>
      <w:pPr>
        <w:keepNext w:val="0"/>
        <w:keepLines w:val="0"/>
        <w:pageBreakBefore w:val="0"/>
        <w:widowControl w:val="0"/>
        <w:kinsoku/>
        <w:wordWrap/>
        <w:overflowPunct/>
        <w:topLinePunct w:val="0"/>
        <w:bidi w:val="0"/>
        <w:snapToGrid/>
        <w:spacing w:line="570" w:lineRule="exact"/>
        <w:ind w:right="0" w:rightChars="0" w:firstLine="640"/>
        <w:textAlignment w:val="auto"/>
        <w:outlineLvl w:val="9"/>
        <w:rPr>
          <w:rFonts w:hint="eastAsia" w:ascii="Times New Roman" w:hAnsi="Times New Roman" w:eastAsia="楷体_GB2312"/>
          <w:b/>
          <w:sz w:val="32"/>
          <w:szCs w:val="32"/>
        </w:rPr>
      </w:pPr>
      <w:r>
        <w:rPr>
          <w:rFonts w:hint="eastAsia" w:ascii="仿宋_GB2312" w:hAnsi="仿宋_GB2312" w:eastAsia="仿宋_GB2312" w:cs="仿宋_GB2312"/>
          <w:sz w:val="32"/>
          <w:szCs w:val="32"/>
        </w:rPr>
        <w:t>加大农村生态环境整治力度，打造绿色宜居乡村，改善</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个村街生态环境质量;加大植树造林工作力度，完成县局下达绿化任务，完成龙街路、浦东路深圳大街道路两旁树木养护工作;加大安全生产及鞭炮治理工作力度，在园区辖区村街开展安全生产执法检查及鞭炮整治工作，检查次数不低于4次;加大市场监管力度，促进税收工作，完成全年税收任务;加大建档立卡贫困户扶贫工作，引导贫困户致富不低于</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户;加大招商引资项目建设力度，亿元项目5个以上，外出招商20次以上。</w:t>
      </w:r>
    </w:p>
    <w:p>
      <w:pPr>
        <w:keepNext w:val="0"/>
        <w:keepLines w:val="0"/>
        <w:pageBreakBefore w:val="0"/>
        <w:widowControl w:val="0"/>
        <w:kinsoku/>
        <w:wordWrap/>
        <w:overflowPunct/>
        <w:topLinePunct w:val="0"/>
        <w:bidi w:val="0"/>
        <w:snapToGrid/>
        <w:spacing w:line="570" w:lineRule="exact"/>
        <w:ind w:right="0" w:rightChars="0" w:firstLine="560"/>
        <w:textAlignment w:val="auto"/>
        <w:outlineLvl w:val="9"/>
        <w:rPr>
          <w:rFonts w:hint="eastAsia" w:ascii="Times New Roman" w:hAnsi="Times New Roman" w:eastAsia="楷体_GB2312"/>
          <w:b/>
          <w:sz w:val="32"/>
          <w:szCs w:val="32"/>
        </w:rPr>
      </w:pPr>
      <w:r>
        <w:rPr>
          <w:rFonts w:hint="eastAsia" w:ascii="Times New Roman" w:hAnsi="Times New Roman" w:eastAsia="楷体_GB2312"/>
          <w:b/>
          <w:sz w:val="32"/>
          <w:szCs w:val="32"/>
        </w:rPr>
        <w:t>部门职责及工作活动绩效目标指标：</w:t>
      </w:r>
    </w:p>
    <w:bookmarkEnd w:id="0"/>
    <w:p>
      <w:pPr>
        <w:spacing w:line="584" w:lineRule="exact"/>
        <w:jc w:val="center"/>
        <w:outlineLvl w:val="0"/>
        <w:rPr>
          <w:rFonts w:hint="eastAsia" w:ascii="仿宋_GB2312" w:hAnsi="仿宋_GB2312" w:eastAsia="仿宋_GB2312" w:cs="仿宋_GB2312"/>
          <w:b/>
          <w:sz w:val="32"/>
        </w:rPr>
      </w:pPr>
      <w:bookmarkStart w:id="1" w:name="_Toc504489147"/>
      <w:r>
        <w:rPr>
          <w:rFonts w:hint="eastAsia" w:ascii="仿宋_GB2312" w:hAnsi="仿宋_GB2312" w:eastAsia="仿宋_GB2312" w:cs="仿宋_GB2312"/>
          <w:b/>
          <w:sz w:val="32"/>
        </w:rPr>
        <w:t>部门职责-工作活动绩效目标</w:t>
      </w:r>
      <w:bookmarkEnd w:id="1"/>
    </w:p>
    <w:p>
      <w:pPr>
        <w:spacing w:line="584" w:lineRule="exact"/>
        <w:jc w:val="left"/>
        <w:outlineLvl w:val="0"/>
        <w:rPr>
          <w:rFonts w:hint="eastAsia" w:ascii="仿宋_GB2312" w:hAnsi="仿宋_GB2312" w:eastAsia="仿宋_GB2312" w:cs="仿宋_GB2312"/>
        </w:rPr>
      </w:pPr>
    </w:p>
    <w:tbl>
      <w:tblPr>
        <w:tblStyle w:val="8"/>
        <w:tblW w:w="1393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2976"/>
        <w:gridCol w:w="2976"/>
        <w:gridCol w:w="1417"/>
        <w:gridCol w:w="737"/>
        <w:gridCol w:w="737"/>
        <w:gridCol w:w="737"/>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0986" w:type="dxa"/>
            <w:gridSpan w:val="5"/>
            <w:tcBorders>
              <w:top w:val="single" w:color="FFFFFF" w:sz="6" w:space="0"/>
              <w:left w:val="single" w:color="FFFFFF" w:sz="6" w:space="0"/>
              <w:right w:val="single" w:color="FFFFFF" w:sz="6" w:space="0"/>
            </w:tcBorders>
            <w:vAlign w:val="center"/>
          </w:tcPr>
          <w:p>
            <w:pPr>
              <w:spacing w:line="300" w:lineRule="exact"/>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514河北大城经济开发区管理委员会</w:t>
            </w:r>
          </w:p>
        </w:tc>
        <w:tc>
          <w:tcPr>
            <w:tcW w:w="2948" w:type="dxa"/>
            <w:gridSpan w:val="4"/>
            <w:tcBorders>
              <w:top w:val="single" w:color="FFFFFF" w:sz="6" w:space="0"/>
              <w:left w:val="single" w:color="FFFFFF" w:sz="6" w:space="0"/>
              <w:right w:val="single" w:color="FFFFFF" w:sz="6" w:space="0"/>
            </w:tcBorders>
            <w:vAlign w:val="center"/>
          </w:tcPr>
          <w:p>
            <w:pPr>
              <w:spacing w:line="300" w:lineRule="exact"/>
              <w:jc w:val="righ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restart"/>
            <w:vAlign w:val="center"/>
          </w:tcPr>
          <w:p>
            <w:pPr>
              <w:spacing w:line="300" w:lineRule="exact"/>
              <w:jc w:val="center"/>
              <w:rPr>
                <w:rFonts w:hint="eastAsia" w:asciiTheme="minorEastAsia" w:hAnsiTheme="minorEastAsia" w:eastAsiaTheme="minorEastAsia" w:cstheme="minorEastAsia"/>
                <w:b/>
                <w:bCs/>
                <w:szCs w:val="24"/>
              </w:rPr>
            </w:pPr>
            <w:r>
              <w:rPr>
                <w:rFonts w:hint="eastAsia" w:asciiTheme="minorEastAsia" w:hAnsiTheme="minorEastAsia" w:eastAsiaTheme="minorEastAsia" w:cstheme="minorEastAsia"/>
                <w:b/>
                <w:bCs/>
                <w:szCs w:val="24"/>
              </w:rPr>
              <w:t>职责活动</w:t>
            </w:r>
          </w:p>
        </w:tc>
        <w:tc>
          <w:tcPr>
            <w:tcW w:w="1276" w:type="dxa"/>
            <w:vMerge w:val="restart"/>
            <w:vAlign w:val="center"/>
          </w:tcPr>
          <w:p>
            <w:pPr>
              <w:spacing w:line="300" w:lineRule="exact"/>
              <w:jc w:val="center"/>
              <w:rPr>
                <w:rFonts w:hint="eastAsia" w:asciiTheme="minorEastAsia" w:hAnsiTheme="minorEastAsia" w:eastAsiaTheme="minorEastAsia" w:cstheme="minorEastAsia"/>
                <w:b/>
                <w:bCs/>
                <w:szCs w:val="24"/>
              </w:rPr>
            </w:pPr>
            <w:r>
              <w:rPr>
                <w:rFonts w:hint="eastAsia" w:asciiTheme="minorEastAsia" w:hAnsiTheme="minorEastAsia" w:eastAsiaTheme="minorEastAsia" w:cstheme="minorEastAsia"/>
                <w:b/>
                <w:bCs/>
                <w:szCs w:val="24"/>
              </w:rPr>
              <w:t>年度预算数</w:t>
            </w:r>
          </w:p>
        </w:tc>
        <w:tc>
          <w:tcPr>
            <w:tcW w:w="2976" w:type="dxa"/>
            <w:vMerge w:val="restart"/>
            <w:vAlign w:val="center"/>
          </w:tcPr>
          <w:p>
            <w:pPr>
              <w:spacing w:line="300" w:lineRule="exact"/>
              <w:jc w:val="center"/>
              <w:rPr>
                <w:rFonts w:hint="eastAsia" w:asciiTheme="minorEastAsia" w:hAnsiTheme="minorEastAsia" w:eastAsiaTheme="minorEastAsia" w:cstheme="minorEastAsia"/>
                <w:b/>
                <w:bCs/>
                <w:szCs w:val="24"/>
              </w:rPr>
            </w:pPr>
            <w:r>
              <w:rPr>
                <w:rFonts w:hint="eastAsia" w:asciiTheme="minorEastAsia" w:hAnsiTheme="minorEastAsia" w:eastAsiaTheme="minorEastAsia" w:cstheme="minorEastAsia"/>
                <w:b/>
                <w:bCs/>
                <w:szCs w:val="24"/>
              </w:rPr>
              <w:t>内容描述</w:t>
            </w:r>
          </w:p>
        </w:tc>
        <w:tc>
          <w:tcPr>
            <w:tcW w:w="2976" w:type="dxa"/>
            <w:vMerge w:val="restart"/>
            <w:vAlign w:val="center"/>
          </w:tcPr>
          <w:p>
            <w:pPr>
              <w:spacing w:line="300" w:lineRule="exact"/>
              <w:jc w:val="center"/>
              <w:rPr>
                <w:rFonts w:hint="eastAsia" w:asciiTheme="minorEastAsia" w:hAnsiTheme="minorEastAsia" w:eastAsiaTheme="minorEastAsia" w:cstheme="minorEastAsia"/>
                <w:b/>
                <w:bCs/>
                <w:szCs w:val="24"/>
              </w:rPr>
            </w:pPr>
            <w:r>
              <w:rPr>
                <w:rFonts w:hint="eastAsia" w:asciiTheme="minorEastAsia" w:hAnsiTheme="minorEastAsia" w:eastAsiaTheme="minorEastAsia" w:cstheme="minorEastAsia"/>
                <w:b/>
                <w:bCs/>
                <w:szCs w:val="24"/>
              </w:rPr>
              <w:t>绩效目标</w:t>
            </w:r>
          </w:p>
        </w:tc>
        <w:tc>
          <w:tcPr>
            <w:tcW w:w="1417" w:type="dxa"/>
            <w:vMerge w:val="restart"/>
            <w:vAlign w:val="center"/>
          </w:tcPr>
          <w:p>
            <w:pPr>
              <w:spacing w:line="300" w:lineRule="exact"/>
              <w:jc w:val="center"/>
              <w:rPr>
                <w:rFonts w:hint="eastAsia" w:asciiTheme="minorEastAsia" w:hAnsiTheme="minorEastAsia" w:eastAsiaTheme="minorEastAsia" w:cstheme="minorEastAsia"/>
                <w:b/>
                <w:bCs/>
                <w:szCs w:val="24"/>
              </w:rPr>
            </w:pPr>
            <w:r>
              <w:rPr>
                <w:rFonts w:hint="eastAsia" w:asciiTheme="minorEastAsia" w:hAnsiTheme="minorEastAsia" w:eastAsiaTheme="minorEastAsia" w:cstheme="minorEastAsia"/>
                <w:b/>
                <w:bCs/>
                <w:szCs w:val="24"/>
              </w:rPr>
              <w:t>绩效指标</w:t>
            </w:r>
          </w:p>
        </w:tc>
        <w:tc>
          <w:tcPr>
            <w:tcW w:w="2948" w:type="dxa"/>
            <w:gridSpan w:val="4"/>
            <w:vAlign w:val="center"/>
          </w:tcPr>
          <w:p>
            <w:pPr>
              <w:spacing w:line="300" w:lineRule="exact"/>
              <w:jc w:val="center"/>
              <w:rPr>
                <w:rFonts w:hint="eastAsia" w:asciiTheme="minorEastAsia" w:hAnsiTheme="minorEastAsia" w:eastAsiaTheme="minorEastAsia" w:cstheme="minorEastAsia"/>
                <w:b/>
                <w:bCs/>
                <w:szCs w:val="24"/>
              </w:rPr>
            </w:pPr>
            <w:r>
              <w:rPr>
                <w:rFonts w:hint="eastAsia" w:asciiTheme="minorEastAsia" w:hAnsiTheme="minorEastAsia" w:eastAsiaTheme="minorEastAsia" w:cstheme="minorEastAsia"/>
                <w:b/>
                <w:bCs/>
                <w:szCs w:val="24"/>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continue"/>
            <w:vAlign w:val="center"/>
          </w:tcPr>
          <w:p>
            <w:pPr>
              <w:spacing w:line="300" w:lineRule="exact"/>
              <w:jc w:val="center"/>
              <w:rPr>
                <w:rFonts w:hint="eastAsia" w:asciiTheme="minorEastAsia" w:hAnsiTheme="minorEastAsia" w:eastAsiaTheme="minorEastAsia" w:cstheme="minorEastAsia"/>
                <w:b/>
                <w:bCs/>
                <w:szCs w:val="24"/>
              </w:rPr>
            </w:pPr>
          </w:p>
        </w:tc>
        <w:tc>
          <w:tcPr>
            <w:tcW w:w="1276" w:type="dxa"/>
            <w:vMerge w:val="continue"/>
            <w:vAlign w:val="center"/>
          </w:tcPr>
          <w:p>
            <w:pPr>
              <w:spacing w:line="300" w:lineRule="exact"/>
              <w:jc w:val="center"/>
              <w:rPr>
                <w:rFonts w:hint="eastAsia" w:asciiTheme="minorEastAsia" w:hAnsiTheme="minorEastAsia" w:eastAsiaTheme="minorEastAsia" w:cstheme="minorEastAsia"/>
                <w:b/>
                <w:bCs/>
                <w:szCs w:val="24"/>
              </w:rPr>
            </w:pPr>
          </w:p>
        </w:tc>
        <w:tc>
          <w:tcPr>
            <w:tcW w:w="2976" w:type="dxa"/>
            <w:vMerge w:val="continue"/>
            <w:vAlign w:val="center"/>
          </w:tcPr>
          <w:p>
            <w:pPr>
              <w:spacing w:line="300" w:lineRule="exact"/>
              <w:jc w:val="center"/>
              <w:rPr>
                <w:rFonts w:hint="eastAsia" w:asciiTheme="minorEastAsia" w:hAnsiTheme="minorEastAsia" w:eastAsiaTheme="minorEastAsia" w:cstheme="minorEastAsia"/>
                <w:b/>
                <w:bCs/>
                <w:szCs w:val="24"/>
              </w:rPr>
            </w:pPr>
          </w:p>
        </w:tc>
        <w:tc>
          <w:tcPr>
            <w:tcW w:w="2976" w:type="dxa"/>
            <w:vMerge w:val="continue"/>
            <w:vAlign w:val="center"/>
          </w:tcPr>
          <w:p>
            <w:pPr>
              <w:spacing w:line="300" w:lineRule="exact"/>
              <w:jc w:val="center"/>
              <w:rPr>
                <w:rFonts w:hint="eastAsia" w:asciiTheme="minorEastAsia" w:hAnsiTheme="minorEastAsia" w:eastAsiaTheme="minorEastAsia" w:cstheme="minorEastAsia"/>
                <w:b/>
                <w:bCs/>
                <w:szCs w:val="24"/>
              </w:rPr>
            </w:pPr>
          </w:p>
        </w:tc>
        <w:tc>
          <w:tcPr>
            <w:tcW w:w="1417" w:type="dxa"/>
            <w:vMerge w:val="continue"/>
            <w:vAlign w:val="center"/>
          </w:tcPr>
          <w:p>
            <w:pPr>
              <w:spacing w:line="300" w:lineRule="exact"/>
              <w:jc w:val="center"/>
              <w:rPr>
                <w:rFonts w:hint="eastAsia" w:asciiTheme="minorEastAsia" w:hAnsiTheme="minorEastAsia" w:eastAsiaTheme="minorEastAsia" w:cstheme="minorEastAsia"/>
                <w:b/>
                <w:bCs/>
                <w:szCs w:val="24"/>
              </w:rPr>
            </w:pPr>
          </w:p>
        </w:tc>
        <w:tc>
          <w:tcPr>
            <w:tcW w:w="737" w:type="dxa"/>
            <w:vAlign w:val="center"/>
          </w:tcPr>
          <w:p>
            <w:pPr>
              <w:spacing w:line="300" w:lineRule="exact"/>
              <w:jc w:val="center"/>
              <w:rPr>
                <w:rFonts w:hint="eastAsia" w:asciiTheme="minorEastAsia" w:hAnsiTheme="minorEastAsia" w:eastAsiaTheme="minorEastAsia" w:cstheme="minorEastAsia"/>
                <w:b/>
                <w:bCs/>
                <w:szCs w:val="24"/>
              </w:rPr>
            </w:pPr>
            <w:r>
              <w:rPr>
                <w:rFonts w:hint="eastAsia" w:asciiTheme="minorEastAsia" w:hAnsiTheme="minorEastAsia" w:eastAsiaTheme="minorEastAsia" w:cstheme="minorEastAsia"/>
                <w:b/>
                <w:bCs/>
                <w:szCs w:val="24"/>
              </w:rPr>
              <w:t>优</w:t>
            </w:r>
          </w:p>
        </w:tc>
        <w:tc>
          <w:tcPr>
            <w:tcW w:w="737" w:type="dxa"/>
            <w:vAlign w:val="center"/>
          </w:tcPr>
          <w:p>
            <w:pPr>
              <w:spacing w:line="300" w:lineRule="exact"/>
              <w:jc w:val="center"/>
              <w:rPr>
                <w:rFonts w:hint="eastAsia" w:asciiTheme="minorEastAsia" w:hAnsiTheme="minorEastAsia" w:eastAsiaTheme="minorEastAsia" w:cstheme="minorEastAsia"/>
                <w:b/>
                <w:bCs/>
                <w:szCs w:val="24"/>
              </w:rPr>
            </w:pPr>
            <w:r>
              <w:rPr>
                <w:rFonts w:hint="eastAsia" w:asciiTheme="minorEastAsia" w:hAnsiTheme="minorEastAsia" w:eastAsiaTheme="minorEastAsia" w:cstheme="minorEastAsia"/>
                <w:b/>
                <w:bCs/>
                <w:szCs w:val="24"/>
              </w:rPr>
              <w:t>良</w:t>
            </w:r>
          </w:p>
        </w:tc>
        <w:tc>
          <w:tcPr>
            <w:tcW w:w="737" w:type="dxa"/>
            <w:vAlign w:val="center"/>
          </w:tcPr>
          <w:p>
            <w:pPr>
              <w:spacing w:line="300" w:lineRule="exact"/>
              <w:jc w:val="center"/>
              <w:rPr>
                <w:rFonts w:hint="eastAsia" w:asciiTheme="minorEastAsia" w:hAnsiTheme="minorEastAsia" w:eastAsiaTheme="minorEastAsia" w:cstheme="minorEastAsia"/>
                <w:b/>
                <w:bCs/>
                <w:szCs w:val="24"/>
              </w:rPr>
            </w:pPr>
            <w:r>
              <w:rPr>
                <w:rFonts w:hint="eastAsia" w:asciiTheme="minorEastAsia" w:hAnsiTheme="minorEastAsia" w:eastAsiaTheme="minorEastAsia" w:cstheme="minorEastAsia"/>
                <w:b/>
                <w:bCs/>
                <w:szCs w:val="24"/>
              </w:rPr>
              <w:t>中</w:t>
            </w:r>
          </w:p>
        </w:tc>
        <w:tc>
          <w:tcPr>
            <w:tcW w:w="737" w:type="dxa"/>
            <w:vAlign w:val="center"/>
          </w:tcPr>
          <w:p>
            <w:pPr>
              <w:spacing w:line="300" w:lineRule="exact"/>
              <w:jc w:val="center"/>
              <w:rPr>
                <w:rFonts w:hint="eastAsia" w:asciiTheme="minorEastAsia" w:hAnsiTheme="minorEastAsia" w:eastAsiaTheme="minorEastAsia" w:cstheme="minorEastAsia"/>
                <w:b/>
                <w:bCs/>
                <w:szCs w:val="24"/>
              </w:rPr>
            </w:pPr>
            <w:r>
              <w:rPr>
                <w:rFonts w:hint="eastAsia" w:asciiTheme="minorEastAsia" w:hAnsiTheme="minorEastAsia" w:eastAsiaTheme="minorEastAsia" w:cstheme="minorEastAsia"/>
                <w:b/>
                <w:bCs/>
                <w:szCs w:val="24"/>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hint="eastAsia" w:asciiTheme="minorEastAsia" w:hAnsiTheme="minorEastAsia" w:eastAsiaTheme="minorEastAsia" w:cstheme="minorEastAsia"/>
                <w:b/>
              </w:rPr>
            </w:pPr>
            <w:r>
              <w:rPr>
                <w:rFonts w:hint="eastAsia" w:asciiTheme="minorEastAsia" w:hAnsiTheme="minorEastAsia" w:eastAsiaTheme="minorEastAsia" w:cstheme="minorEastAsia"/>
                <w:b/>
                <w:bCs/>
                <w:szCs w:val="24"/>
              </w:rPr>
              <w:t>一、综合办公事务</w:t>
            </w:r>
          </w:p>
        </w:tc>
        <w:tc>
          <w:tcPr>
            <w:tcW w:w="1276" w:type="dxa"/>
            <w:vAlign w:val="center"/>
          </w:tcPr>
          <w:p>
            <w:pPr>
              <w:spacing w:line="300" w:lineRule="exact"/>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919.90</w:t>
            </w:r>
          </w:p>
        </w:tc>
        <w:tc>
          <w:tcPr>
            <w:tcW w:w="2976" w:type="dxa"/>
            <w:vAlign w:val="center"/>
          </w:tcPr>
          <w:p>
            <w:pPr>
              <w:spacing w:line="300" w:lineRule="exact"/>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负责工委、管委日常事务，主抓会务活动、公文处理、督查督办、印章管理、值班考勤、、组织建设、宣传、纪检、工会、共青团、妇联设施维护、大宗印刷等工作，非公党建工作，精准扶贫工作，做好环保安全生产工作，完成工委、管委交办的其他工作</w:t>
            </w:r>
          </w:p>
        </w:tc>
        <w:tc>
          <w:tcPr>
            <w:tcW w:w="2976" w:type="dxa"/>
            <w:vAlign w:val="center"/>
          </w:tcPr>
          <w:p>
            <w:pPr>
              <w:spacing w:line="300" w:lineRule="exact"/>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通过建立健全相关制度，强化监督考核，努力提高综合协调、公文处理、后勤保障等各项工作举措，发挥好参谋助手作用，保障招商中心正常运转的实施</w:t>
            </w:r>
          </w:p>
        </w:tc>
        <w:tc>
          <w:tcPr>
            <w:tcW w:w="1417" w:type="dxa"/>
            <w:vAlign w:val="center"/>
          </w:tcPr>
          <w:p>
            <w:pPr>
              <w:spacing w:line="300" w:lineRule="exact"/>
              <w:jc w:val="left"/>
              <w:rPr>
                <w:rFonts w:hint="eastAsia" w:asciiTheme="minorEastAsia" w:hAnsiTheme="minorEastAsia" w:eastAsiaTheme="minorEastAsia" w:cstheme="minorEastAsia"/>
              </w:rPr>
            </w:pPr>
          </w:p>
        </w:tc>
        <w:tc>
          <w:tcPr>
            <w:tcW w:w="737" w:type="dxa"/>
            <w:vAlign w:val="center"/>
          </w:tcPr>
          <w:p>
            <w:pPr>
              <w:spacing w:line="300" w:lineRule="exact"/>
              <w:jc w:val="center"/>
              <w:rPr>
                <w:rFonts w:hint="eastAsia" w:asciiTheme="minorEastAsia" w:hAnsiTheme="minorEastAsia" w:eastAsiaTheme="minorEastAsia" w:cstheme="minorEastAsia"/>
              </w:rPr>
            </w:pPr>
          </w:p>
        </w:tc>
        <w:tc>
          <w:tcPr>
            <w:tcW w:w="737" w:type="dxa"/>
            <w:vAlign w:val="center"/>
          </w:tcPr>
          <w:p>
            <w:pPr>
              <w:spacing w:line="300" w:lineRule="exact"/>
              <w:jc w:val="center"/>
              <w:rPr>
                <w:rFonts w:hint="eastAsia" w:asciiTheme="minorEastAsia" w:hAnsiTheme="minorEastAsia" w:eastAsiaTheme="minorEastAsia" w:cstheme="minorEastAsia"/>
              </w:rPr>
            </w:pPr>
          </w:p>
        </w:tc>
        <w:tc>
          <w:tcPr>
            <w:tcW w:w="737" w:type="dxa"/>
            <w:vAlign w:val="center"/>
          </w:tcPr>
          <w:p>
            <w:pPr>
              <w:spacing w:line="300" w:lineRule="exact"/>
              <w:jc w:val="center"/>
              <w:rPr>
                <w:rFonts w:hint="eastAsia" w:asciiTheme="minorEastAsia" w:hAnsiTheme="minorEastAsia" w:eastAsiaTheme="minorEastAsia" w:cstheme="minorEastAsia"/>
              </w:rPr>
            </w:pPr>
          </w:p>
        </w:tc>
        <w:tc>
          <w:tcPr>
            <w:tcW w:w="737" w:type="dxa"/>
            <w:vAlign w:val="center"/>
          </w:tcPr>
          <w:p>
            <w:pPr>
              <w:spacing w:line="300" w:lineRule="exact"/>
              <w:jc w:val="center"/>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hint="eastAsia" w:asciiTheme="minorEastAsia" w:hAnsiTheme="minorEastAsia" w:eastAsiaTheme="minorEastAsia" w:cstheme="minorEastAsia"/>
                <w:b/>
              </w:rPr>
            </w:pPr>
            <w:r>
              <w:rPr>
                <w:rFonts w:hint="eastAsia" w:asciiTheme="minorEastAsia" w:hAnsiTheme="minorEastAsia" w:eastAsiaTheme="minorEastAsia" w:cstheme="minorEastAsia"/>
                <w:b/>
              </w:rPr>
              <w:t>　　</w:t>
            </w:r>
            <w:r>
              <w:rPr>
                <w:rFonts w:hint="eastAsia" w:asciiTheme="minorEastAsia" w:hAnsiTheme="minorEastAsia" w:eastAsiaTheme="minorEastAsia" w:cstheme="minorEastAsia"/>
                <w:b/>
                <w:bCs/>
                <w:szCs w:val="24"/>
              </w:rPr>
              <w:t>1、服务保障</w:t>
            </w:r>
          </w:p>
        </w:tc>
        <w:tc>
          <w:tcPr>
            <w:tcW w:w="1276" w:type="dxa"/>
            <w:vAlign w:val="center"/>
          </w:tcPr>
          <w:p>
            <w:pPr>
              <w:spacing w:line="300" w:lineRule="exact"/>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919.90</w:t>
            </w:r>
          </w:p>
        </w:tc>
        <w:tc>
          <w:tcPr>
            <w:tcW w:w="2976" w:type="dxa"/>
            <w:vAlign w:val="center"/>
          </w:tcPr>
          <w:p>
            <w:pPr>
              <w:spacing w:line="300" w:lineRule="exact"/>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全面细致做好与县委、县政府及相关部门的对接，严、快、细、实、高的无缝隙对接，发挥好中枢神经作用，做好办公用品、设备维护、车辆管理、水电暖维护、机关食堂等招商中心正常运转工作，非公党建工作，做好环保安全生产工作</w:t>
            </w:r>
          </w:p>
        </w:tc>
        <w:tc>
          <w:tcPr>
            <w:tcW w:w="2976" w:type="dxa"/>
            <w:vAlign w:val="center"/>
          </w:tcPr>
          <w:p>
            <w:pPr>
              <w:spacing w:line="300" w:lineRule="exact"/>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全方位、多角度做到信息畅通、运转高效，公文处理高标准、高质量，做到有计划、有方案、有制度、有落实，做到服务保障“零差错”</w:t>
            </w:r>
          </w:p>
        </w:tc>
        <w:tc>
          <w:tcPr>
            <w:tcW w:w="1417" w:type="dxa"/>
            <w:vAlign w:val="center"/>
          </w:tcPr>
          <w:p>
            <w:pPr>
              <w:spacing w:line="300" w:lineRule="exact"/>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服务保障完成率</w:t>
            </w:r>
          </w:p>
        </w:tc>
        <w:tc>
          <w:tcPr>
            <w:tcW w:w="737" w:type="dxa"/>
            <w:vAlign w:val="center"/>
          </w:tcPr>
          <w:p>
            <w:pPr>
              <w:spacing w:line="300" w:lineRule="exact"/>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≥95%</w:t>
            </w:r>
          </w:p>
        </w:tc>
        <w:tc>
          <w:tcPr>
            <w:tcW w:w="737" w:type="dxa"/>
            <w:vAlign w:val="center"/>
          </w:tcPr>
          <w:p>
            <w:pPr>
              <w:spacing w:line="300" w:lineRule="exact"/>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≥80%</w:t>
            </w:r>
          </w:p>
        </w:tc>
        <w:tc>
          <w:tcPr>
            <w:tcW w:w="737" w:type="dxa"/>
            <w:vAlign w:val="center"/>
          </w:tcPr>
          <w:p>
            <w:pPr>
              <w:spacing w:line="300" w:lineRule="exact"/>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≥70%</w:t>
            </w:r>
          </w:p>
        </w:tc>
        <w:tc>
          <w:tcPr>
            <w:tcW w:w="737" w:type="dxa"/>
            <w:vAlign w:val="center"/>
          </w:tcPr>
          <w:p>
            <w:pPr>
              <w:spacing w:line="300" w:lineRule="exact"/>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hint="eastAsia" w:asciiTheme="minorEastAsia" w:hAnsiTheme="minorEastAsia" w:eastAsiaTheme="minorEastAsia" w:cstheme="minorEastAsia"/>
                <w:b/>
              </w:rPr>
            </w:pPr>
            <w:r>
              <w:rPr>
                <w:rFonts w:hint="eastAsia" w:asciiTheme="minorEastAsia" w:hAnsiTheme="minorEastAsia" w:eastAsiaTheme="minorEastAsia" w:cstheme="minorEastAsia"/>
                <w:b/>
                <w:bCs/>
                <w:szCs w:val="24"/>
              </w:rPr>
              <w:t>二、招商引资</w:t>
            </w:r>
          </w:p>
        </w:tc>
        <w:tc>
          <w:tcPr>
            <w:tcW w:w="1276" w:type="dxa"/>
            <w:vAlign w:val="center"/>
          </w:tcPr>
          <w:p>
            <w:pPr>
              <w:spacing w:line="300" w:lineRule="exact"/>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153.00</w:t>
            </w:r>
          </w:p>
        </w:tc>
        <w:tc>
          <w:tcPr>
            <w:tcW w:w="2976" w:type="dxa"/>
            <w:vAlign w:val="center"/>
          </w:tcPr>
          <w:p>
            <w:pPr>
              <w:spacing w:line="300" w:lineRule="exact"/>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收集招商信息，制定相关方案，完成项目接洽洽谈、考察、预审、服务等相关工作，收集招商信息，制定相关方案，完成项目接洽洽谈、考察、预审、服务等相关工作</w:t>
            </w:r>
          </w:p>
        </w:tc>
        <w:tc>
          <w:tcPr>
            <w:tcW w:w="2976" w:type="dxa"/>
            <w:vAlign w:val="center"/>
          </w:tcPr>
          <w:p>
            <w:pPr>
              <w:spacing w:line="300" w:lineRule="exact"/>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通过制定各种招商方案，拟定招商工作流程，协调好招商及项目入园等方面的工作</w:t>
            </w:r>
          </w:p>
        </w:tc>
        <w:tc>
          <w:tcPr>
            <w:tcW w:w="1417" w:type="dxa"/>
            <w:vAlign w:val="center"/>
          </w:tcPr>
          <w:p>
            <w:pPr>
              <w:spacing w:line="300" w:lineRule="exact"/>
              <w:jc w:val="left"/>
              <w:rPr>
                <w:rFonts w:hint="eastAsia" w:asciiTheme="minorEastAsia" w:hAnsiTheme="minorEastAsia" w:eastAsiaTheme="minorEastAsia" w:cstheme="minorEastAsia"/>
                <w:szCs w:val="24"/>
              </w:rPr>
            </w:pPr>
          </w:p>
        </w:tc>
        <w:tc>
          <w:tcPr>
            <w:tcW w:w="737" w:type="dxa"/>
            <w:vAlign w:val="center"/>
          </w:tcPr>
          <w:p>
            <w:pPr>
              <w:spacing w:line="300" w:lineRule="exact"/>
              <w:jc w:val="left"/>
              <w:rPr>
                <w:rFonts w:hint="eastAsia" w:asciiTheme="minorEastAsia" w:hAnsiTheme="minorEastAsia" w:eastAsiaTheme="minorEastAsia" w:cstheme="minorEastAsia"/>
                <w:szCs w:val="24"/>
              </w:rPr>
            </w:pPr>
          </w:p>
        </w:tc>
        <w:tc>
          <w:tcPr>
            <w:tcW w:w="737" w:type="dxa"/>
            <w:vAlign w:val="center"/>
          </w:tcPr>
          <w:p>
            <w:pPr>
              <w:spacing w:line="300" w:lineRule="exact"/>
              <w:jc w:val="left"/>
              <w:rPr>
                <w:rFonts w:hint="eastAsia" w:asciiTheme="minorEastAsia" w:hAnsiTheme="minorEastAsia" w:eastAsiaTheme="minorEastAsia" w:cstheme="minorEastAsia"/>
                <w:szCs w:val="24"/>
              </w:rPr>
            </w:pPr>
          </w:p>
        </w:tc>
        <w:tc>
          <w:tcPr>
            <w:tcW w:w="737" w:type="dxa"/>
            <w:vAlign w:val="center"/>
          </w:tcPr>
          <w:p>
            <w:pPr>
              <w:spacing w:line="300" w:lineRule="exact"/>
              <w:jc w:val="left"/>
              <w:rPr>
                <w:rFonts w:hint="eastAsia" w:asciiTheme="minorEastAsia" w:hAnsiTheme="minorEastAsia" w:eastAsiaTheme="minorEastAsia" w:cstheme="minorEastAsia"/>
                <w:szCs w:val="24"/>
              </w:rPr>
            </w:pPr>
          </w:p>
        </w:tc>
        <w:tc>
          <w:tcPr>
            <w:tcW w:w="737" w:type="dxa"/>
            <w:vAlign w:val="center"/>
          </w:tcPr>
          <w:p>
            <w:pPr>
              <w:spacing w:line="300" w:lineRule="exact"/>
              <w:jc w:val="left"/>
              <w:rPr>
                <w:rFonts w:hint="eastAsia" w:asciiTheme="minorEastAsia" w:hAnsiTheme="minorEastAsia" w:eastAsiaTheme="minorEastAsia" w:cstheme="minorEastAsia"/>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hint="eastAsia" w:asciiTheme="minorEastAsia" w:hAnsiTheme="minorEastAsia" w:eastAsiaTheme="minorEastAsia" w:cstheme="minorEastAsia"/>
                <w:b/>
              </w:rPr>
            </w:pPr>
            <w:r>
              <w:rPr>
                <w:rFonts w:hint="eastAsia" w:asciiTheme="minorEastAsia" w:hAnsiTheme="minorEastAsia" w:eastAsiaTheme="minorEastAsia" w:cstheme="minorEastAsia"/>
                <w:b/>
              </w:rPr>
              <w:t>　　</w:t>
            </w:r>
            <w:r>
              <w:rPr>
                <w:rFonts w:hint="eastAsia" w:asciiTheme="minorEastAsia" w:hAnsiTheme="minorEastAsia" w:eastAsiaTheme="minorEastAsia" w:cstheme="minorEastAsia"/>
                <w:b/>
                <w:bCs/>
                <w:szCs w:val="24"/>
              </w:rPr>
              <w:t>1、招商投资</w:t>
            </w:r>
          </w:p>
        </w:tc>
        <w:tc>
          <w:tcPr>
            <w:tcW w:w="1276" w:type="dxa"/>
            <w:vAlign w:val="center"/>
          </w:tcPr>
          <w:p>
            <w:pPr>
              <w:spacing w:line="300" w:lineRule="exact"/>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153.00</w:t>
            </w:r>
          </w:p>
        </w:tc>
        <w:tc>
          <w:tcPr>
            <w:tcW w:w="2976" w:type="dxa"/>
            <w:vAlign w:val="center"/>
          </w:tcPr>
          <w:p>
            <w:pPr>
              <w:spacing w:line="300" w:lineRule="exact"/>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收集招商信息，设计考察路线，抓住投资商的关注点，对有意向的项目后续重点跟踪，争取完成签约，制定项目接洽方案，项目接洽，项目预审，对符合入园条件的项目履行其入园程序及审批流程；项目前期服务</w:t>
            </w:r>
          </w:p>
        </w:tc>
        <w:tc>
          <w:tcPr>
            <w:tcW w:w="2976" w:type="dxa"/>
            <w:vAlign w:val="center"/>
          </w:tcPr>
          <w:p>
            <w:pPr>
              <w:spacing w:line="300" w:lineRule="exact"/>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招商宣传资料齐备并有效推介；项目信息收集齐备；招商方案详实可行；掌握招商谈判的主动权，以达到招商签约的目的，接待到位，接洽切中企业关心的要点，重点跟踪，完成项目入园及审批过程中本部门的职责</w:t>
            </w:r>
          </w:p>
        </w:tc>
        <w:tc>
          <w:tcPr>
            <w:tcW w:w="1417" w:type="dxa"/>
            <w:vAlign w:val="center"/>
          </w:tcPr>
          <w:p>
            <w:pPr>
              <w:spacing w:line="300" w:lineRule="exact"/>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招商任务完成率</w:t>
            </w:r>
          </w:p>
        </w:tc>
        <w:tc>
          <w:tcPr>
            <w:tcW w:w="737" w:type="dxa"/>
            <w:vAlign w:val="center"/>
          </w:tcPr>
          <w:p>
            <w:pPr>
              <w:spacing w:line="300" w:lineRule="exact"/>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≥60%</w:t>
            </w:r>
          </w:p>
        </w:tc>
        <w:tc>
          <w:tcPr>
            <w:tcW w:w="737" w:type="dxa"/>
            <w:vAlign w:val="center"/>
          </w:tcPr>
          <w:p>
            <w:pPr>
              <w:spacing w:line="300" w:lineRule="exact"/>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≥50%</w:t>
            </w:r>
          </w:p>
        </w:tc>
        <w:tc>
          <w:tcPr>
            <w:tcW w:w="737" w:type="dxa"/>
            <w:vAlign w:val="center"/>
          </w:tcPr>
          <w:p>
            <w:pPr>
              <w:spacing w:line="300" w:lineRule="exact"/>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≥40%</w:t>
            </w:r>
          </w:p>
        </w:tc>
        <w:tc>
          <w:tcPr>
            <w:tcW w:w="737" w:type="dxa"/>
            <w:vAlign w:val="center"/>
          </w:tcPr>
          <w:p>
            <w:pPr>
              <w:spacing w:line="300" w:lineRule="exact"/>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&lt;40%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hint="eastAsia" w:asciiTheme="minorEastAsia" w:hAnsiTheme="minorEastAsia" w:eastAsiaTheme="minorEastAsia" w:cstheme="minorEastAsia"/>
                <w:b/>
              </w:rPr>
            </w:pPr>
            <w:r>
              <w:rPr>
                <w:rFonts w:hint="eastAsia" w:asciiTheme="minorEastAsia" w:hAnsiTheme="minorEastAsia" w:eastAsiaTheme="minorEastAsia" w:cstheme="minorEastAsia"/>
                <w:b/>
                <w:bCs/>
                <w:szCs w:val="24"/>
              </w:rPr>
              <w:t>三、规划管理</w:t>
            </w:r>
          </w:p>
        </w:tc>
        <w:tc>
          <w:tcPr>
            <w:tcW w:w="1276" w:type="dxa"/>
            <w:vAlign w:val="center"/>
          </w:tcPr>
          <w:p>
            <w:pPr>
              <w:spacing w:line="300" w:lineRule="exact"/>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1369.74</w:t>
            </w:r>
          </w:p>
        </w:tc>
        <w:tc>
          <w:tcPr>
            <w:tcW w:w="2976" w:type="dxa"/>
            <w:vAlign w:val="center"/>
          </w:tcPr>
          <w:p>
            <w:pPr>
              <w:spacing w:line="300" w:lineRule="exact"/>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负责在总体规划的指导下，组织编制园区规划的具体工作，按规定权限负责辖区内工程建设和房产管理的相关工作；协调相关部门对企业安全，环保等不符合法律、法规和相关规定的建设、生产中的问题进行督导检查处置；负责土地测绘巡察保护；负责与上级有关部门的对口工作事宜</w:t>
            </w:r>
          </w:p>
        </w:tc>
        <w:tc>
          <w:tcPr>
            <w:tcW w:w="2976" w:type="dxa"/>
            <w:vAlign w:val="center"/>
          </w:tcPr>
          <w:p>
            <w:pPr>
              <w:spacing w:line="300" w:lineRule="exact"/>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按照园区总体规划管理园区规划事务</w:t>
            </w:r>
          </w:p>
        </w:tc>
        <w:tc>
          <w:tcPr>
            <w:tcW w:w="1417" w:type="dxa"/>
            <w:vAlign w:val="center"/>
          </w:tcPr>
          <w:p>
            <w:pPr>
              <w:spacing w:line="300" w:lineRule="exact"/>
              <w:jc w:val="left"/>
              <w:rPr>
                <w:rFonts w:hint="eastAsia" w:asciiTheme="minorEastAsia" w:hAnsiTheme="minorEastAsia" w:eastAsiaTheme="minorEastAsia" w:cstheme="minorEastAsia"/>
                <w:szCs w:val="24"/>
              </w:rPr>
            </w:pPr>
          </w:p>
        </w:tc>
        <w:tc>
          <w:tcPr>
            <w:tcW w:w="737" w:type="dxa"/>
            <w:vAlign w:val="center"/>
          </w:tcPr>
          <w:p>
            <w:pPr>
              <w:spacing w:line="300" w:lineRule="exact"/>
              <w:jc w:val="left"/>
              <w:rPr>
                <w:rFonts w:hint="eastAsia" w:asciiTheme="minorEastAsia" w:hAnsiTheme="minorEastAsia" w:eastAsiaTheme="minorEastAsia" w:cstheme="minorEastAsia"/>
                <w:szCs w:val="24"/>
              </w:rPr>
            </w:pPr>
          </w:p>
        </w:tc>
        <w:tc>
          <w:tcPr>
            <w:tcW w:w="737" w:type="dxa"/>
            <w:vAlign w:val="center"/>
          </w:tcPr>
          <w:p>
            <w:pPr>
              <w:spacing w:line="300" w:lineRule="exact"/>
              <w:jc w:val="left"/>
              <w:rPr>
                <w:rFonts w:hint="eastAsia" w:asciiTheme="minorEastAsia" w:hAnsiTheme="minorEastAsia" w:eastAsiaTheme="minorEastAsia" w:cstheme="minorEastAsia"/>
                <w:szCs w:val="24"/>
              </w:rPr>
            </w:pPr>
          </w:p>
        </w:tc>
        <w:tc>
          <w:tcPr>
            <w:tcW w:w="737" w:type="dxa"/>
            <w:vAlign w:val="center"/>
          </w:tcPr>
          <w:p>
            <w:pPr>
              <w:spacing w:line="300" w:lineRule="exact"/>
              <w:jc w:val="left"/>
              <w:rPr>
                <w:rFonts w:hint="eastAsia" w:asciiTheme="minorEastAsia" w:hAnsiTheme="minorEastAsia" w:eastAsiaTheme="minorEastAsia" w:cstheme="minorEastAsia"/>
                <w:szCs w:val="24"/>
              </w:rPr>
            </w:pPr>
          </w:p>
        </w:tc>
        <w:tc>
          <w:tcPr>
            <w:tcW w:w="737" w:type="dxa"/>
            <w:vAlign w:val="center"/>
          </w:tcPr>
          <w:p>
            <w:pPr>
              <w:spacing w:line="300" w:lineRule="exact"/>
              <w:jc w:val="left"/>
              <w:rPr>
                <w:rFonts w:hint="eastAsia" w:asciiTheme="minorEastAsia" w:hAnsiTheme="minorEastAsia" w:eastAsiaTheme="minorEastAsia" w:cstheme="minorEastAsia"/>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hint="eastAsia" w:asciiTheme="minorEastAsia" w:hAnsiTheme="minorEastAsia" w:eastAsiaTheme="minorEastAsia" w:cstheme="minorEastAsia"/>
                <w:b/>
                <w:bCs/>
                <w:szCs w:val="24"/>
              </w:rPr>
            </w:pPr>
            <w:r>
              <w:rPr>
                <w:rFonts w:hint="eastAsia" w:asciiTheme="minorEastAsia" w:hAnsiTheme="minorEastAsia" w:eastAsiaTheme="minorEastAsia" w:cstheme="minorEastAsia"/>
                <w:b/>
                <w:bCs/>
                <w:szCs w:val="24"/>
              </w:rPr>
              <w:t>　　1、基础设施的修建和维护</w:t>
            </w:r>
          </w:p>
        </w:tc>
        <w:tc>
          <w:tcPr>
            <w:tcW w:w="1276" w:type="dxa"/>
            <w:vAlign w:val="center"/>
          </w:tcPr>
          <w:p>
            <w:pPr>
              <w:spacing w:line="300" w:lineRule="exact"/>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1369.74</w:t>
            </w:r>
          </w:p>
        </w:tc>
        <w:tc>
          <w:tcPr>
            <w:tcW w:w="2976" w:type="dxa"/>
            <w:vAlign w:val="center"/>
          </w:tcPr>
          <w:p>
            <w:pPr>
              <w:spacing w:line="300" w:lineRule="exact"/>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对园区路网的绿化及养护，道路修建给水管网等基础设施建设、编制人防、消防等编制规划</w:t>
            </w:r>
          </w:p>
        </w:tc>
        <w:tc>
          <w:tcPr>
            <w:tcW w:w="2976" w:type="dxa"/>
            <w:vAlign w:val="center"/>
          </w:tcPr>
          <w:p>
            <w:pPr>
              <w:spacing w:line="300" w:lineRule="exact"/>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为招商提供交通便利条件，保障良好的办公条件，维护园区形象。</w:t>
            </w:r>
          </w:p>
        </w:tc>
        <w:tc>
          <w:tcPr>
            <w:tcW w:w="1417" w:type="dxa"/>
            <w:vAlign w:val="center"/>
          </w:tcPr>
          <w:p>
            <w:pPr>
              <w:spacing w:line="300" w:lineRule="exact"/>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各项基础设施维修完成率</w:t>
            </w:r>
          </w:p>
        </w:tc>
        <w:tc>
          <w:tcPr>
            <w:tcW w:w="737" w:type="dxa"/>
            <w:vAlign w:val="center"/>
          </w:tcPr>
          <w:p>
            <w:pPr>
              <w:spacing w:line="300" w:lineRule="exact"/>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≥90%</w:t>
            </w:r>
          </w:p>
        </w:tc>
        <w:tc>
          <w:tcPr>
            <w:tcW w:w="737" w:type="dxa"/>
            <w:vAlign w:val="center"/>
          </w:tcPr>
          <w:p>
            <w:pPr>
              <w:spacing w:line="300" w:lineRule="exact"/>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≥80%</w:t>
            </w:r>
          </w:p>
        </w:tc>
        <w:tc>
          <w:tcPr>
            <w:tcW w:w="737" w:type="dxa"/>
            <w:vAlign w:val="center"/>
          </w:tcPr>
          <w:p>
            <w:pPr>
              <w:spacing w:line="300" w:lineRule="exact"/>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≥70%</w:t>
            </w:r>
          </w:p>
        </w:tc>
        <w:tc>
          <w:tcPr>
            <w:tcW w:w="737" w:type="dxa"/>
            <w:vAlign w:val="center"/>
          </w:tcPr>
          <w:p>
            <w:pPr>
              <w:spacing w:line="300" w:lineRule="exact"/>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hint="eastAsia" w:asciiTheme="minorEastAsia" w:hAnsiTheme="minorEastAsia" w:eastAsiaTheme="minorEastAsia" w:cstheme="minorEastAsia"/>
                <w:b/>
                <w:bCs/>
                <w:szCs w:val="24"/>
              </w:rPr>
            </w:pPr>
            <w:r>
              <w:rPr>
                <w:rFonts w:hint="eastAsia" w:asciiTheme="minorEastAsia" w:hAnsiTheme="minorEastAsia" w:eastAsiaTheme="minorEastAsia" w:cstheme="minorEastAsia"/>
                <w:b/>
                <w:bCs/>
                <w:szCs w:val="24"/>
              </w:rPr>
              <w:t>四、信访事务</w:t>
            </w:r>
          </w:p>
        </w:tc>
        <w:tc>
          <w:tcPr>
            <w:tcW w:w="1276" w:type="dxa"/>
            <w:vAlign w:val="center"/>
          </w:tcPr>
          <w:p>
            <w:pPr>
              <w:spacing w:line="300" w:lineRule="exact"/>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48.00</w:t>
            </w:r>
          </w:p>
        </w:tc>
        <w:tc>
          <w:tcPr>
            <w:tcW w:w="2976" w:type="dxa"/>
            <w:vAlign w:val="center"/>
          </w:tcPr>
          <w:p>
            <w:pPr>
              <w:spacing w:line="300" w:lineRule="exact"/>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负责正常信访、非访、突发性及群体性事件的办理；提供相关服务保障；协助上级信访局处理越级上访；负责经开区工委、管委会交办的其他事项</w:t>
            </w:r>
          </w:p>
        </w:tc>
        <w:tc>
          <w:tcPr>
            <w:tcW w:w="2976" w:type="dxa"/>
            <w:vAlign w:val="center"/>
          </w:tcPr>
          <w:p>
            <w:pPr>
              <w:spacing w:line="300" w:lineRule="exact"/>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畅通信访渠道，减少信访案件，维护社会和谐稳定</w:t>
            </w:r>
          </w:p>
        </w:tc>
        <w:tc>
          <w:tcPr>
            <w:tcW w:w="1417" w:type="dxa"/>
            <w:vAlign w:val="center"/>
          </w:tcPr>
          <w:p>
            <w:pPr>
              <w:spacing w:line="300" w:lineRule="exact"/>
              <w:jc w:val="left"/>
              <w:rPr>
                <w:rFonts w:hint="eastAsia" w:asciiTheme="minorEastAsia" w:hAnsiTheme="minorEastAsia" w:eastAsiaTheme="minorEastAsia" w:cstheme="minorEastAsia"/>
                <w:szCs w:val="24"/>
              </w:rPr>
            </w:pPr>
          </w:p>
        </w:tc>
        <w:tc>
          <w:tcPr>
            <w:tcW w:w="737" w:type="dxa"/>
            <w:vAlign w:val="center"/>
          </w:tcPr>
          <w:p>
            <w:pPr>
              <w:spacing w:line="300" w:lineRule="exact"/>
              <w:jc w:val="left"/>
              <w:rPr>
                <w:rFonts w:hint="eastAsia" w:asciiTheme="minorEastAsia" w:hAnsiTheme="minorEastAsia" w:eastAsiaTheme="minorEastAsia" w:cstheme="minorEastAsia"/>
                <w:szCs w:val="24"/>
              </w:rPr>
            </w:pPr>
          </w:p>
        </w:tc>
        <w:tc>
          <w:tcPr>
            <w:tcW w:w="737" w:type="dxa"/>
            <w:vAlign w:val="center"/>
          </w:tcPr>
          <w:p>
            <w:pPr>
              <w:spacing w:line="300" w:lineRule="exact"/>
              <w:jc w:val="left"/>
              <w:rPr>
                <w:rFonts w:hint="eastAsia" w:asciiTheme="minorEastAsia" w:hAnsiTheme="minorEastAsia" w:eastAsiaTheme="minorEastAsia" w:cstheme="minorEastAsia"/>
                <w:szCs w:val="24"/>
              </w:rPr>
            </w:pPr>
          </w:p>
        </w:tc>
        <w:tc>
          <w:tcPr>
            <w:tcW w:w="737" w:type="dxa"/>
            <w:vAlign w:val="center"/>
          </w:tcPr>
          <w:p>
            <w:pPr>
              <w:spacing w:line="300" w:lineRule="exact"/>
              <w:jc w:val="left"/>
              <w:rPr>
                <w:rFonts w:hint="eastAsia" w:asciiTheme="minorEastAsia" w:hAnsiTheme="minorEastAsia" w:eastAsiaTheme="minorEastAsia" w:cstheme="minorEastAsia"/>
                <w:szCs w:val="24"/>
              </w:rPr>
            </w:pPr>
          </w:p>
        </w:tc>
        <w:tc>
          <w:tcPr>
            <w:tcW w:w="737" w:type="dxa"/>
            <w:vAlign w:val="center"/>
          </w:tcPr>
          <w:p>
            <w:pPr>
              <w:spacing w:line="300" w:lineRule="exact"/>
              <w:jc w:val="left"/>
              <w:rPr>
                <w:rFonts w:hint="eastAsia" w:asciiTheme="minorEastAsia" w:hAnsiTheme="minorEastAsia" w:eastAsiaTheme="minorEastAsia" w:cstheme="minorEastAsia"/>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hint="eastAsia" w:asciiTheme="minorEastAsia" w:hAnsiTheme="minorEastAsia" w:eastAsiaTheme="minorEastAsia" w:cstheme="minorEastAsia"/>
                <w:b/>
                <w:bCs/>
                <w:szCs w:val="24"/>
              </w:rPr>
            </w:pPr>
            <w:r>
              <w:rPr>
                <w:rFonts w:hint="eastAsia" w:asciiTheme="minorEastAsia" w:hAnsiTheme="minorEastAsia" w:eastAsiaTheme="minorEastAsia" w:cstheme="minorEastAsia"/>
                <w:b/>
                <w:bCs/>
                <w:szCs w:val="24"/>
              </w:rPr>
              <w:t>　　1、处置非访、突发性及群体性事件</w:t>
            </w:r>
          </w:p>
        </w:tc>
        <w:tc>
          <w:tcPr>
            <w:tcW w:w="1276" w:type="dxa"/>
            <w:vAlign w:val="center"/>
          </w:tcPr>
          <w:p>
            <w:pPr>
              <w:spacing w:line="300" w:lineRule="exact"/>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48.00</w:t>
            </w:r>
          </w:p>
        </w:tc>
        <w:tc>
          <w:tcPr>
            <w:tcW w:w="2976" w:type="dxa"/>
            <w:vAlign w:val="center"/>
          </w:tcPr>
          <w:p>
            <w:pPr>
              <w:spacing w:line="300" w:lineRule="exact"/>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协助公安机关维护重点区域的正常工作秩序；处置影响社会政治稳定的各类非访、突发性、群体性事件；负责组织协调、稳控劝返、服务保障园区越级非访工作。</w:t>
            </w:r>
          </w:p>
        </w:tc>
        <w:tc>
          <w:tcPr>
            <w:tcW w:w="2976" w:type="dxa"/>
            <w:vAlign w:val="center"/>
          </w:tcPr>
          <w:p>
            <w:pPr>
              <w:spacing w:line="300" w:lineRule="exact"/>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妥善处置非正常访，维护社会大局和谐稳定。</w:t>
            </w:r>
          </w:p>
        </w:tc>
        <w:tc>
          <w:tcPr>
            <w:tcW w:w="1417" w:type="dxa"/>
            <w:vAlign w:val="center"/>
          </w:tcPr>
          <w:p>
            <w:pPr>
              <w:spacing w:line="300" w:lineRule="exact"/>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信访事项受理及时率</w:t>
            </w:r>
          </w:p>
        </w:tc>
        <w:tc>
          <w:tcPr>
            <w:tcW w:w="737" w:type="dxa"/>
            <w:vAlign w:val="center"/>
          </w:tcPr>
          <w:p>
            <w:pPr>
              <w:spacing w:line="300" w:lineRule="exact"/>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≥80%</w:t>
            </w:r>
          </w:p>
        </w:tc>
        <w:tc>
          <w:tcPr>
            <w:tcW w:w="737" w:type="dxa"/>
            <w:vAlign w:val="center"/>
          </w:tcPr>
          <w:p>
            <w:pPr>
              <w:spacing w:line="300" w:lineRule="exact"/>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≥75%</w:t>
            </w:r>
          </w:p>
        </w:tc>
        <w:tc>
          <w:tcPr>
            <w:tcW w:w="737" w:type="dxa"/>
            <w:vAlign w:val="center"/>
          </w:tcPr>
          <w:p>
            <w:pPr>
              <w:spacing w:line="300" w:lineRule="exact"/>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≥70%</w:t>
            </w:r>
          </w:p>
        </w:tc>
        <w:tc>
          <w:tcPr>
            <w:tcW w:w="737" w:type="dxa"/>
            <w:vAlign w:val="center"/>
          </w:tcPr>
          <w:p>
            <w:pPr>
              <w:spacing w:line="300" w:lineRule="exact"/>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hint="eastAsia" w:asciiTheme="minorEastAsia" w:hAnsiTheme="minorEastAsia" w:eastAsiaTheme="minorEastAsia" w:cstheme="minorEastAsia"/>
                <w:b/>
              </w:rPr>
            </w:pPr>
            <w:r>
              <w:rPr>
                <w:rFonts w:hint="eastAsia" w:asciiTheme="minorEastAsia" w:hAnsiTheme="minorEastAsia" w:eastAsiaTheme="minorEastAsia" w:cstheme="minorEastAsia"/>
                <w:b/>
                <w:bCs/>
                <w:szCs w:val="24"/>
              </w:rPr>
              <w:t>五、林业生态建设</w:t>
            </w:r>
          </w:p>
        </w:tc>
        <w:tc>
          <w:tcPr>
            <w:tcW w:w="1276" w:type="dxa"/>
            <w:vAlign w:val="center"/>
          </w:tcPr>
          <w:p>
            <w:pPr>
              <w:spacing w:line="300" w:lineRule="exact"/>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48.78</w:t>
            </w:r>
          </w:p>
        </w:tc>
        <w:tc>
          <w:tcPr>
            <w:tcW w:w="2976" w:type="dxa"/>
            <w:vAlign w:val="center"/>
          </w:tcPr>
          <w:p>
            <w:pPr>
              <w:spacing w:line="300" w:lineRule="exact"/>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组织园区造林绿化</w:t>
            </w:r>
          </w:p>
        </w:tc>
        <w:tc>
          <w:tcPr>
            <w:tcW w:w="2976" w:type="dxa"/>
            <w:vAlign w:val="center"/>
          </w:tcPr>
          <w:p>
            <w:pPr>
              <w:spacing w:line="300" w:lineRule="exact"/>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完成省市下达和县委县政府制定的造林任务及全县森林覆盖率考核目标。有效改善生态环境</w:t>
            </w:r>
          </w:p>
        </w:tc>
        <w:tc>
          <w:tcPr>
            <w:tcW w:w="1417" w:type="dxa"/>
            <w:vAlign w:val="center"/>
          </w:tcPr>
          <w:p>
            <w:pPr>
              <w:spacing w:line="300" w:lineRule="exact"/>
              <w:jc w:val="left"/>
              <w:rPr>
                <w:rFonts w:hint="eastAsia" w:asciiTheme="minorEastAsia" w:hAnsiTheme="minorEastAsia" w:eastAsiaTheme="minorEastAsia" w:cstheme="minorEastAsia"/>
                <w:szCs w:val="24"/>
              </w:rPr>
            </w:pPr>
          </w:p>
        </w:tc>
        <w:tc>
          <w:tcPr>
            <w:tcW w:w="737" w:type="dxa"/>
            <w:vAlign w:val="center"/>
          </w:tcPr>
          <w:p>
            <w:pPr>
              <w:spacing w:line="300" w:lineRule="exact"/>
              <w:jc w:val="left"/>
              <w:rPr>
                <w:rFonts w:hint="eastAsia" w:asciiTheme="minorEastAsia" w:hAnsiTheme="minorEastAsia" w:eastAsiaTheme="minorEastAsia" w:cstheme="minorEastAsia"/>
                <w:szCs w:val="24"/>
              </w:rPr>
            </w:pPr>
          </w:p>
        </w:tc>
        <w:tc>
          <w:tcPr>
            <w:tcW w:w="737" w:type="dxa"/>
            <w:vAlign w:val="center"/>
          </w:tcPr>
          <w:p>
            <w:pPr>
              <w:spacing w:line="300" w:lineRule="exact"/>
              <w:jc w:val="left"/>
              <w:rPr>
                <w:rFonts w:hint="eastAsia" w:asciiTheme="minorEastAsia" w:hAnsiTheme="minorEastAsia" w:eastAsiaTheme="minorEastAsia" w:cstheme="minorEastAsia"/>
                <w:szCs w:val="24"/>
              </w:rPr>
            </w:pPr>
          </w:p>
        </w:tc>
        <w:tc>
          <w:tcPr>
            <w:tcW w:w="737" w:type="dxa"/>
            <w:vAlign w:val="center"/>
          </w:tcPr>
          <w:p>
            <w:pPr>
              <w:spacing w:line="300" w:lineRule="exact"/>
              <w:jc w:val="left"/>
              <w:rPr>
                <w:rFonts w:hint="eastAsia" w:asciiTheme="minorEastAsia" w:hAnsiTheme="minorEastAsia" w:eastAsiaTheme="minorEastAsia" w:cstheme="minorEastAsia"/>
                <w:szCs w:val="24"/>
              </w:rPr>
            </w:pPr>
          </w:p>
        </w:tc>
        <w:tc>
          <w:tcPr>
            <w:tcW w:w="737" w:type="dxa"/>
            <w:vAlign w:val="center"/>
          </w:tcPr>
          <w:p>
            <w:pPr>
              <w:spacing w:line="300" w:lineRule="exact"/>
              <w:jc w:val="left"/>
              <w:rPr>
                <w:rFonts w:hint="eastAsia" w:asciiTheme="minorEastAsia" w:hAnsiTheme="minorEastAsia" w:eastAsiaTheme="minorEastAsia" w:cstheme="minorEastAsia"/>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hint="eastAsia" w:asciiTheme="minorEastAsia" w:hAnsiTheme="minorEastAsia" w:eastAsiaTheme="minorEastAsia" w:cstheme="minorEastAsia"/>
                <w:b/>
                <w:bCs/>
                <w:szCs w:val="24"/>
              </w:rPr>
            </w:pPr>
            <w:r>
              <w:rPr>
                <w:rFonts w:hint="eastAsia" w:asciiTheme="minorEastAsia" w:hAnsiTheme="minorEastAsia" w:eastAsiaTheme="minorEastAsia" w:cstheme="minorEastAsia"/>
                <w:b/>
                <w:bCs/>
                <w:szCs w:val="24"/>
              </w:rPr>
              <w:t>　　1、造林绿化</w:t>
            </w:r>
          </w:p>
        </w:tc>
        <w:tc>
          <w:tcPr>
            <w:tcW w:w="1276" w:type="dxa"/>
            <w:vAlign w:val="center"/>
          </w:tcPr>
          <w:p>
            <w:pPr>
              <w:spacing w:line="300" w:lineRule="exact"/>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48.78</w:t>
            </w:r>
          </w:p>
        </w:tc>
        <w:tc>
          <w:tcPr>
            <w:tcW w:w="2976" w:type="dxa"/>
            <w:vAlign w:val="center"/>
          </w:tcPr>
          <w:p>
            <w:pPr>
              <w:spacing w:line="300" w:lineRule="exact"/>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组织开展园区造林绿化工作</w:t>
            </w:r>
          </w:p>
        </w:tc>
        <w:tc>
          <w:tcPr>
            <w:tcW w:w="2976" w:type="dxa"/>
            <w:vAlign w:val="center"/>
          </w:tcPr>
          <w:p>
            <w:pPr>
              <w:spacing w:line="300" w:lineRule="exact"/>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增加林地面积，提高园区绿化水平和森林覆盖率，改善生态环境</w:t>
            </w:r>
          </w:p>
        </w:tc>
        <w:tc>
          <w:tcPr>
            <w:tcW w:w="1417" w:type="dxa"/>
            <w:vAlign w:val="center"/>
          </w:tcPr>
          <w:p>
            <w:pPr>
              <w:spacing w:line="300" w:lineRule="exact"/>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造林绿化面积完成率</w:t>
            </w:r>
          </w:p>
        </w:tc>
        <w:tc>
          <w:tcPr>
            <w:tcW w:w="737" w:type="dxa"/>
            <w:vAlign w:val="center"/>
          </w:tcPr>
          <w:p>
            <w:pPr>
              <w:spacing w:line="300" w:lineRule="exact"/>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≥90%</w:t>
            </w:r>
          </w:p>
        </w:tc>
        <w:tc>
          <w:tcPr>
            <w:tcW w:w="737" w:type="dxa"/>
            <w:vAlign w:val="center"/>
          </w:tcPr>
          <w:p>
            <w:pPr>
              <w:spacing w:line="300" w:lineRule="exact"/>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≥80%</w:t>
            </w:r>
          </w:p>
        </w:tc>
        <w:tc>
          <w:tcPr>
            <w:tcW w:w="737" w:type="dxa"/>
            <w:vAlign w:val="center"/>
          </w:tcPr>
          <w:p>
            <w:pPr>
              <w:spacing w:line="300" w:lineRule="exact"/>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≥70%</w:t>
            </w:r>
          </w:p>
        </w:tc>
        <w:tc>
          <w:tcPr>
            <w:tcW w:w="737" w:type="dxa"/>
            <w:vAlign w:val="center"/>
          </w:tcPr>
          <w:p>
            <w:pPr>
              <w:spacing w:line="300" w:lineRule="exact"/>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hint="eastAsia" w:asciiTheme="minorEastAsia" w:hAnsiTheme="minorEastAsia" w:eastAsiaTheme="minorEastAsia" w:cstheme="minorEastAsia"/>
                <w:b/>
                <w:bCs/>
                <w:szCs w:val="24"/>
              </w:rPr>
            </w:pPr>
            <w:r>
              <w:rPr>
                <w:rFonts w:hint="eastAsia" w:asciiTheme="minorEastAsia" w:hAnsiTheme="minorEastAsia" w:eastAsiaTheme="minorEastAsia" w:cstheme="minorEastAsia"/>
                <w:b/>
                <w:bCs/>
                <w:szCs w:val="24"/>
              </w:rPr>
              <w:t>六、组织事务</w:t>
            </w:r>
          </w:p>
        </w:tc>
        <w:tc>
          <w:tcPr>
            <w:tcW w:w="1276" w:type="dxa"/>
            <w:vAlign w:val="center"/>
          </w:tcPr>
          <w:p>
            <w:pPr>
              <w:spacing w:line="300" w:lineRule="exact"/>
              <w:jc w:val="left"/>
              <w:rPr>
                <w:rFonts w:hint="eastAsia" w:asciiTheme="minorEastAsia" w:hAnsiTheme="minorEastAsia" w:eastAsiaTheme="minorEastAsia" w:cstheme="minorEastAsia"/>
                <w:szCs w:val="24"/>
              </w:rPr>
            </w:pPr>
          </w:p>
        </w:tc>
        <w:tc>
          <w:tcPr>
            <w:tcW w:w="2976" w:type="dxa"/>
            <w:vAlign w:val="center"/>
          </w:tcPr>
          <w:p>
            <w:pPr>
              <w:spacing w:line="300" w:lineRule="exact"/>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负责组织工作，党员教育培训，基层组织建设，后进村整顿，换届选举等工作</w:t>
            </w:r>
          </w:p>
        </w:tc>
        <w:tc>
          <w:tcPr>
            <w:tcW w:w="2976" w:type="dxa"/>
            <w:vAlign w:val="center"/>
          </w:tcPr>
          <w:p>
            <w:pPr>
              <w:spacing w:line="300" w:lineRule="exact"/>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完成上级部门交派任务和年初本部门制定的目标任务</w:t>
            </w:r>
          </w:p>
        </w:tc>
        <w:tc>
          <w:tcPr>
            <w:tcW w:w="1417" w:type="dxa"/>
            <w:vAlign w:val="center"/>
          </w:tcPr>
          <w:p>
            <w:pPr>
              <w:spacing w:line="300" w:lineRule="exact"/>
              <w:jc w:val="left"/>
              <w:rPr>
                <w:rFonts w:hint="eastAsia" w:asciiTheme="minorEastAsia" w:hAnsiTheme="minorEastAsia" w:eastAsiaTheme="minorEastAsia" w:cstheme="minorEastAsia"/>
                <w:szCs w:val="24"/>
              </w:rPr>
            </w:pPr>
          </w:p>
        </w:tc>
        <w:tc>
          <w:tcPr>
            <w:tcW w:w="737" w:type="dxa"/>
            <w:vAlign w:val="center"/>
          </w:tcPr>
          <w:p>
            <w:pPr>
              <w:spacing w:line="300" w:lineRule="exact"/>
              <w:jc w:val="left"/>
              <w:rPr>
                <w:rFonts w:hint="eastAsia" w:asciiTheme="minorEastAsia" w:hAnsiTheme="minorEastAsia" w:eastAsiaTheme="minorEastAsia" w:cstheme="minorEastAsia"/>
                <w:szCs w:val="24"/>
              </w:rPr>
            </w:pPr>
          </w:p>
        </w:tc>
        <w:tc>
          <w:tcPr>
            <w:tcW w:w="737" w:type="dxa"/>
            <w:vAlign w:val="center"/>
          </w:tcPr>
          <w:p>
            <w:pPr>
              <w:spacing w:line="300" w:lineRule="exact"/>
              <w:jc w:val="left"/>
              <w:rPr>
                <w:rFonts w:hint="eastAsia" w:asciiTheme="minorEastAsia" w:hAnsiTheme="minorEastAsia" w:eastAsiaTheme="minorEastAsia" w:cstheme="minorEastAsia"/>
                <w:szCs w:val="24"/>
              </w:rPr>
            </w:pPr>
          </w:p>
        </w:tc>
        <w:tc>
          <w:tcPr>
            <w:tcW w:w="737" w:type="dxa"/>
            <w:vAlign w:val="center"/>
          </w:tcPr>
          <w:p>
            <w:pPr>
              <w:spacing w:line="300" w:lineRule="exact"/>
              <w:jc w:val="left"/>
              <w:rPr>
                <w:rFonts w:hint="eastAsia" w:asciiTheme="minorEastAsia" w:hAnsiTheme="minorEastAsia" w:eastAsiaTheme="minorEastAsia" w:cstheme="minorEastAsia"/>
                <w:szCs w:val="24"/>
              </w:rPr>
            </w:pPr>
          </w:p>
        </w:tc>
        <w:tc>
          <w:tcPr>
            <w:tcW w:w="737" w:type="dxa"/>
            <w:vAlign w:val="center"/>
          </w:tcPr>
          <w:p>
            <w:pPr>
              <w:spacing w:line="300" w:lineRule="exact"/>
              <w:jc w:val="left"/>
              <w:rPr>
                <w:rFonts w:hint="eastAsia" w:asciiTheme="minorEastAsia" w:hAnsiTheme="minorEastAsia" w:eastAsiaTheme="minorEastAsia" w:cstheme="minorEastAsia"/>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hint="eastAsia" w:asciiTheme="minorEastAsia" w:hAnsiTheme="minorEastAsia" w:eastAsiaTheme="minorEastAsia" w:cstheme="minorEastAsia"/>
                <w:b/>
                <w:bCs/>
                <w:szCs w:val="24"/>
              </w:rPr>
            </w:pPr>
            <w:r>
              <w:rPr>
                <w:rFonts w:hint="eastAsia" w:asciiTheme="minorEastAsia" w:hAnsiTheme="minorEastAsia" w:eastAsiaTheme="minorEastAsia" w:cstheme="minorEastAsia"/>
                <w:b/>
                <w:bCs/>
                <w:szCs w:val="24"/>
              </w:rPr>
              <w:t>　　1、基层政权建设</w:t>
            </w:r>
          </w:p>
        </w:tc>
        <w:tc>
          <w:tcPr>
            <w:tcW w:w="1276" w:type="dxa"/>
            <w:vAlign w:val="center"/>
          </w:tcPr>
          <w:p>
            <w:pPr>
              <w:spacing w:line="300" w:lineRule="exact"/>
              <w:jc w:val="left"/>
              <w:rPr>
                <w:rFonts w:hint="eastAsia" w:asciiTheme="minorEastAsia" w:hAnsiTheme="minorEastAsia" w:eastAsiaTheme="minorEastAsia" w:cstheme="minorEastAsia"/>
                <w:szCs w:val="24"/>
              </w:rPr>
            </w:pPr>
          </w:p>
        </w:tc>
        <w:tc>
          <w:tcPr>
            <w:tcW w:w="2976" w:type="dxa"/>
            <w:vAlign w:val="center"/>
          </w:tcPr>
          <w:p>
            <w:pPr>
              <w:spacing w:line="300" w:lineRule="exact"/>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按任务指标完成发展新党员任务并组织相关培训，完成基层支部考核，党费收缴等工作，完成后进村转化工作，完成村两委档案建设完成上级部门交派的工作</w:t>
            </w:r>
          </w:p>
        </w:tc>
        <w:tc>
          <w:tcPr>
            <w:tcW w:w="2976" w:type="dxa"/>
            <w:vAlign w:val="center"/>
          </w:tcPr>
          <w:p>
            <w:pPr>
              <w:spacing w:line="300" w:lineRule="exact"/>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按期全员完成发展新党员，全额上缴党费，参加培训次数，按期完成后进村转化，按期完成两委干部档案，按期保质完成上级交派任务</w:t>
            </w:r>
          </w:p>
        </w:tc>
        <w:tc>
          <w:tcPr>
            <w:tcW w:w="1417" w:type="dxa"/>
            <w:vAlign w:val="center"/>
          </w:tcPr>
          <w:p>
            <w:pPr>
              <w:spacing w:line="300" w:lineRule="exact"/>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培训计划完成率</w:t>
            </w:r>
          </w:p>
        </w:tc>
        <w:tc>
          <w:tcPr>
            <w:tcW w:w="737" w:type="dxa"/>
            <w:vAlign w:val="center"/>
          </w:tcPr>
          <w:p>
            <w:pPr>
              <w:spacing w:line="300" w:lineRule="exact"/>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≥90%</w:t>
            </w:r>
          </w:p>
        </w:tc>
        <w:tc>
          <w:tcPr>
            <w:tcW w:w="737" w:type="dxa"/>
            <w:vAlign w:val="center"/>
          </w:tcPr>
          <w:p>
            <w:pPr>
              <w:spacing w:line="300" w:lineRule="exact"/>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≥80%</w:t>
            </w:r>
          </w:p>
        </w:tc>
        <w:tc>
          <w:tcPr>
            <w:tcW w:w="737" w:type="dxa"/>
            <w:vAlign w:val="center"/>
          </w:tcPr>
          <w:p>
            <w:pPr>
              <w:spacing w:line="300" w:lineRule="exact"/>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≥70%</w:t>
            </w:r>
          </w:p>
        </w:tc>
        <w:tc>
          <w:tcPr>
            <w:tcW w:w="737" w:type="dxa"/>
            <w:vAlign w:val="center"/>
          </w:tcPr>
          <w:p>
            <w:pPr>
              <w:spacing w:line="300" w:lineRule="exact"/>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hint="eastAsia" w:asciiTheme="minorEastAsia" w:hAnsiTheme="minorEastAsia" w:eastAsiaTheme="minorEastAsia" w:cstheme="minorEastAsia"/>
                <w:b/>
                <w:bCs/>
                <w:szCs w:val="24"/>
              </w:rPr>
            </w:pPr>
            <w:r>
              <w:rPr>
                <w:rFonts w:hint="eastAsia" w:asciiTheme="minorEastAsia" w:hAnsiTheme="minorEastAsia" w:eastAsiaTheme="minorEastAsia" w:cstheme="minorEastAsia"/>
                <w:b/>
                <w:bCs/>
                <w:szCs w:val="24"/>
              </w:rPr>
              <w:t>七、计划生育事务</w:t>
            </w:r>
          </w:p>
        </w:tc>
        <w:tc>
          <w:tcPr>
            <w:tcW w:w="1276" w:type="dxa"/>
            <w:vAlign w:val="center"/>
          </w:tcPr>
          <w:p>
            <w:pPr>
              <w:spacing w:line="300" w:lineRule="exact"/>
              <w:jc w:val="left"/>
              <w:rPr>
                <w:rFonts w:hint="eastAsia" w:asciiTheme="minorEastAsia" w:hAnsiTheme="minorEastAsia" w:eastAsiaTheme="minorEastAsia" w:cstheme="minorEastAsia"/>
                <w:szCs w:val="24"/>
              </w:rPr>
            </w:pPr>
          </w:p>
        </w:tc>
        <w:tc>
          <w:tcPr>
            <w:tcW w:w="2976" w:type="dxa"/>
            <w:vAlign w:val="center"/>
          </w:tcPr>
          <w:p>
            <w:pPr>
              <w:spacing w:line="300" w:lineRule="exact"/>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提供各类计划生育技术服务，建立利益导向机制，开展出生人口性别比治理以及流动人口计划生育管理等各项工作，宣传计生政策，弱势群体救助，日常运转经费</w:t>
            </w:r>
          </w:p>
        </w:tc>
        <w:tc>
          <w:tcPr>
            <w:tcW w:w="2976" w:type="dxa"/>
            <w:vAlign w:val="center"/>
          </w:tcPr>
          <w:p>
            <w:pPr>
              <w:spacing w:line="300" w:lineRule="exact"/>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稳定适度的低生育水平，有效保障计划生育家庭生活水平，提高妇女生殖健康水平，降低出生缺陷的发生，有效遏制出生人口性别比偏高问题，</w:t>
            </w:r>
          </w:p>
        </w:tc>
        <w:tc>
          <w:tcPr>
            <w:tcW w:w="1417" w:type="dxa"/>
            <w:vAlign w:val="center"/>
          </w:tcPr>
          <w:p>
            <w:pPr>
              <w:spacing w:line="300" w:lineRule="exact"/>
              <w:jc w:val="left"/>
              <w:rPr>
                <w:rFonts w:hint="eastAsia" w:asciiTheme="minorEastAsia" w:hAnsiTheme="minorEastAsia" w:eastAsiaTheme="minorEastAsia" w:cstheme="minorEastAsia"/>
                <w:szCs w:val="24"/>
              </w:rPr>
            </w:pPr>
          </w:p>
        </w:tc>
        <w:tc>
          <w:tcPr>
            <w:tcW w:w="737" w:type="dxa"/>
            <w:vAlign w:val="center"/>
          </w:tcPr>
          <w:p>
            <w:pPr>
              <w:spacing w:line="300" w:lineRule="exact"/>
              <w:jc w:val="left"/>
              <w:rPr>
                <w:rFonts w:hint="eastAsia" w:asciiTheme="minorEastAsia" w:hAnsiTheme="minorEastAsia" w:eastAsiaTheme="minorEastAsia" w:cstheme="minorEastAsia"/>
                <w:szCs w:val="24"/>
              </w:rPr>
            </w:pPr>
          </w:p>
        </w:tc>
        <w:tc>
          <w:tcPr>
            <w:tcW w:w="737" w:type="dxa"/>
            <w:vAlign w:val="center"/>
          </w:tcPr>
          <w:p>
            <w:pPr>
              <w:spacing w:line="300" w:lineRule="exact"/>
              <w:jc w:val="left"/>
              <w:rPr>
                <w:rFonts w:hint="eastAsia" w:asciiTheme="minorEastAsia" w:hAnsiTheme="minorEastAsia" w:eastAsiaTheme="minorEastAsia" w:cstheme="minorEastAsia"/>
                <w:szCs w:val="24"/>
              </w:rPr>
            </w:pPr>
          </w:p>
        </w:tc>
        <w:tc>
          <w:tcPr>
            <w:tcW w:w="737" w:type="dxa"/>
            <w:vAlign w:val="center"/>
          </w:tcPr>
          <w:p>
            <w:pPr>
              <w:spacing w:line="300" w:lineRule="exact"/>
              <w:jc w:val="left"/>
              <w:rPr>
                <w:rFonts w:hint="eastAsia" w:asciiTheme="minorEastAsia" w:hAnsiTheme="minorEastAsia" w:eastAsiaTheme="minorEastAsia" w:cstheme="minorEastAsia"/>
                <w:szCs w:val="24"/>
              </w:rPr>
            </w:pPr>
          </w:p>
        </w:tc>
        <w:tc>
          <w:tcPr>
            <w:tcW w:w="737" w:type="dxa"/>
            <w:vAlign w:val="center"/>
          </w:tcPr>
          <w:p>
            <w:pPr>
              <w:spacing w:line="300" w:lineRule="exact"/>
              <w:jc w:val="left"/>
              <w:rPr>
                <w:rFonts w:hint="eastAsia" w:asciiTheme="minorEastAsia" w:hAnsiTheme="minorEastAsia" w:eastAsiaTheme="minorEastAsia" w:cstheme="minorEastAsia"/>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hint="eastAsia" w:asciiTheme="minorEastAsia" w:hAnsiTheme="minorEastAsia" w:eastAsiaTheme="minorEastAsia" w:cstheme="minorEastAsia"/>
                <w:b/>
                <w:bCs/>
                <w:szCs w:val="24"/>
              </w:rPr>
            </w:pPr>
            <w:r>
              <w:rPr>
                <w:rFonts w:hint="eastAsia" w:asciiTheme="minorEastAsia" w:hAnsiTheme="minorEastAsia" w:eastAsiaTheme="minorEastAsia" w:cstheme="minorEastAsia"/>
                <w:b/>
                <w:bCs/>
                <w:szCs w:val="24"/>
              </w:rPr>
              <w:t>　　1、计划生育服务</w:t>
            </w:r>
          </w:p>
        </w:tc>
        <w:tc>
          <w:tcPr>
            <w:tcW w:w="1276" w:type="dxa"/>
            <w:vAlign w:val="center"/>
          </w:tcPr>
          <w:p>
            <w:pPr>
              <w:spacing w:line="300" w:lineRule="exact"/>
              <w:jc w:val="left"/>
              <w:rPr>
                <w:rFonts w:hint="eastAsia" w:asciiTheme="minorEastAsia" w:hAnsiTheme="minorEastAsia" w:eastAsiaTheme="minorEastAsia" w:cstheme="minorEastAsia"/>
                <w:szCs w:val="24"/>
              </w:rPr>
            </w:pPr>
          </w:p>
        </w:tc>
        <w:tc>
          <w:tcPr>
            <w:tcW w:w="2976" w:type="dxa"/>
            <w:vAlign w:val="center"/>
          </w:tcPr>
          <w:p>
            <w:pPr>
              <w:spacing w:line="300" w:lineRule="exact"/>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开展宣传计生活动，计划生育技术服务活动，建立计生档案</w:t>
            </w:r>
          </w:p>
        </w:tc>
        <w:tc>
          <w:tcPr>
            <w:tcW w:w="2976" w:type="dxa"/>
            <w:vAlign w:val="center"/>
          </w:tcPr>
          <w:p>
            <w:pPr>
              <w:spacing w:line="300" w:lineRule="exact"/>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切实做好本单位计生管理工作，模范执行现行计划生育政策</w:t>
            </w:r>
          </w:p>
        </w:tc>
        <w:tc>
          <w:tcPr>
            <w:tcW w:w="1417" w:type="dxa"/>
            <w:vAlign w:val="center"/>
          </w:tcPr>
          <w:p>
            <w:pPr>
              <w:spacing w:line="300" w:lineRule="exact"/>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计生宣传教育完成率</w:t>
            </w:r>
          </w:p>
        </w:tc>
        <w:tc>
          <w:tcPr>
            <w:tcW w:w="737" w:type="dxa"/>
            <w:vAlign w:val="center"/>
          </w:tcPr>
          <w:p>
            <w:pPr>
              <w:spacing w:line="300" w:lineRule="exact"/>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≥80%</w:t>
            </w:r>
          </w:p>
        </w:tc>
        <w:tc>
          <w:tcPr>
            <w:tcW w:w="737" w:type="dxa"/>
            <w:vAlign w:val="center"/>
          </w:tcPr>
          <w:p>
            <w:pPr>
              <w:spacing w:line="300" w:lineRule="exact"/>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≥70%</w:t>
            </w:r>
          </w:p>
        </w:tc>
        <w:tc>
          <w:tcPr>
            <w:tcW w:w="737" w:type="dxa"/>
            <w:vAlign w:val="center"/>
          </w:tcPr>
          <w:p>
            <w:pPr>
              <w:spacing w:line="300" w:lineRule="exact"/>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≥60%</w:t>
            </w:r>
          </w:p>
        </w:tc>
        <w:tc>
          <w:tcPr>
            <w:tcW w:w="737" w:type="dxa"/>
            <w:vAlign w:val="center"/>
          </w:tcPr>
          <w:p>
            <w:pPr>
              <w:spacing w:line="300" w:lineRule="exact"/>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&lt;60%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hint="eastAsia" w:asciiTheme="minorEastAsia" w:hAnsiTheme="minorEastAsia" w:eastAsiaTheme="minorEastAsia" w:cstheme="minorEastAsia"/>
                <w:b/>
                <w:bCs/>
                <w:szCs w:val="24"/>
              </w:rPr>
            </w:pPr>
            <w:r>
              <w:rPr>
                <w:rFonts w:hint="eastAsia" w:asciiTheme="minorEastAsia" w:hAnsiTheme="minorEastAsia" w:eastAsiaTheme="minorEastAsia" w:cstheme="minorEastAsia"/>
                <w:b/>
                <w:bCs/>
                <w:szCs w:val="24"/>
              </w:rPr>
              <w:t>八、国土资源管理</w:t>
            </w:r>
          </w:p>
        </w:tc>
        <w:tc>
          <w:tcPr>
            <w:tcW w:w="1276" w:type="dxa"/>
            <w:vAlign w:val="center"/>
          </w:tcPr>
          <w:p>
            <w:pPr>
              <w:spacing w:line="300" w:lineRule="exact"/>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4133.70</w:t>
            </w:r>
          </w:p>
        </w:tc>
        <w:tc>
          <w:tcPr>
            <w:tcW w:w="2976" w:type="dxa"/>
            <w:vAlign w:val="center"/>
          </w:tcPr>
          <w:p>
            <w:pPr>
              <w:spacing w:line="300" w:lineRule="exact"/>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负责园区所辖土资源系统综合业务管理</w:t>
            </w:r>
          </w:p>
        </w:tc>
        <w:tc>
          <w:tcPr>
            <w:tcW w:w="2976" w:type="dxa"/>
            <w:vAlign w:val="center"/>
          </w:tcPr>
          <w:p>
            <w:pPr>
              <w:spacing w:line="300" w:lineRule="exact"/>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进一步增强国土资源管理保障能力</w:t>
            </w:r>
          </w:p>
        </w:tc>
        <w:tc>
          <w:tcPr>
            <w:tcW w:w="1417" w:type="dxa"/>
            <w:vAlign w:val="center"/>
          </w:tcPr>
          <w:p>
            <w:pPr>
              <w:spacing w:line="300" w:lineRule="exact"/>
              <w:jc w:val="left"/>
              <w:rPr>
                <w:rFonts w:hint="eastAsia" w:asciiTheme="minorEastAsia" w:hAnsiTheme="minorEastAsia" w:eastAsiaTheme="minorEastAsia" w:cstheme="minorEastAsia"/>
                <w:szCs w:val="24"/>
              </w:rPr>
            </w:pPr>
          </w:p>
        </w:tc>
        <w:tc>
          <w:tcPr>
            <w:tcW w:w="737" w:type="dxa"/>
            <w:vAlign w:val="center"/>
          </w:tcPr>
          <w:p>
            <w:pPr>
              <w:spacing w:line="300" w:lineRule="exact"/>
              <w:jc w:val="left"/>
              <w:rPr>
                <w:rFonts w:hint="eastAsia" w:asciiTheme="minorEastAsia" w:hAnsiTheme="minorEastAsia" w:eastAsiaTheme="minorEastAsia" w:cstheme="minorEastAsia"/>
                <w:szCs w:val="24"/>
              </w:rPr>
            </w:pPr>
          </w:p>
        </w:tc>
        <w:tc>
          <w:tcPr>
            <w:tcW w:w="737" w:type="dxa"/>
            <w:vAlign w:val="center"/>
          </w:tcPr>
          <w:p>
            <w:pPr>
              <w:spacing w:line="300" w:lineRule="exact"/>
              <w:jc w:val="left"/>
              <w:rPr>
                <w:rFonts w:hint="eastAsia" w:asciiTheme="minorEastAsia" w:hAnsiTheme="minorEastAsia" w:eastAsiaTheme="minorEastAsia" w:cstheme="minorEastAsia"/>
                <w:szCs w:val="24"/>
              </w:rPr>
            </w:pPr>
          </w:p>
        </w:tc>
        <w:tc>
          <w:tcPr>
            <w:tcW w:w="737" w:type="dxa"/>
            <w:vAlign w:val="center"/>
          </w:tcPr>
          <w:p>
            <w:pPr>
              <w:spacing w:line="300" w:lineRule="exact"/>
              <w:jc w:val="left"/>
              <w:rPr>
                <w:rFonts w:hint="eastAsia" w:asciiTheme="minorEastAsia" w:hAnsiTheme="minorEastAsia" w:eastAsiaTheme="minorEastAsia" w:cstheme="minorEastAsia"/>
                <w:szCs w:val="24"/>
              </w:rPr>
            </w:pPr>
          </w:p>
        </w:tc>
        <w:tc>
          <w:tcPr>
            <w:tcW w:w="737" w:type="dxa"/>
            <w:vAlign w:val="center"/>
          </w:tcPr>
          <w:p>
            <w:pPr>
              <w:spacing w:line="300" w:lineRule="exact"/>
              <w:jc w:val="left"/>
              <w:rPr>
                <w:rFonts w:hint="eastAsia" w:asciiTheme="minorEastAsia" w:hAnsiTheme="minorEastAsia" w:eastAsiaTheme="minorEastAsia" w:cstheme="minorEastAsia"/>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hint="eastAsia" w:asciiTheme="minorEastAsia" w:hAnsiTheme="minorEastAsia" w:eastAsiaTheme="minorEastAsia" w:cstheme="minorEastAsia"/>
                <w:b/>
                <w:bCs/>
                <w:szCs w:val="24"/>
              </w:rPr>
            </w:pPr>
            <w:r>
              <w:rPr>
                <w:rFonts w:hint="eastAsia" w:asciiTheme="minorEastAsia" w:hAnsiTheme="minorEastAsia" w:eastAsiaTheme="minorEastAsia" w:cstheme="minorEastAsia"/>
                <w:b/>
                <w:bCs/>
                <w:szCs w:val="24"/>
              </w:rPr>
              <w:t>　　1、征地管理事务</w:t>
            </w:r>
          </w:p>
        </w:tc>
        <w:tc>
          <w:tcPr>
            <w:tcW w:w="1276" w:type="dxa"/>
            <w:vAlign w:val="center"/>
          </w:tcPr>
          <w:p>
            <w:pPr>
              <w:spacing w:line="300" w:lineRule="exact"/>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4133.70</w:t>
            </w:r>
          </w:p>
        </w:tc>
        <w:tc>
          <w:tcPr>
            <w:tcW w:w="2976" w:type="dxa"/>
            <w:vAlign w:val="center"/>
          </w:tcPr>
          <w:p>
            <w:pPr>
              <w:spacing w:line="300" w:lineRule="exact"/>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做好园区征地、拆迁补偿、土地流转及征地相关事务管理工作</w:t>
            </w:r>
          </w:p>
        </w:tc>
        <w:tc>
          <w:tcPr>
            <w:tcW w:w="2976" w:type="dxa"/>
            <w:vAlign w:val="center"/>
          </w:tcPr>
          <w:p>
            <w:pPr>
              <w:spacing w:line="300" w:lineRule="exact"/>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规范做好土地资源的出让、租赁等各项工作</w:t>
            </w:r>
          </w:p>
        </w:tc>
        <w:tc>
          <w:tcPr>
            <w:tcW w:w="1417" w:type="dxa"/>
            <w:vAlign w:val="center"/>
          </w:tcPr>
          <w:p>
            <w:pPr>
              <w:spacing w:line="300" w:lineRule="exact"/>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征地补偿任务完成率</w:t>
            </w:r>
          </w:p>
        </w:tc>
        <w:tc>
          <w:tcPr>
            <w:tcW w:w="737" w:type="dxa"/>
            <w:vAlign w:val="center"/>
          </w:tcPr>
          <w:p>
            <w:pPr>
              <w:spacing w:line="300" w:lineRule="exact"/>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≥80%</w:t>
            </w:r>
          </w:p>
        </w:tc>
        <w:tc>
          <w:tcPr>
            <w:tcW w:w="737" w:type="dxa"/>
            <w:vAlign w:val="center"/>
          </w:tcPr>
          <w:p>
            <w:pPr>
              <w:spacing w:line="300" w:lineRule="exact"/>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≥70%</w:t>
            </w:r>
          </w:p>
        </w:tc>
        <w:tc>
          <w:tcPr>
            <w:tcW w:w="737" w:type="dxa"/>
            <w:vAlign w:val="center"/>
          </w:tcPr>
          <w:p>
            <w:pPr>
              <w:spacing w:line="300" w:lineRule="exact"/>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≥60%</w:t>
            </w:r>
          </w:p>
        </w:tc>
        <w:tc>
          <w:tcPr>
            <w:tcW w:w="737" w:type="dxa"/>
            <w:vAlign w:val="center"/>
          </w:tcPr>
          <w:p>
            <w:pPr>
              <w:spacing w:line="300" w:lineRule="exact"/>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&lt;60%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hint="eastAsia" w:asciiTheme="minorEastAsia" w:hAnsiTheme="minorEastAsia" w:eastAsiaTheme="minorEastAsia" w:cstheme="minorEastAsia"/>
                <w:b/>
                <w:bCs/>
                <w:szCs w:val="24"/>
              </w:rPr>
            </w:pPr>
            <w:r>
              <w:rPr>
                <w:rFonts w:hint="eastAsia" w:asciiTheme="minorEastAsia" w:hAnsiTheme="minorEastAsia" w:eastAsiaTheme="minorEastAsia" w:cstheme="minorEastAsia"/>
                <w:b/>
                <w:bCs/>
                <w:szCs w:val="24"/>
              </w:rPr>
              <w:t>九、民政服务</w:t>
            </w:r>
          </w:p>
        </w:tc>
        <w:tc>
          <w:tcPr>
            <w:tcW w:w="1276" w:type="dxa"/>
            <w:vAlign w:val="center"/>
          </w:tcPr>
          <w:p>
            <w:pPr>
              <w:spacing w:line="300" w:lineRule="exact"/>
              <w:jc w:val="left"/>
              <w:rPr>
                <w:rFonts w:hint="eastAsia" w:asciiTheme="minorEastAsia" w:hAnsiTheme="minorEastAsia" w:eastAsiaTheme="minorEastAsia" w:cstheme="minorEastAsia"/>
                <w:szCs w:val="24"/>
              </w:rPr>
            </w:pPr>
          </w:p>
        </w:tc>
        <w:tc>
          <w:tcPr>
            <w:tcW w:w="2976" w:type="dxa"/>
            <w:vAlign w:val="center"/>
          </w:tcPr>
          <w:p>
            <w:pPr>
              <w:spacing w:line="300" w:lineRule="exact"/>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负责城乡居民最低生活保障、五保供养、医疗救助，殡葬执法，义务兵优待工作。</w:t>
            </w:r>
          </w:p>
        </w:tc>
        <w:tc>
          <w:tcPr>
            <w:tcW w:w="2976" w:type="dxa"/>
            <w:vAlign w:val="center"/>
          </w:tcPr>
          <w:p>
            <w:pPr>
              <w:spacing w:line="300" w:lineRule="exact"/>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完善城乡社会救助制度，实施分类救助，应保尽保,动态管理。做好义务兵家庭优待工作。</w:t>
            </w:r>
          </w:p>
        </w:tc>
        <w:tc>
          <w:tcPr>
            <w:tcW w:w="1417" w:type="dxa"/>
            <w:vAlign w:val="center"/>
          </w:tcPr>
          <w:p>
            <w:pPr>
              <w:spacing w:line="300" w:lineRule="exact"/>
              <w:jc w:val="left"/>
              <w:rPr>
                <w:rFonts w:hint="eastAsia" w:asciiTheme="minorEastAsia" w:hAnsiTheme="minorEastAsia" w:eastAsiaTheme="minorEastAsia" w:cstheme="minorEastAsia"/>
                <w:szCs w:val="24"/>
              </w:rPr>
            </w:pPr>
          </w:p>
        </w:tc>
        <w:tc>
          <w:tcPr>
            <w:tcW w:w="737" w:type="dxa"/>
            <w:vAlign w:val="center"/>
          </w:tcPr>
          <w:p>
            <w:pPr>
              <w:spacing w:line="300" w:lineRule="exact"/>
              <w:jc w:val="left"/>
              <w:rPr>
                <w:rFonts w:hint="eastAsia" w:asciiTheme="minorEastAsia" w:hAnsiTheme="minorEastAsia" w:eastAsiaTheme="minorEastAsia" w:cstheme="minorEastAsia"/>
                <w:szCs w:val="24"/>
              </w:rPr>
            </w:pPr>
          </w:p>
        </w:tc>
        <w:tc>
          <w:tcPr>
            <w:tcW w:w="737" w:type="dxa"/>
            <w:vAlign w:val="center"/>
          </w:tcPr>
          <w:p>
            <w:pPr>
              <w:spacing w:line="300" w:lineRule="exact"/>
              <w:jc w:val="left"/>
              <w:rPr>
                <w:rFonts w:hint="eastAsia" w:asciiTheme="minorEastAsia" w:hAnsiTheme="minorEastAsia" w:eastAsiaTheme="minorEastAsia" w:cstheme="minorEastAsia"/>
                <w:szCs w:val="24"/>
              </w:rPr>
            </w:pPr>
          </w:p>
        </w:tc>
        <w:tc>
          <w:tcPr>
            <w:tcW w:w="737" w:type="dxa"/>
            <w:vAlign w:val="center"/>
          </w:tcPr>
          <w:p>
            <w:pPr>
              <w:spacing w:line="300" w:lineRule="exact"/>
              <w:jc w:val="left"/>
              <w:rPr>
                <w:rFonts w:hint="eastAsia" w:asciiTheme="minorEastAsia" w:hAnsiTheme="minorEastAsia" w:eastAsiaTheme="minorEastAsia" w:cstheme="minorEastAsia"/>
                <w:szCs w:val="24"/>
              </w:rPr>
            </w:pPr>
          </w:p>
        </w:tc>
        <w:tc>
          <w:tcPr>
            <w:tcW w:w="737" w:type="dxa"/>
            <w:vAlign w:val="center"/>
          </w:tcPr>
          <w:p>
            <w:pPr>
              <w:spacing w:line="300" w:lineRule="exact"/>
              <w:jc w:val="left"/>
              <w:rPr>
                <w:rFonts w:hint="eastAsia" w:asciiTheme="minorEastAsia" w:hAnsiTheme="minorEastAsia" w:eastAsiaTheme="minorEastAsia" w:cstheme="minorEastAsia"/>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hint="eastAsia" w:asciiTheme="minorEastAsia" w:hAnsiTheme="minorEastAsia" w:eastAsiaTheme="minorEastAsia" w:cstheme="minorEastAsia"/>
                <w:b/>
                <w:bCs/>
                <w:szCs w:val="24"/>
              </w:rPr>
            </w:pPr>
            <w:r>
              <w:rPr>
                <w:rFonts w:hint="eastAsia" w:asciiTheme="minorEastAsia" w:hAnsiTheme="minorEastAsia" w:eastAsiaTheme="minorEastAsia" w:cstheme="minorEastAsia"/>
                <w:b/>
                <w:bCs/>
                <w:szCs w:val="24"/>
              </w:rPr>
              <w:t>　　1、社会救助及社会福利管理</w:t>
            </w:r>
          </w:p>
        </w:tc>
        <w:tc>
          <w:tcPr>
            <w:tcW w:w="1276" w:type="dxa"/>
            <w:vMerge w:val="restart"/>
            <w:vAlign w:val="center"/>
          </w:tcPr>
          <w:p>
            <w:pPr>
              <w:spacing w:line="300" w:lineRule="exact"/>
              <w:jc w:val="left"/>
              <w:rPr>
                <w:rFonts w:hint="eastAsia" w:asciiTheme="minorEastAsia" w:hAnsiTheme="minorEastAsia" w:eastAsiaTheme="minorEastAsia" w:cstheme="minorEastAsia"/>
                <w:szCs w:val="24"/>
              </w:rPr>
            </w:pPr>
          </w:p>
        </w:tc>
        <w:tc>
          <w:tcPr>
            <w:tcW w:w="2976" w:type="dxa"/>
            <w:vMerge w:val="restart"/>
            <w:vAlign w:val="center"/>
          </w:tcPr>
          <w:p>
            <w:pPr>
              <w:spacing w:line="300" w:lineRule="exact"/>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负责符合条件的城乡居民最低生活保障、五保户的集中供养和分散供养、临时生活救助工作、全县城镇低收入家庭收入核定管理工作、保障孤儿基本生活，加强流浪乞讨人员救助管理，做好留守老人、妇女、儿童和残疾人护理保障工作</w:t>
            </w:r>
          </w:p>
        </w:tc>
        <w:tc>
          <w:tcPr>
            <w:tcW w:w="2976" w:type="dxa"/>
            <w:vMerge w:val="restart"/>
            <w:vAlign w:val="center"/>
          </w:tcPr>
          <w:p>
            <w:pPr>
              <w:spacing w:line="300" w:lineRule="exact"/>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实行动态管理，做到应保尽保、应退尽退。农村五保供养标准、集中供养能力逐步提高。缓解意外事件对特殊困难家庭造成的生活困难。准确核查认定低保家庭经济状况</w:t>
            </w:r>
          </w:p>
        </w:tc>
        <w:tc>
          <w:tcPr>
            <w:tcW w:w="1417" w:type="dxa"/>
            <w:vAlign w:val="center"/>
          </w:tcPr>
          <w:p>
            <w:pPr>
              <w:spacing w:line="300" w:lineRule="exact"/>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申请低保人员核实率</w:t>
            </w:r>
          </w:p>
        </w:tc>
        <w:tc>
          <w:tcPr>
            <w:tcW w:w="737" w:type="dxa"/>
            <w:vAlign w:val="center"/>
          </w:tcPr>
          <w:p>
            <w:pPr>
              <w:spacing w:line="300" w:lineRule="exact"/>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≥30%</w:t>
            </w:r>
          </w:p>
        </w:tc>
        <w:tc>
          <w:tcPr>
            <w:tcW w:w="737" w:type="dxa"/>
            <w:vAlign w:val="center"/>
          </w:tcPr>
          <w:p>
            <w:pPr>
              <w:spacing w:line="300" w:lineRule="exact"/>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≥25%</w:t>
            </w:r>
          </w:p>
        </w:tc>
        <w:tc>
          <w:tcPr>
            <w:tcW w:w="737" w:type="dxa"/>
            <w:vAlign w:val="center"/>
          </w:tcPr>
          <w:p>
            <w:pPr>
              <w:spacing w:line="300" w:lineRule="exact"/>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≥20%</w:t>
            </w:r>
          </w:p>
        </w:tc>
        <w:tc>
          <w:tcPr>
            <w:tcW w:w="737" w:type="dxa"/>
            <w:vAlign w:val="center"/>
          </w:tcPr>
          <w:p>
            <w:pPr>
              <w:spacing w:line="300" w:lineRule="exact"/>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hint="eastAsia" w:asciiTheme="minorEastAsia" w:hAnsiTheme="minorEastAsia" w:eastAsiaTheme="minorEastAsia" w:cstheme="minorEastAsia"/>
                <w:b/>
                <w:bCs/>
                <w:szCs w:val="24"/>
              </w:rPr>
            </w:pPr>
          </w:p>
        </w:tc>
        <w:tc>
          <w:tcPr>
            <w:tcW w:w="1276" w:type="dxa"/>
            <w:vMerge w:val="continue"/>
            <w:vAlign w:val="center"/>
          </w:tcPr>
          <w:p>
            <w:pPr>
              <w:spacing w:line="300" w:lineRule="exact"/>
              <w:jc w:val="left"/>
              <w:rPr>
                <w:rFonts w:hint="eastAsia" w:asciiTheme="minorEastAsia" w:hAnsiTheme="minorEastAsia" w:eastAsiaTheme="minorEastAsia" w:cstheme="minorEastAsia"/>
                <w:szCs w:val="24"/>
              </w:rPr>
            </w:pPr>
          </w:p>
        </w:tc>
        <w:tc>
          <w:tcPr>
            <w:tcW w:w="2976" w:type="dxa"/>
            <w:vMerge w:val="continue"/>
            <w:vAlign w:val="center"/>
          </w:tcPr>
          <w:p>
            <w:pPr>
              <w:spacing w:line="300" w:lineRule="exact"/>
              <w:jc w:val="left"/>
              <w:rPr>
                <w:rFonts w:hint="eastAsia" w:asciiTheme="minorEastAsia" w:hAnsiTheme="minorEastAsia" w:eastAsiaTheme="minorEastAsia" w:cstheme="minorEastAsia"/>
                <w:szCs w:val="24"/>
              </w:rPr>
            </w:pPr>
          </w:p>
        </w:tc>
        <w:tc>
          <w:tcPr>
            <w:tcW w:w="2976" w:type="dxa"/>
            <w:vMerge w:val="continue"/>
            <w:vAlign w:val="center"/>
          </w:tcPr>
          <w:p>
            <w:pPr>
              <w:spacing w:line="300" w:lineRule="exact"/>
              <w:jc w:val="left"/>
              <w:rPr>
                <w:rFonts w:hint="eastAsia" w:asciiTheme="minorEastAsia" w:hAnsiTheme="minorEastAsia" w:eastAsiaTheme="minorEastAsia" w:cstheme="minorEastAsia"/>
                <w:szCs w:val="24"/>
              </w:rPr>
            </w:pPr>
          </w:p>
        </w:tc>
        <w:tc>
          <w:tcPr>
            <w:tcW w:w="1417" w:type="dxa"/>
            <w:vAlign w:val="center"/>
          </w:tcPr>
          <w:p>
            <w:pPr>
              <w:spacing w:line="300" w:lineRule="exact"/>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城乡居民低保保障率</w:t>
            </w:r>
          </w:p>
        </w:tc>
        <w:tc>
          <w:tcPr>
            <w:tcW w:w="737" w:type="dxa"/>
            <w:vAlign w:val="center"/>
          </w:tcPr>
          <w:p>
            <w:pPr>
              <w:spacing w:line="300" w:lineRule="exact"/>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≥90%</w:t>
            </w:r>
          </w:p>
        </w:tc>
        <w:tc>
          <w:tcPr>
            <w:tcW w:w="737" w:type="dxa"/>
            <w:vAlign w:val="center"/>
          </w:tcPr>
          <w:p>
            <w:pPr>
              <w:spacing w:line="300" w:lineRule="exact"/>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≥80%</w:t>
            </w:r>
          </w:p>
        </w:tc>
        <w:tc>
          <w:tcPr>
            <w:tcW w:w="737" w:type="dxa"/>
            <w:vAlign w:val="center"/>
          </w:tcPr>
          <w:p>
            <w:pPr>
              <w:spacing w:line="300" w:lineRule="exact"/>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≥70%</w:t>
            </w:r>
          </w:p>
        </w:tc>
        <w:tc>
          <w:tcPr>
            <w:tcW w:w="737" w:type="dxa"/>
            <w:vAlign w:val="center"/>
          </w:tcPr>
          <w:p>
            <w:pPr>
              <w:spacing w:line="300" w:lineRule="exact"/>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hint="eastAsia" w:asciiTheme="minorEastAsia" w:hAnsiTheme="minorEastAsia" w:eastAsiaTheme="minorEastAsia" w:cstheme="minorEastAsia"/>
                <w:b/>
                <w:bCs/>
                <w:szCs w:val="24"/>
              </w:rPr>
            </w:pPr>
            <w:r>
              <w:rPr>
                <w:rFonts w:hint="eastAsia" w:asciiTheme="minorEastAsia" w:hAnsiTheme="minorEastAsia" w:eastAsiaTheme="minorEastAsia" w:cstheme="minorEastAsia"/>
                <w:b/>
                <w:bCs/>
                <w:szCs w:val="24"/>
              </w:rPr>
              <w:t>十、自然生态保护</w:t>
            </w:r>
          </w:p>
        </w:tc>
        <w:tc>
          <w:tcPr>
            <w:tcW w:w="1276" w:type="dxa"/>
            <w:vAlign w:val="center"/>
          </w:tcPr>
          <w:p>
            <w:pPr>
              <w:spacing w:line="300" w:lineRule="exact"/>
              <w:jc w:val="left"/>
              <w:rPr>
                <w:rFonts w:hint="eastAsia" w:asciiTheme="minorEastAsia" w:hAnsiTheme="minorEastAsia" w:eastAsiaTheme="minorEastAsia" w:cstheme="minorEastAsia"/>
                <w:szCs w:val="24"/>
              </w:rPr>
            </w:pPr>
          </w:p>
        </w:tc>
        <w:tc>
          <w:tcPr>
            <w:tcW w:w="2976" w:type="dxa"/>
            <w:vAlign w:val="center"/>
          </w:tcPr>
          <w:p>
            <w:pPr>
              <w:spacing w:line="300" w:lineRule="exact"/>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强化生态保护和监察监管，提高自然保护区建设水平，加强生物多样性保护力度，提升农村生态环境质量。</w:t>
            </w:r>
          </w:p>
        </w:tc>
        <w:tc>
          <w:tcPr>
            <w:tcW w:w="2976" w:type="dxa"/>
            <w:vAlign w:val="center"/>
          </w:tcPr>
          <w:p>
            <w:pPr>
              <w:spacing w:line="300" w:lineRule="exact"/>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加强自然生态保护。</w:t>
            </w:r>
          </w:p>
        </w:tc>
        <w:tc>
          <w:tcPr>
            <w:tcW w:w="1417" w:type="dxa"/>
            <w:vAlign w:val="center"/>
          </w:tcPr>
          <w:p>
            <w:pPr>
              <w:spacing w:line="300" w:lineRule="exact"/>
              <w:jc w:val="left"/>
              <w:rPr>
                <w:rFonts w:hint="eastAsia" w:asciiTheme="minorEastAsia" w:hAnsiTheme="minorEastAsia" w:eastAsiaTheme="minorEastAsia" w:cstheme="minorEastAsia"/>
                <w:szCs w:val="24"/>
              </w:rPr>
            </w:pPr>
          </w:p>
        </w:tc>
        <w:tc>
          <w:tcPr>
            <w:tcW w:w="737" w:type="dxa"/>
            <w:vAlign w:val="center"/>
          </w:tcPr>
          <w:p>
            <w:pPr>
              <w:spacing w:line="300" w:lineRule="exact"/>
              <w:jc w:val="left"/>
              <w:rPr>
                <w:rFonts w:hint="eastAsia" w:asciiTheme="minorEastAsia" w:hAnsiTheme="minorEastAsia" w:eastAsiaTheme="minorEastAsia" w:cstheme="minorEastAsia"/>
                <w:szCs w:val="24"/>
              </w:rPr>
            </w:pPr>
          </w:p>
        </w:tc>
        <w:tc>
          <w:tcPr>
            <w:tcW w:w="737" w:type="dxa"/>
            <w:vAlign w:val="center"/>
          </w:tcPr>
          <w:p>
            <w:pPr>
              <w:spacing w:line="300" w:lineRule="exact"/>
              <w:jc w:val="left"/>
              <w:rPr>
                <w:rFonts w:hint="eastAsia" w:asciiTheme="minorEastAsia" w:hAnsiTheme="minorEastAsia" w:eastAsiaTheme="minorEastAsia" w:cstheme="minorEastAsia"/>
                <w:szCs w:val="24"/>
              </w:rPr>
            </w:pPr>
          </w:p>
        </w:tc>
        <w:tc>
          <w:tcPr>
            <w:tcW w:w="737" w:type="dxa"/>
            <w:vAlign w:val="center"/>
          </w:tcPr>
          <w:p>
            <w:pPr>
              <w:spacing w:line="300" w:lineRule="exact"/>
              <w:jc w:val="left"/>
              <w:rPr>
                <w:rFonts w:hint="eastAsia" w:asciiTheme="minorEastAsia" w:hAnsiTheme="minorEastAsia" w:eastAsiaTheme="minorEastAsia" w:cstheme="minorEastAsia"/>
                <w:szCs w:val="24"/>
              </w:rPr>
            </w:pPr>
          </w:p>
        </w:tc>
        <w:tc>
          <w:tcPr>
            <w:tcW w:w="737" w:type="dxa"/>
            <w:vAlign w:val="center"/>
          </w:tcPr>
          <w:p>
            <w:pPr>
              <w:spacing w:line="300" w:lineRule="exact"/>
              <w:jc w:val="left"/>
              <w:rPr>
                <w:rFonts w:hint="eastAsia" w:asciiTheme="minorEastAsia" w:hAnsiTheme="minorEastAsia" w:eastAsiaTheme="minorEastAsia" w:cstheme="minorEastAsia"/>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hint="eastAsia" w:asciiTheme="minorEastAsia" w:hAnsiTheme="minorEastAsia" w:eastAsiaTheme="minorEastAsia" w:cstheme="minorEastAsia"/>
                <w:b/>
                <w:bCs/>
                <w:szCs w:val="24"/>
              </w:rPr>
            </w:pPr>
            <w:r>
              <w:rPr>
                <w:rFonts w:hint="eastAsia" w:asciiTheme="minorEastAsia" w:hAnsiTheme="minorEastAsia" w:eastAsiaTheme="minorEastAsia" w:cstheme="minorEastAsia"/>
                <w:b/>
                <w:bCs/>
                <w:szCs w:val="24"/>
              </w:rPr>
              <w:t>　　1、农村环境综合整治</w:t>
            </w:r>
          </w:p>
        </w:tc>
        <w:tc>
          <w:tcPr>
            <w:tcW w:w="1276" w:type="dxa"/>
            <w:vAlign w:val="center"/>
          </w:tcPr>
          <w:p>
            <w:pPr>
              <w:spacing w:line="300" w:lineRule="exact"/>
              <w:jc w:val="left"/>
              <w:rPr>
                <w:rFonts w:hint="eastAsia" w:asciiTheme="minorEastAsia" w:hAnsiTheme="minorEastAsia" w:eastAsiaTheme="minorEastAsia" w:cstheme="minorEastAsia"/>
                <w:szCs w:val="24"/>
              </w:rPr>
            </w:pPr>
          </w:p>
        </w:tc>
        <w:tc>
          <w:tcPr>
            <w:tcW w:w="2976" w:type="dxa"/>
            <w:vAlign w:val="center"/>
          </w:tcPr>
          <w:p>
            <w:pPr>
              <w:spacing w:line="300" w:lineRule="exact"/>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负责提升园区整体环境，优化招商形象，</w:t>
            </w:r>
          </w:p>
        </w:tc>
        <w:tc>
          <w:tcPr>
            <w:tcW w:w="2976" w:type="dxa"/>
            <w:vAlign w:val="center"/>
          </w:tcPr>
          <w:p>
            <w:pPr>
              <w:spacing w:line="300" w:lineRule="exact"/>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达到无垃圾积存，无点火冒烟，无有碍观瞻，提升经开区环境整体形象</w:t>
            </w:r>
          </w:p>
        </w:tc>
        <w:tc>
          <w:tcPr>
            <w:tcW w:w="1417" w:type="dxa"/>
            <w:vAlign w:val="center"/>
          </w:tcPr>
          <w:p>
            <w:pPr>
              <w:spacing w:line="300" w:lineRule="exact"/>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试点、示范区域村庄垃圾处理率</w:t>
            </w:r>
          </w:p>
        </w:tc>
        <w:tc>
          <w:tcPr>
            <w:tcW w:w="737" w:type="dxa"/>
            <w:vAlign w:val="center"/>
          </w:tcPr>
          <w:p>
            <w:pPr>
              <w:spacing w:line="300" w:lineRule="exact"/>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≥90%</w:t>
            </w:r>
          </w:p>
        </w:tc>
        <w:tc>
          <w:tcPr>
            <w:tcW w:w="737" w:type="dxa"/>
            <w:vAlign w:val="center"/>
          </w:tcPr>
          <w:p>
            <w:pPr>
              <w:spacing w:line="300" w:lineRule="exact"/>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≥80%</w:t>
            </w:r>
          </w:p>
        </w:tc>
        <w:tc>
          <w:tcPr>
            <w:tcW w:w="737" w:type="dxa"/>
            <w:vAlign w:val="center"/>
          </w:tcPr>
          <w:p>
            <w:pPr>
              <w:spacing w:line="300" w:lineRule="exact"/>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≥70%</w:t>
            </w:r>
          </w:p>
        </w:tc>
        <w:tc>
          <w:tcPr>
            <w:tcW w:w="737" w:type="dxa"/>
            <w:vAlign w:val="center"/>
          </w:tcPr>
          <w:p>
            <w:pPr>
              <w:spacing w:line="300" w:lineRule="exact"/>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hint="eastAsia" w:asciiTheme="minorEastAsia" w:hAnsiTheme="minorEastAsia" w:eastAsiaTheme="minorEastAsia" w:cstheme="minorEastAsia"/>
                <w:b/>
                <w:bCs/>
                <w:szCs w:val="24"/>
              </w:rPr>
            </w:pPr>
            <w:r>
              <w:rPr>
                <w:rFonts w:hint="eastAsia" w:asciiTheme="minorEastAsia" w:hAnsiTheme="minorEastAsia" w:eastAsiaTheme="minorEastAsia" w:cstheme="minorEastAsia"/>
                <w:b/>
                <w:bCs/>
                <w:szCs w:val="24"/>
              </w:rPr>
              <w:t>十一、环境污染综合防治</w:t>
            </w:r>
          </w:p>
        </w:tc>
        <w:tc>
          <w:tcPr>
            <w:tcW w:w="1276" w:type="dxa"/>
            <w:vAlign w:val="center"/>
          </w:tcPr>
          <w:p>
            <w:pPr>
              <w:spacing w:line="300" w:lineRule="exact"/>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46.68</w:t>
            </w:r>
          </w:p>
        </w:tc>
        <w:tc>
          <w:tcPr>
            <w:tcW w:w="2976" w:type="dxa"/>
            <w:vAlign w:val="center"/>
          </w:tcPr>
          <w:p>
            <w:pPr>
              <w:spacing w:line="300" w:lineRule="exact"/>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贯彻落实大气、水体、固体废物、化学品、机动车等污染防治管理制度，开展饮用水水源地环境保护。</w:t>
            </w:r>
          </w:p>
        </w:tc>
        <w:tc>
          <w:tcPr>
            <w:tcW w:w="2976" w:type="dxa"/>
            <w:vAlign w:val="center"/>
          </w:tcPr>
          <w:p>
            <w:pPr>
              <w:spacing w:line="300" w:lineRule="exact"/>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加强大气、水体、机动车污染防治，加强固体废弃物、重金属等重点污染治理工程的防治工作。</w:t>
            </w:r>
          </w:p>
        </w:tc>
        <w:tc>
          <w:tcPr>
            <w:tcW w:w="1417" w:type="dxa"/>
            <w:vAlign w:val="center"/>
          </w:tcPr>
          <w:p>
            <w:pPr>
              <w:spacing w:line="300" w:lineRule="exact"/>
              <w:jc w:val="left"/>
              <w:rPr>
                <w:rFonts w:hint="eastAsia" w:asciiTheme="minorEastAsia" w:hAnsiTheme="minorEastAsia" w:eastAsiaTheme="minorEastAsia" w:cstheme="minorEastAsia"/>
                <w:szCs w:val="24"/>
              </w:rPr>
            </w:pPr>
          </w:p>
        </w:tc>
        <w:tc>
          <w:tcPr>
            <w:tcW w:w="737" w:type="dxa"/>
            <w:vAlign w:val="center"/>
          </w:tcPr>
          <w:p>
            <w:pPr>
              <w:spacing w:line="300" w:lineRule="exact"/>
              <w:jc w:val="left"/>
              <w:rPr>
                <w:rFonts w:hint="eastAsia" w:asciiTheme="minorEastAsia" w:hAnsiTheme="minorEastAsia" w:eastAsiaTheme="minorEastAsia" w:cstheme="minorEastAsia"/>
                <w:szCs w:val="24"/>
              </w:rPr>
            </w:pPr>
          </w:p>
        </w:tc>
        <w:tc>
          <w:tcPr>
            <w:tcW w:w="737" w:type="dxa"/>
            <w:vAlign w:val="center"/>
          </w:tcPr>
          <w:p>
            <w:pPr>
              <w:spacing w:line="300" w:lineRule="exact"/>
              <w:jc w:val="left"/>
              <w:rPr>
                <w:rFonts w:hint="eastAsia" w:asciiTheme="minorEastAsia" w:hAnsiTheme="minorEastAsia" w:eastAsiaTheme="minorEastAsia" w:cstheme="minorEastAsia"/>
                <w:szCs w:val="24"/>
              </w:rPr>
            </w:pPr>
          </w:p>
        </w:tc>
        <w:tc>
          <w:tcPr>
            <w:tcW w:w="737" w:type="dxa"/>
            <w:vAlign w:val="center"/>
          </w:tcPr>
          <w:p>
            <w:pPr>
              <w:spacing w:line="300" w:lineRule="exact"/>
              <w:jc w:val="left"/>
              <w:rPr>
                <w:rFonts w:hint="eastAsia" w:asciiTheme="minorEastAsia" w:hAnsiTheme="minorEastAsia" w:eastAsiaTheme="minorEastAsia" w:cstheme="minorEastAsia"/>
                <w:szCs w:val="24"/>
              </w:rPr>
            </w:pPr>
          </w:p>
        </w:tc>
        <w:tc>
          <w:tcPr>
            <w:tcW w:w="737" w:type="dxa"/>
            <w:vAlign w:val="center"/>
          </w:tcPr>
          <w:p>
            <w:pPr>
              <w:spacing w:line="300" w:lineRule="exact"/>
              <w:jc w:val="left"/>
              <w:rPr>
                <w:rFonts w:hint="eastAsia" w:asciiTheme="minorEastAsia" w:hAnsiTheme="minorEastAsia" w:eastAsiaTheme="minorEastAsia" w:cstheme="minorEastAsia"/>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hint="eastAsia" w:asciiTheme="minorEastAsia" w:hAnsiTheme="minorEastAsia" w:eastAsiaTheme="minorEastAsia" w:cstheme="minorEastAsia"/>
                <w:b/>
                <w:bCs/>
                <w:szCs w:val="24"/>
              </w:rPr>
            </w:pPr>
            <w:r>
              <w:rPr>
                <w:rFonts w:hint="eastAsia" w:asciiTheme="minorEastAsia" w:hAnsiTheme="minorEastAsia" w:eastAsiaTheme="minorEastAsia" w:cstheme="minorEastAsia"/>
                <w:b/>
                <w:bCs/>
                <w:szCs w:val="24"/>
              </w:rPr>
              <w:t>　　1、大气污染防治</w:t>
            </w:r>
          </w:p>
        </w:tc>
        <w:tc>
          <w:tcPr>
            <w:tcW w:w="1276" w:type="dxa"/>
            <w:vAlign w:val="center"/>
          </w:tcPr>
          <w:p>
            <w:pPr>
              <w:spacing w:line="300" w:lineRule="exact"/>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46.68</w:t>
            </w:r>
          </w:p>
        </w:tc>
        <w:tc>
          <w:tcPr>
            <w:tcW w:w="2976" w:type="dxa"/>
            <w:vAlign w:val="center"/>
          </w:tcPr>
          <w:p>
            <w:pPr>
              <w:spacing w:line="300" w:lineRule="exact"/>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重点对PM、VOC、二氧化硫等大气污染物进行综合防治，推动城镇环境空气质量改善。</w:t>
            </w:r>
          </w:p>
        </w:tc>
        <w:tc>
          <w:tcPr>
            <w:tcW w:w="2976" w:type="dxa"/>
            <w:vAlign w:val="center"/>
          </w:tcPr>
          <w:p>
            <w:pPr>
              <w:spacing w:line="300" w:lineRule="exact"/>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加强大气污染防治，推动环境空气质量改善。</w:t>
            </w:r>
          </w:p>
        </w:tc>
        <w:tc>
          <w:tcPr>
            <w:tcW w:w="1417" w:type="dxa"/>
            <w:vAlign w:val="center"/>
          </w:tcPr>
          <w:p>
            <w:pPr>
              <w:spacing w:line="300" w:lineRule="exact"/>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污染物排放消减率</w:t>
            </w:r>
          </w:p>
        </w:tc>
        <w:tc>
          <w:tcPr>
            <w:tcW w:w="737" w:type="dxa"/>
            <w:vAlign w:val="center"/>
          </w:tcPr>
          <w:p>
            <w:pPr>
              <w:spacing w:line="300" w:lineRule="exact"/>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≥90%</w:t>
            </w:r>
          </w:p>
        </w:tc>
        <w:tc>
          <w:tcPr>
            <w:tcW w:w="737" w:type="dxa"/>
            <w:vAlign w:val="center"/>
          </w:tcPr>
          <w:p>
            <w:pPr>
              <w:spacing w:line="300" w:lineRule="exact"/>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≥80%</w:t>
            </w:r>
          </w:p>
        </w:tc>
        <w:tc>
          <w:tcPr>
            <w:tcW w:w="737" w:type="dxa"/>
            <w:vAlign w:val="center"/>
          </w:tcPr>
          <w:p>
            <w:pPr>
              <w:spacing w:line="300" w:lineRule="exact"/>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≥70%</w:t>
            </w:r>
          </w:p>
        </w:tc>
        <w:tc>
          <w:tcPr>
            <w:tcW w:w="737" w:type="dxa"/>
            <w:vAlign w:val="center"/>
          </w:tcPr>
          <w:p>
            <w:pPr>
              <w:spacing w:line="300" w:lineRule="exact"/>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hint="eastAsia" w:asciiTheme="minorEastAsia" w:hAnsiTheme="minorEastAsia" w:eastAsiaTheme="minorEastAsia" w:cstheme="minorEastAsia"/>
                <w:b/>
                <w:bCs/>
                <w:szCs w:val="24"/>
              </w:rPr>
            </w:pPr>
            <w:r>
              <w:rPr>
                <w:rFonts w:hint="eastAsia" w:asciiTheme="minorEastAsia" w:hAnsiTheme="minorEastAsia" w:eastAsiaTheme="minorEastAsia" w:cstheme="minorEastAsia"/>
                <w:b/>
                <w:bCs/>
                <w:szCs w:val="24"/>
              </w:rPr>
              <w:t>　　2、水污染防治</w:t>
            </w:r>
          </w:p>
        </w:tc>
        <w:tc>
          <w:tcPr>
            <w:tcW w:w="1276" w:type="dxa"/>
            <w:vAlign w:val="center"/>
          </w:tcPr>
          <w:p>
            <w:pPr>
              <w:spacing w:line="300" w:lineRule="exact"/>
              <w:jc w:val="left"/>
              <w:rPr>
                <w:rFonts w:hint="eastAsia" w:asciiTheme="minorEastAsia" w:hAnsiTheme="minorEastAsia" w:eastAsiaTheme="minorEastAsia" w:cstheme="minorEastAsia"/>
                <w:szCs w:val="24"/>
              </w:rPr>
            </w:pPr>
          </w:p>
        </w:tc>
        <w:tc>
          <w:tcPr>
            <w:tcW w:w="2976" w:type="dxa"/>
            <w:vAlign w:val="center"/>
          </w:tcPr>
          <w:p>
            <w:pPr>
              <w:spacing w:line="300" w:lineRule="exact"/>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重点做好污水处理、渗坑治理、河流治理与保护等工作</w:t>
            </w:r>
          </w:p>
        </w:tc>
        <w:tc>
          <w:tcPr>
            <w:tcW w:w="2976" w:type="dxa"/>
            <w:vAlign w:val="center"/>
          </w:tcPr>
          <w:p>
            <w:pPr>
              <w:spacing w:line="300" w:lineRule="exact"/>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加强水污染防治，改善人居环境。</w:t>
            </w:r>
          </w:p>
        </w:tc>
        <w:tc>
          <w:tcPr>
            <w:tcW w:w="1417" w:type="dxa"/>
            <w:vAlign w:val="center"/>
          </w:tcPr>
          <w:p>
            <w:pPr>
              <w:spacing w:line="300" w:lineRule="exact"/>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渗坑治理工作完成率</w:t>
            </w:r>
          </w:p>
        </w:tc>
        <w:tc>
          <w:tcPr>
            <w:tcW w:w="737" w:type="dxa"/>
            <w:vAlign w:val="center"/>
          </w:tcPr>
          <w:p>
            <w:pPr>
              <w:spacing w:line="300" w:lineRule="exact"/>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≥90%</w:t>
            </w:r>
          </w:p>
        </w:tc>
        <w:tc>
          <w:tcPr>
            <w:tcW w:w="737" w:type="dxa"/>
            <w:vAlign w:val="center"/>
          </w:tcPr>
          <w:p>
            <w:pPr>
              <w:spacing w:line="300" w:lineRule="exact"/>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≥80%</w:t>
            </w:r>
          </w:p>
        </w:tc>
        <w:tc>
          <w:tcPr>
            <w:tcW w:w="737" w:type="dxa"/>
            <w:vAlign w:val="center"/>
          </w:tcPr>
          <w:p>
            <w:pPr>
              <w:spacing w:line="300" w:lineRule="exact"/>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≥70%</w:t>
            </w:r>
          </w:p>
        </w:tc>
        <w:tc>
          <w:tcPr>
            <w:tcW w:w="737" w:type="dxa"/>
            <w:vAlign w:val="center"/>
          </w:tcPr>
          <w:p>
            <w:pPr>
              <w:spacing w:line="300" w:lineRule="exact"/>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＜70%</w:t>
            </w:r>
          </w:p>
        </w:tc>
      </w:tr>
    </w:tbl>
    <w:p>
      <w:pPr>
        <w:spacing w:line="584" w:lineRule="exact"/>
        <w:jc w:val="left"/>
        <w:outlineLvl w:val="0"/>
        <w:rPr>
          <w:rFonts w:hint="eastAsia" w:asciiTheme="minorEastAsia" w:hAnsiTheme="minorEastAsia" w:eastAsiaTheme="minorEastAsia" w:cstheme="minorEastAsia"/>
        </w:rPr>
        <w:sectPr>
          <w:footerReference r:id="rId3" w:type="default"/>
          <w:pgSz w:w="16839" w:h="11907" w:orient="landscape"/>
          <w:pgMar w:top="1803" w:right="1440" w:bottom="1803" w:left="1440" w:header="851" w:footer="992" w:gutter="0"/>
          <w:cols w:space="0" w:num="1"/>
          <w:titlePg/>
          <w:rtlGutter w:val="0"/>
          <w:docGrid w:type="lines" w:linePitch="319" w:charSpace="0"/>
        </w:sectPr>
      </w:pPr>
    </w:p>
    <w:p>
      <w:pPr>
        <w:autoSpaceDE w:val="0"/>
        <w:autoSpaceDN w:val="0"/>
        <w:adjustRightInd w:val="0"/>
        <w:spacing w:line="584" w:lineRule="exact"/>
        <w:ind w:firstLine="640" w:firstLineChars="200"/>
        <w:jc w:val="left"/>
        <w:rPr>
          <w:rFonts w:ascii="Times New Roman" w:hAnsi="Times New Roman" w:eastAsia="黑体"/>
          <w:sz w:val="32"/>
          <w:szCs w:val="32"/>
        </w:rPr>
      </w:pPr>
      <w:r>
        <w:rPr>
          <w:rFonts w:hint="eastAsia" w:ascii="Times New Roman" w:hAnsi="黑体" w:eastAsia="黑体"/>
          <w:sz w:val="32"/>
          <w:szCs w:val="32"/>
        </w:rPr>
        <w:t>六、政府采购预算情况</w:t>
      </w:r>
    </w:p>
    <w:p>
      <w:pPr>
        <w:spacing w:line="584" w:lineRule="exact"/>
        <w:ind w:firstLine="640" w:firstLineChars="200"/>
        <w:outlineLvl w:val="0"/>
        <w:rPr>
          <w:rFonts w:hint="eastAsia" w:ascii="仿宋_GB2312" w:hAnsi="仿宋_GB2312" w:eastAsia="仿宋_GB2312" w:cs="仿宋_GB2312"/>
          <w:sz w:val="32"/>
          <w:szCs w:val="24"/>
        </w:rPr>
      </w:pPr>
      <w:bookmarkStart w:id="2" w:name="_Toc471398468"/>
      <w:r>
        <w:rPr>
          <w:rFonts w:hint="eastAsia" w:ascii="仿宋_GB2312" w:hAnsi="仿宋_GB2312" w:eastAsia="仿宋_GB2312" w:cs="仿宋_GB2312"/>
          <w:sz w:val="32"/>
          <w:szCs w:val="24"/>
        </w:rPr>
        <w:t>2019年，我部门安排政府采购预算471.5万元。具体内容见下表。</w:t>
      </w:r>
    </w:p>
    <w:bookmarkEnd w:id="2"/>
    <w:p>
      <w:pPr>
        <w:spacing w:line="584" w:lineRule="exact"/>
        <w:jc w:val="center"/>
        <w:outlineLvl w:val="0"/>
        <w:rPr>
          <w:rFonts w:hint="eastAsia" w:ascii="仿宋_GB2312" w:hAnsi="仿宋_GB2312" w:eastAsia="仿宋_GB2312" w:cs="仿宋_GB2312"/>
          <w:b/>
          <w:bCs/>
          <w:sz w:val="32"/>
        </w:rPr>
      </w:pPr>
      <w:bookmarkStart w:id="3" w:name="_Toc504489153"/>
      <w:r>
        <w:rPr>
          <w:rFonts w:hint="eastAsia" w:ascii="仿宋_GB2312" w:hAnsi="仿宋_GB2312" w:eastAsia="仿宋_GB2312" w:cs="仿宋_GB2312"/>
          <w:b/>
          <w:bCs/>
          <w:sz w:val="32"/>
        </w:rPr>
        <w:t>部门政府采购预算</w:t>
      </w:r>
      <w:bookmarkEnd w:id="3"/>
    </w:p>
    <w:tbl>
      <w:tblPr>
        <w:tblStyle w:val="8"/>
        <w:tblW w:w="1456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48"/>
        <w:gridCol w:w="1099"/>
        <w:gridCol w:w="974"/>
        <w:gridCol w:w="986"/>
        <w:gridCol w:w="760"/>
        <w:gridCol w:w="760"/>
        <w:gridCol w:w="848"/>
        <w:gridCol w:w="961"/>
        <w:gridCol w:w="961"/>
        <w:gridCol w:w="961"/>
        <w:gridCol w:w="961"/>
        <w:gridCol w:w="964"/>
        <w:gridCol w:w="964"/>
        <w:gridCol w:w="92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blHeader/>
          <w:jc w:val="center"/>
        </w:trPr>
        <w:tc>
          <w:tcPr>
            <w:tcW w:w="7875" w:type="dxa"/>
            <w:gridSpan w:val="7"/>
            <w:tcBorders>
              <w:top w:val="single" w:color="FFFFFF" w:sz="6" w:space="0"/>
              <w:left w:val="single" w:color="FFFFFF" w:sz="6" w:space="0"/>
              <w:right w:val="single" w:color="FFFFFF" w:sz="6" w:space="0"/>
            </w:tcBorders>
            <w:vAlign w:val="center"/>
          </w:tcPr>
          <w:p>
            <w:pPr>
              <w:spacing w:line="30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514河北大城经济开发区管理委员会</w:t>
            </w:r>
          </w:p>
        </w:tc>
        <w:tc>
          <w:tcPr>
            <w:tcW w:w="6693" w:type="dxa"/>
            <w:gridSpan w:val="7"/>
            <w:tcBorders>
              <w:top w:val="single" w:color="FFFFFF" w:sz="6" w:space="0"/>
              <w:left w:val="single" w:color="FFFFFF" w:sz="6" w:space="0"/>
              <w:right w:val="single" w:color="FFFFFF" w:sz="6" w:space="0"/>
            </w:tcBorders>
            <w:vAlign w:val="center"/>
          </w:tcPr>
          <w:p>
            <w:pPr>
              <w:spacing w:line="300" w:lineRule="exact"/>
              <w:jc w:val="right"/>
              <w:rPr>
                <w:rFonts w:hint="eastAsia" w:ascii="仿宋_GB2312" w:hAnsi="仿宋_GB2312" w:eastAsia="仿宋_GB2312" w:cs="仿宋_GB2312"/>
                <w:sz w:val="24"/>
              </w:rPr>
            </w:pPr>
            <w:r>
              <w:rPr>
                <w:rFonts w:hint="eastAsia" w:ascii="仿宋_GB2312" w:hAnsi="仿宋_GB2312" w:eastAsia="仿宋_GB2312" w:cs="仿宋_GB2312"/>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3547" w:type="dxa"/>
            <w:gridSpan w:val="2"/>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政府采购项目来源</w:t>
            </w:r>
          </w:p>
        </w:tc>
        <w:tc>
          <w:tcPr>
            <w:tcW w:w="974" w:type="dxa"/>
            <w:vMerge w:val="restart"/>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采购物品名称</w:t>
            </w:r>
          </w:p>
        </w:tc>
        <w:tc>
          <w:tcPr>
            <w:tcW w:w="986" w:type="dxa"/>
            <w:vMerge w:val="restart"/>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政府采购目录序号</w:t>
            </w:r>
          </w:p>
        </w:tc>
        <w:tc>
          <w:tcPr>
            <w:tcW w:w="760" w:type="dxa"/>
            <w:vMerge w:val="restart"/>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数量  单位</w:t>
            </w:r>
          </w:p>
        </w:tc>
        <w:tc>
          <w:tcPr>
            <w:tcW w:w="760" w:type="dxa"/>
            <w:vMerge w:val="restart"/>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数量</w:t>
            </w:r>
          </w:p>
        </w:tc>
        <w:tc>
          <w:tcPr>
            <w:tcW w:w="848" w:type="dxa"/>
            <w:vMerge w:val="restart"/>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单价</w:t>
            </w:r>
          </w:p>
        </w:tc>
        <w:tc>
          <w:tcPr>
            <w:tcW w:w="6693" w:type="dxa"/>
            <w:gridSpan w:val="7"/>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448" w:type="dxa"/>
            <w:vMerge w:val="restart"/>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项目名称</w:t>
            </w:r>
          </w:p>
        </w:tc>
        <w:tc>
          <w:tcPr>
            <w:tcW w:w="1099" w:type="dxa"/>
            <w:vMerge w:val="restart"/>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预算资金</w:t>
            </w:r>
          </w:p>
        </w:tc>
        <w:tc>
          <w:tcPr>
            <w:tcW w:w="974" w:type="dxa"/>
            <w:vMerge w:val="continue"/>
            <w:vAlign w:val="center"/>
          </w:tcPr>
          <w:p>
            <w:pPr>
              <w:spacing w:line="300" w:lineRule="exact"/>
              <w:jc w:val="center"/>
              <w:rPr>
                <w:rFonts w:hint="eastAsia" w:ascii="仿宋_GB2312" w:hAnsi="仿宋_GB2312" w:eastAsia="仿宋_GB2312" w:cs="仿宋_GB2312"/>
                <w:b/>
              </w:rPr>
            </w:pPr>
          </w:p>
        </w:tc>
        <w:tc>
          <w:tcPr>
            <w:tcW w:w="986" w:type="dxa"/>
            <w:vMerge w:val="continue"/>
            <w:vAlign w:val="center"/>
          </w:tcPr>
          <w:p>
            <w:pPr>
              <w:spacing w:line="300" w:lineRule="exact"/>
              <w:jc w:val="center"/>
              <w:rPr>
                <w:rFonts w:hint="eastAsia" w:ascii="仿宋_GB2312" w:hAnsi="仿宋_GB2312" w:eastAsia="仿宋_GB2312" w:cs="仿宋_GB2312"/>
                <w:b/>
              </w:rPr>
            </w:pPr>
          </w:p>
        </w:tc>
        <w:tc>
          <w:tcPr>
            <w:tcW w:w="760" w:type="dxa"/>
            <w:vMerge w:val="continue"/>
            <w:vAlign w:val="center"/>
          </w:tcPr>
          <w:p>
            <w:pPr>
              <w:spacing w:line="300" w:lineRule="exact"/>
              <w:jc w:val="center"/>
              <w:rPr>
                <w:rFonts w:hint="eastAsia" w:ascii="仿宋_GB2312" w:hAnsi="仿宋_GB2312" w:eastAsia="仿宋_GB2312" w:cs="仿宋_GB2312"/>
                <w:b/>
              </w:rPr>
            </w:pPr>
          </w:p>
        </w:tc>
        <w:tc>
          <w:tcPr>
            <w:tcW w:w="760" w:type="dxa"/>
            <w:vMerge w:val="continue"/>
            <w:vAlign w:val="center"/>
          </w:tcPr>
          <w:p>
            <w:pPr>
              <w:spacing w:line="300" w:lineRule="exact"/>
              <w:jc w:val="center"/>
              <w:rPr>
                <w:rFonts w:hint="eastAsia" w:ascii="仿宋_GB2312" w:hAnsi="仿宋_GB2312" w:eastAsia="仿宋_GB2312" w:cs="仿宋_GB2312"/>
                <w:b/>
              </w:rPr>
            </w:pPr>
          </w:p>
        </w:tc>
        <w:tc>
          <w:tcPr>
            <w:tcW w:w="848" w:type="dxa"/>
            <w:vMerge w:val="continue"/>
            <w:vAlign w:val="center"/>
          </w:tcPr>
          <w:p>
            <w:pPr>
              <w:spacing w:line="300" w:lineRule="exact"/>
              <w:jc w:val="center"/>
              <w:rPr>
                <w:rFonts w:hint="eastAsia" w:ascii="仿宋_GB2312" w:hAnsi="仿宋_GB2312" w:eastAsia="仿宋_GB2312" w:cs="仿宋_GB2312"/>
                <w:b/>
              </w:rPr>
            </w:pPr>
          </w:p>
        </w:tc>
        <w:tc>
          <w:tcPr>
            <w:tcW w:w="961" w:type="dxa"/>
            <w:vMerge w:val="restart"/>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总计</w:t>
            </w:r>
          </w:p>
        </w:tc>
        <w:tc>
          <w:tcPr>
            <w:tcW w:w="4811" w:type="dxa"/>
            <w:gridSpan w:val="5"/>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当年部门预算安排资金</w:t>
            </w:r>
          </w:p>
        </w:tc>
        <w:tc>
          <w:tcPr>
            <w:tcW w:w="921" w:type="dxa"/>
            <w:vMerge w:val="restart"/>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448" w:type="dxa"/>
            <w:vMerge w:val="continue"/>
            <w:vAlign w:val="center"/>
          </w:tcPr>
          <w:p>
            <w:pPr>
              <w:spacing w:line="300" w:lineRule="exact"/>
              <w:jc w:val="center"/>
              <w:rPr>
                <w:rFonts w:hint="eastAsia" w:ascii="仿宋_GB2312" w:hAnsi="仿宋_GB2312" w:eastAsia="仿宋_GB2312" w:cs="仿宋_GB2312"/>
                <w:b/>
              </w:rPr>
            </w:pPr>
          </w:p>
        </w:tc>
        <w:tc>
          <w:tcPr>
            <w:tcW w:w="1099" w:type="dxa"/>
            <w:vMerge w:val="continue"/>
            <w:vAlign w:val="center"/>
          </w:tcPr>
          <w:p>
            <w:pPr>
              <w:spacing w:line="300" w:lineRule="exact"/>
              <w:jc w:val="center"/>
              <w:rPr>
                <w:rFonts w:hint="eastAsia" w:ascii="仿宋_GB2312" w:hAnsi="仿宋_GB2312" w:eastAsia="仿宋_GB2312" w:cs="仿宋_GB2312"/>
                <w:b/>
              </w:rPr>
            </w:pPr>
          </w:p>
        </w:tc>
        <w:tc>
          <w:tcPr>
            <w:tcW w:w="974" w:type="dxa"/>
            <w:vMerge w:val="continue"/>
            <w:vAlign w:val="center"/>
          </w:tcPr>
          <w:p>
            <w:pPr>
              <w:spacing w:line="300" w:lineRule="exact"/>
              <w:jc w:val="center"/>
              <w:rPr>
                <w:rFonts w:hint="eastAsia" w:ascii="仿宋_GB2312" w:hAnsi="仿宋_GB2312" w:eastAsia="仿宋_GB2312" w:cs="仿宋_GB2312"/>
                <w:b/>
              </w:rPr>
            </w:pPr>
          </w:p>
        </w:tc>
        <w:tc>
          <w:tcPr>
            <w:tcW w:w="986" w:type="dxa"/>
            <w:vMerge w:val="continue"/>
            <w:vAlign w:val="center"/>
          </w:tcPr>
          <w:p>
            <w:pPr>
              <w:spacing w:line="300" w:lineRule="exact"/>
              <w:jc w:val="center"/>
              <w:rPr>
                <w:rFonts w:hint="eastAsia" w:ascii="仿宋_GB2312" w:hAnsi="仿宋_GB2312" w:eastAsia="仿宋_GB2312" w:cs="仿宋_GB2312"/>
                <w:b/>
              </w:rPr>
            </w:pPr>
          </w:p>
        </w:tc>
        <w:tc>
          <w:tcPr>
            <w:tcW w:w="760" w:type="dxa"/>
            <w:vMerge w:val="continue"/>
            <w:vAlign w:val="center"/>
          </w:tcPr>
          <w:p>
            <w:pPr>
              <w:spacing w:line="300" w:lineRule="exact"/>
              <w:jc w:val="center"/>
              <w:rPr>
                <w:rFonts w:hint="eastAsia" w:ascii="仿宋_GB2312" w:hAnsi="仿宋_GB2312" w:eastAsia="仿宋_GB2312" w:cs="仿宋_GB2312"/>
                <w:b/>
              </w:rPr>
            </w:pPr>
          </w:p>
        </w:tc>
        <w:tc>
          <w:tcPr>
            <w:tcW w:w="760" w:type="dxa"/>
            <w:vMerge w:val="continue"/>
            <w:vAlign w:val="center"/>
          </w:tcPr>
          <w:p>
            <w:pPr>
              <w:spacing w:line="300" w:lineRule="exact"/>
              <w:jc w:val="center"/>
              <w:rPr>
                <w:rFonts w:hint="eastAsia" w:ascii="仿宋_GB2312" w:hAnsi="仿宋_GB2312" w:eastAsia="仿宋_GB2312" w:cs="仿宋_GB2312"/>
                <w:b/>
              </w:rPr>
            </w:pPr>
          </w:p>
        </w:tc>
        <w:tc>
          <w:tcPr>
            <w:tcW w:w="848" w:type="dxa"/>
            <w:vMerge w:val="continue"/>
            <w:vAlign w:val="center"/>
          </w:tcPr>
          <w:p>
            <w:pPr>
              <w:spacing w:line="300" w:lineRule="exact"/>
              <w:jc w:val="center"/>
              <w:rPr>
                <w:rFonts w:hint="eastAsia" w:ascii="仿宋_GB2312" w:hAnsi="仿宋_GB2312" w:eastAsia="仿宋_GB2312" w:cs="仿宋_GB2312"/>
                <w:b/>
              </w:rPr>
            </w:pPr>
          </w:p>
        </w:tc>
        <w:tc>
          <w:tcPr>
            <w:tcW w:w="961" w:type="dxa"/>
            <w:vMerge w:val="continue"/>
            <w:vAlign w:val="center"/>
          </w:tcPr>
          <w:p>
            <w:pPr>
              <w:spacing w:line="300" w:lineRule="exact"/>
              <w:jc w:val="center"/>
              <w:rPr>
                <w:rFonts w:hint="eastAsia" w:ascii="仿宋_GB2312" w:hAnsi="仿宋_GB2312" w:eastAsia="仿宋_GB2312" w:cs="仿宋_GB2312"/>
                <w:b/>
              </w:rPr>
            </w:pPr>
          </w:p>
        </w:tc>
        <w:tc>
          <w:tcPr>
            <w:tcW w:w="961" w:type="dxa"/>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合计</w:t>
            </w:r>
          </w:p>
        </w:tc>
        <w:tc>
          <w:tcPr>
            <w:tcW w:w="961" w:type="dxa"/>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一般公共预算拨款</w:t>
            </w:r>
          </w:p>
        </w:tc>
        <w:tc>
          <w:tcPr>
            <w:tcW w:w="961" w:type="dxa"/>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基金预算拨款</w:t>
            </w:r>
          </w:p>
        </w:tc>
        <w:tc>
          <w:tcPr>
            <w:tcW w:w="964" w:type="dxa"/>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财政专户核拨</w:t>
            </w:r>
          </w:p>
        </w:tc>
        <w:tc>
          <w:tcPr>
            <w:tcW w:w="964" w:type="dxa"/>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其他来源收入</w:t>
            </w:r>
          </w:p>
        </w:tc>
        <w:tc>
          <w:tcPr>
            <w:tcW w:w="921" w:type="dxa"/>
            <w:vMerge w:val="continue"/>
            <w:vAlign w:val="center"/>
          </w:tcPr>
          <w:p>
            <w:pPr>
              <w:spacing w:line="300" w:lineRule="exact"/>
              <w:jc w:val="left"/>
              <w:outlineLvl w:val="0"/>
              <w:rPr>
                <w:rFonts w:hint="eastAsia" w:ascii="仿宋_GB2312" w:hAnsi="仿宋_GB2312" w:eastAsia="仿宋_GB2312" w:cs="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48" w:type="dxa"/>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合　计</w:t>
            </w:r>
          </w:p>
        </w:tc>
        <w:tc>
          <w:tcPr>
            <w:tcW w:w="1099" w:type="dxa"/>
            <w:vAlign w:val="center"/>
          </w:tcPr>
          <w:p>
            <w:pPr>
              <w:spacing w:line="300" w:lineRule="exact"/>
              <w:jc w:val="center"/>
              <w:rPr>
                <w:rFonts w:hint="eastAsia" w:ascii="仿宋_GB2312" w:hAnsi="仿宋_GB2312" w:eastAsia="仿宋_GB2312" w:cs="仿宋_GB2312"/>
                <w:b/>
              </w:rPr>
            </w:pPr>
          </w:p>
        </w:tc>
        <w:tc>
          <w:tcPr>
            <w:tcW w:w="974" w:type="dxa"/>
            <w:vAlign w:val="center"/>
          </w:tcPr>
          <w:p>
            <w:pPr>
              <w:spacing w:line="300" w:lineRule="exact"/>
              <w:jc w:val="center"/>
              <w:rPr>
                <w:rFonts w:hint="eastAsia" w:ascii="仿宋_GB2312" w:hAnsi="仿宋_GB2312" w:eastAsia="仿宋_GB2312" w:cs="仿宋_GB2312"/>
                <w:b/>
              </w:rPr>
            </w:pPr>
          </w:p>
        </w:tc>
        <w:tc>
          <w:tcPr>
            <w:tcW w:w="986" w:type="dxa"/>
            <w:vAlign w:val="center"/>
          </w:tcPr>
          <w:p>
            <w:pPr>
              <w:spacing w:line="300" w:lineRule="exact"/>
              <w:jc w:val="center"/>
              <w:rPr>
                <w:rFonts w:hint="eastAsia" w:ascii="仿宋_GB2312" w:hAnsi="仿宋_GB2312" w:eastAsia="仿宋_GB2312" w:cs="仿宋_GB2312"/>
                <w:b/>
              </w:rPr>
            </w:pPr>
          </w:p>
        </w:tc>
        <w:tc>
          <w:tcPr>
            <w:tcW w:w="760" w:type="dxa"/>
            <w:vAlign w:val="center"/>
          </w:tcPr>
          <w:p>
            <w:pPr>
              <w:spacing w:line="300" w:lineRule="exact"/>
              <w:jc w:val="center"/>
              <w:rPr>
                <w:rFonts w:hint="eastAsia" w:ascii="仿宋_GB2312" w:hAnsi="仿宋_GB2312" w:eastAsia="仿宋_GB2312" w:cs="仿宋_GB2312"/>
                <w:b/>
              </w:rPr>
            </w:pPr>
          </w:p>
        </w:tc>
        <w:tc>
          <w:tcPr>
            <w:tcW w:w="760" w:type="dxa"/>
            <w:vAlign w:val="center"/>
          </w:tcPr>
          <w:p>
            <w:pPr>
              <w:spacing w:line="300" w:lineRule="exact"/>
              <w:jc w:val="center"/>
              <w:rPr>
                <w:rFonts w:hint="eastAsia" w:ascii="仿宋_GB2312" w:hAnsi="仿宋_GB2312" w:eastAsia="仿宋_GB2312" w:cs="仿宋_GB2312"/>
                <w:b/>
              </w:rPr>
            </w:pPr>
          </w:p>
        </w:tc>
        <w:tc>
          <w:tcPr>
            <w:tcW w:w="848" w:type="dxa"/>
            <w:vAlign w:val="center"/>
          </w:tcPr>
          <w:p>
            <w:pPr>
              <w:spacing w:line="300" w:lineRule="exact"/>
              <w:jc w:val="center"/>
              <w:rPr>
                <w:rFonts w:hint="eastAsia" w:ascii="仿宋_GB2312" w:hAnsi="仿宋_GB2312" w:eastAsia="仿宋_GB2312" w:cs="仿宋_GB2312"/>
                <w:b/>
              </w:rPr>
            </w:pPr>
          </w:p>
        </w:tc>
        <w:tc>
          <w:tcPr>
            <w:tcW w:w="961" w:type="dxa"/>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471.50</w:t>
            </w:r>
          </w:p>
        </w:tc>
        <w:tc>
          <w:tcPr>
            <w:tcW w:w="961" w:type="dxa"/>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471.50</w:t>
            </w:r>
          </w:p>
        </w:tc>
        <w:tc>
          <w:tcPr>
            <w:tcW w:w="961" w:type="dxa"/>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96.50</w:t>
            </w:r>
          </w:p>
        </w:tc>
        <w:tc>
          <w:tcPr>
            <w:tcW w:w="961" w:type="dxa"/>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375.00</w:t>
            </w:r>
          </w:p>
        </w:tc>
        <w:tc>
          <w:tcPr>
            <w:tcW w:w="964" w:type="dxa"/>
            <w:vAlign w:val="center"/>
          </w:tcPr>
          <w:p>
            <w:pPr>
              <w:spacing w:line="300" w:lineRule="exact"/>
              <w:jc w:val="center"/>
              <w:rPr>
                <w:rFonts w:hint="eastAsia" w:ascii="仿宋_GB2312" w:hAnsi="仿宋_GB2312" w:eastAsia="仿宋_GB2312" w:cs="仿宋_GB2312"/>
                <w:b/>
              </w:rPr>
            </w:pPr>
          </w:p>
        </w:tc>
        <w:tc>
          <w:tcPr>
            <w:tcW w:w="964" w:type="dxa"/>
            <w:vAlign w:val="center"/>
          </w:tcPr>
          <w:p>
            <w:pPr>
              <w:spacing w:line="300" w:lineRule="exact"/>
              <w:jc w:val="center"/>
              <w:rPr>
                <w:rFonts w:hint="eastAsia" w:ascii="仿宋_GB2312" w:hAnsi="仿宋_GB2312" w:eastAsia="仿宋_GB2312" w:cs="仿宋_GB2312"/>
                <w:b/>
              </w:rPr>
            </w:pPr>
          </w:p>
        </w:tc>
        <w:tc>
          <w:tcPr>
            <w:tcW w:w="921" w:type="dxa"/>
            <w:vAlign w:val="center"/>
          </w:tcPr>
          <w:p>
            <w:pPr>
              <w:spacing w:line="300" w:lineRule="exact"/>
              <w:jc w:val="right"/>
              <w:rPr>
                <w:rFonts w:hint="eastAsia" w:ascii="仿宋_GB2312" w:hAnsi="仿宋_GB2312" w:eastAsia="仿宋_GB2312" w:cs="仿宋_GB2312"/>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48" w:type="dxa"/>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河北大城经济开发区管理委员会小计</w:t>
            </w:r>
          </w:p>
        </w:tc>
        <w:tc>
          <w:tcPr>
            <w:tcW w:w="1099" w:type="dxa"/>
            <w:vAlign w:val="center"/>
          </w:tcPr>
          <w:p>
            <w:pPr>
              <w:spacing w:line="300" w:lineRule="exact"/>
              <w:jc w:val="center"/>
              <w:rPr>
                <w:rFonts w:hint="eastAsia" w:ascii="仿宋_GB2312" w:hAnsi="仿宋_GB2312" w:eastAsia="仿宋_GB2312" w:cs="仿宋_GB2312"/>
                <w:b/>
              </w:rPr>
            </w:pPr>
          </w:p>
        </w:tc>
        <w:tc>
          <w:tcPr>
            <w:tcW w:w="974" w:type="dxa"/>
            <w:vAlign w:val="center"/>
          </w:tcPr>
          <w:p>
            <w:pPr>
              <w:spacing w:line="300" w:lineRule="exact"/>
              <w:jc w:val="center"/>
              <w:rPr>
                <w:rFonts w:hint="eastAsia" w:ascii="仿宋_GB2312" w:hAnsi="仿宋_GB2312" w:eastAsia="仿宋_GB2312" w:cs="仿宋_GB2312"/>
                <w:b/>
              </w:rPr>
            </w:pPr>
          </w:p>
        </w:tc>
        <w:tc>
          <w:tcPr>
            <w:tcW w:w="986" w:type="dxa"/>
            <w:vAlign w:val="center"/>
          </w:tcPr>
          <w:p>
            <w:pPr>
              <w:spacing w:line="300" w:lineRule="exact"/>
              <w:jc w:val="center"/>
              <w:rPr>
                <w:rFonts w:hint="eastAsia" w:ascii="仿宋_GB2312" w:hAnsi="仿宋_GB2312" w:eastAsia="仿宋_GB2312" w:cs="仿宋_GB2312"/>
                <w:b/>
              </w:rPr>
            </w:pPr>
          </w:p>
        </w:tc>
        <w:tc>
          <w:tcPr>
            <w:tcW w:w="760" w:type="dxa"/>
            <w:vAlign w:val="center"/>
          </w:tcPr>
          <w:p>
            <w:pPr>
              <w:spacing w:line="300" w:lineRule="exact"/>
              <w:jc w:val="center"/>
              <w:rPr>
                <w:rFonts w:hint="eastAsia" w:ascii="仿宋_GB2312" w:hAnsi="仿宋_GB2312" w:eastAsia="仿宋_GB2312" w:cs="仿宋_GB2312"/>
                <w:b/>
              </w:rPr>
            </w:pPr>
          </w:p>
        </w:tc>
        <w:tc>
          <w:tcPr>
            <w:tcW w:w="760" w:type="dxa"/>
            <w:vAlign w:val="center"/>
          </w:tcPr>
          <w:p>
            <w:pPr>
              <w:spacing w:line="300" w:lineRule="exact"/>
              <w:jc w:val="center"/>
              <w:rPr>
                <w:rFonts w:hint="eastAsia" w:ascii="仿宋_GB2312" w:hAnsi="仿宋_GB2312" w:eastAsia="仿宋_GB2312" w:cs="仿宋_GB2312"/>
                <w:b/>
              </w:rPr>
            </w:pPr>
          </w:p>
        </w:tc>
        <w:tc>
          <w:tcPr>
            <w:tcW w:w="848" w:type="dxa"/>
            <w:vAlign w:val="center"/>
          </w:tcPr>
          <w:p>
            <w:pPr>
              <w:spacing w:line="300" w:lineRule="exact"/>
              <w:jc w:val="center"/>
              <w:rPr>
                <w:rFonts w:hint="eastAsia" w:ascii="仿宋_GB2312" w:hAnsi="仿宋_GB2312" w:eastAsia="仿宋_GB2312" w:cs="仿宋_GB2312"/>
                <w:b/>
              </w:rPr>
            </w:pPr>
          </w:p>
        </w:tc>
        <w:tc>
          <w:tcPr>
            <w:tcW w:w="961" w:type="dxa"/>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181.50</w:t>
            </w:r>
          </w:p>
        </w:tc>
        <w:tc>
          <w:tcPr>
            <w:tcW w:w="961" w:type="dxa"/>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181.50</w:t>
            </w:r>
          </w:p>
        </w:tc>
        <w:tc>
          <w:tcPr>
            <w:tcW w:w="961" w:type="dxa"/>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96.50</w:t>
            </w:r>
          </w:p>
        </w:tc>
        <w:tc>
          <w:tcPr>
            <w:tcW w:w="961" w:type="dxa"/>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85.00</w:t>
            </w:r>
          </w:p>
        </w:tc>
        <w:tc>
          <w:tcPr>
            <w:tcW w:w="964" w:type="dxa"/>
            <w:vAlign w:val="center"/>
          </w:tcPr>
          <w:p>
            <w:pPr>
              <w:spacing w:line="300" w:lineRule="exact"/>
              <w:jc w:val="center"/>
              <w:rPr>
                <w:rFonts w:hint="eastAsia" w:ascii="仿宋_GB2312" w:hAnsi="仿宋_GB2312" w:eastAsia="仿宋_GB2312" w:cs="仿宋_GB2312"/>
                <w:b/>
              </w:rPr>
            </w:pPr>
          </w:p>
        </w:tc>
        <w:tc>
          <w:tcPr>
            <w:tcW w:w="964" w:type="dxa"/>
            <w:vAlign w:val="center"/>
          </w:tcPr>
          <w:p>
            <w:pPr>
              <w:spacing w:line="300" w:lineRule="exact"/>
              <w:jc w:val="center"/>
              <w:rPr>
                <w:rFonts w:hint="eastAsia" w:ascii="仿宋_GB2312" w:hAnsi="仿宋_GB2312" w:eastAsia="仿宋_GB2312" w:cs="仿宋_GB2312"/>
                <w:b/>
              </w:rPr>
            </w:pPr>
          </w:p>
        </w:tc>
        <w:tc>
          <w:tcPr>
            <w:tcW w:w="921" w:type="dxa"/>
            <w:vAlign w:val="center"/>
          </w:tcPr>
          <w:p>
            <w:pPr>
              <w:spacing w:line="300" w:lineRule="exact"/>
              <w:jc w:val="right"/>
              <w:rPr>
                <w:rFonts w:hint="eastAsia" w:ascii="仿宋_GB2312" w:hAnsi="仿宋_GB2312" w:eastAsia="仿宋_GB2312" w:cs="仿宋_GB2312"/>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48" w:type="dxa"/>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浦东路和深圳大街沿石更换工程</w:t>
            </w:r>
          </w:p>
        </w:tc>
        <w:tc>
          <w:tcPr>
            <w:tcW w:w="1099" w:type="dxa"/>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100.00</w:t>
            </w:r>
          </w:p>
        </w:tc>
        <w:tc>
          <w:tcPr>
            <w:tcW w:w="974" w:type="dxa"/>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工程</w:t>
            </w:r>
          </w:p>
        </w:tc>
        <w:tc>
          <w:tcPr>
            <w:tcW w:w="986" w:type="dxa"/>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B</w:t>
            </w:r>
          </w:p>
        </w:tc>
        <w:tc>
          <w:tcPr>
            <w:tcW w:w="760" w:type="dxa"/>
            <w:vAlign w:val="center"/>
          </w:tcPr>
          <w:p>
            <w:pPr>
              <w:spacing w:line="300" w:lineRule="exact"/>
              <w:jc w:val="left"/>
              <w:rPr>
                <w:rFonts w:hint="eastAsia" w:ascii="仿宋_GB2312" w:hAnsi="仿宋_GB2312" w:eastAsia="仿宋_GB2312" w:cs="仿宋_GB2312"/>
              </w:rPr>
            </w:pPr>
          </w:p>
        </w:tc>
        <w:tc>
          <w:tcPr>
            <w:tcW w:w="760" w:type="dxa"/>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1.00</w:t>
            </w:r>
          </w:p>
        </w:tc>
        <w:tc>
          <w:tcPr>
            <w:tcW w:w="848" w:type="dxa"/>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96.50</w:t>
            </w:r>
          </w:p>
        </w:tc>
        <w:tc>
          <w:tcPr>
            <w:tcW w:w="961" w:type="dxa"/>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96.50</w:t>
            </w:r>
          </w:p>
        </w:tc>
        <w:tc>
          <w:tcPr>
            <w:tcW w:w="961" w:type="dxa"/>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96.50</w:t>
            </w:r>
          </w:p>
        </w:tc>
        <w:tc>
          <w:tcPr>
            <w:tcW w:w="961" w:type="dxa"/>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96.50</w:t>
            </w:r>
          </w:p>
        </w:tc>
        <w:tc>
          <w:tcPr>
            <w:tcW w:w="961" w:type="dxa"/>
            <w:vAlign w:val="center"/>
          </w:tcPr>
          <w:p>
            <w:pPr>
              <w:spacing w:line="300" w:lineRule="exact"/>
              <w:jc w:val="left"/>
              <w:rPr>
                <w:rFonts w:hint="eastAsia" w:ascii="仿宋_GB2312" w:hAnsi="仿宋_GB2312" w:eastAsia="仿宋_GB2312" w:cs="仿宋_GB2312"/>
              </w:rPr>
            </w:pPr>
          </w:p>
        </w:tc>
        <w:tc>
          <w:tcPr>
            <w:tcW w:w="964" w:type="dxa"/>
            <w:vAlign w:val="center"/>
          </w:tcPr>
          <w:p>
            <w:pPr>
              <w:spacing w:line="300" w:lineRule="exact"/>
              <w:jc w:val="left"/>
              <w:rPr>
                <w:rFonts w:hint="eastAsia" w:ascii="仿宋_GB2312" w:hAnsi="仿宋_GB2312" w:eastAsia="仿宋_GB2312" w:cs="仿宋_GB2312"/>
              </w:rPr>
            </w:pPr>
          </w:p>
        </w:tc>
        <w:tc>
          <w:tcPr>
            <w:tcW w:w="964" w:type="dxa"/>
            <w:vAlign w:val="center"/>
          </w:tcPr>
          <w:p>
            <w:pPr>
              <w:spacing w:line="300" w:lineRule="exact"/>
              <w:jc w:val="right"/>
              <w:rPr>
                <w:rFonts w:hint="eastAsia" w:ascii="仿宋_GB2312" w:hAnsi="仿宋_GB2312" w:eastAsia="仿宋_GB2312" w:cs="仿宋_GB2312"/>
              </w:rPr>
            </w:pPr>
          </w:p>
        </w:tc>
        <w:tc>
          <w:tcPr>
            <w:tcW w:w="921" w:type="dxa"/>
            <w:vAlign w:val="center"/>
          </w:tcPr>
          <w:p>
            <w:pPr>
              <w:spacing w:line="300" w:lineRule="exact"/>
              <w:jc w:val="right"/>
              <w:rPr>
                <w:rFonts w:hint="eastAsia" w:ascii="仿宋_GB2312" w:hAnsi="仿宋_GB2312" w:eastAsia="仿宋_GB2312" w:cs="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48" w:type="dxa"/>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修建下水管道工程</w:t>
            </w:r>
          </w:p>
        </w:tc>
        <w:tc>
          <w:tcPr>
            <w:tcW w:w="1099" w:type="dxa"/>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50.00</w:t>
            </w:r>
          </w:p>
        </w:tc>
        <w:tc>
          <w:tcPr>
            <w:tcW w:w="974" w:type="dxa"/>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工程</w:t>
            </w:r>
          </w:p>
        </w:tc>
        <w:tc>
          <w:tcPr>
            <w:tcW w:w="986" w:type="dxa"/>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B</w:t>
            </w:r>
          </w:p>
        </w:tc>
        <w:tc>
          <w:tcPr>
            <w:tcW w:w="760" w:type="dxa"/>
            <w:vAlign w:val="center"/>
          </w:tcPr>
          <w:p>
            <w:pPr>
              <w:spacing w:line="300" w:lineRule="exact"/>
              <w:jc w:val="left"/>
              <w:rPr>
                <w:rFonts w:hint="eastAsia" w:ascii="仿宋_GB2312" w:hAnsi="仿宋_GB2312" w:eastAsia="仿宋_GB2312" w:cs="仿宋_GB2312"/>
              </w:rPr>
            </w:pPr>
          </w:p>
        </w:tc>
        <w:tc>
          <w:tcPr>
            <w:tcW w:w="760" w:type="dxa"/>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1.00</w:t>
            </w:r>
          </w:p>
        </w:tc>
        <w:tc>
          <w:tcPr>
            <w:tcW w:w="848" w:type="dxa"/>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30.00</w:t>
            </w:r>
          </w:p>
        </w:tc>
        <w:tc>
          <w:tcPr>
            <w:tcW w:w="961" w:type="dxa"/>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30.00</w:t>
            </w:r>
          </w:p>
        </w:tc>
        <w:tc>
          <w:tcPr>
            <w:tcW w:w="961" w:type="dxa"/>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30.00</w:t>
            </w:r>
          </w:p>
        </w:tc>
        <w:tc>
          <w:tcPr>
            <w:tcW w:w="961" w:type="dxa"/>
            <w:vAlign w:val="center"/>
          </w:tcPr>
          <w:p>
            <w:pPr>
              <w:spacing w:line="300" w:lineRule="exact"/>
              <w:jc w:val="left"/>
              <w:rPr>
                <w:rFonts w:hint="eastAsia" w:ascii="仿宋_GB2312" w:hAnsi="仿宋_GB2312" w:eastAsia="仿宋_GB2312" w:cs="仿宋_GB2312"/>
              </w:rPr>
            </w:pPr>
          </w:p>
        </w:tc>
        <w:tc>
          <w:tcPr>
            <w:tcW w:w="961" w:type="dxa"/>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30.00</w:t>
            </w:r>
          </w:p>
        </w:tc>
        <w:tc>
          <w:tcPr>
            <w:tcW w:w="964" w:type="dxa"/>
            <w:vAlign w:val="center"/>
          </w:tcPr>
          <w:p>
            <w:pPr>
              <w:spacing w:line="300" w:lineRule="exact"/>
              <w:jc w:val="left"/>
              <w:rPr>
                <w:rFonts w:hint="eastAsia" w:ascii="仿宋_GB2312" w:hAnsi="仿宋_GB2312" w:eastAsia="仿宋_GB2312" w:cs="仿宋_GB2312"/>
              </w:rPr>
            </w:pPr>
          </w:p>
        </w:tc>
        <w:tc>
          <w:tcPr>
            <w:tcW w:w="964" w:type="dxa"/>
            <w:vAlign w:val="center"/>
          </w:tcPr>
          <w:p>
            <w:pPr>
              <w:spacing w:line="300" w:lineRule="exact"/>
              <w:jc w:val="right"/>
              <w:rPr>
                <w:rFonts w:hint="eastAsia" w:ascii="仿宋_GB2312" w:hAnsi="仿宋_GB2312" w:eastAsia="仿宋_GB2312" w:cs="仿宋_GB2312"/>
              </w:rPr>
            </w:pPr>
          </w:p>
        </w:tc>
        <w:tc>
          <w:tcPr>
            <w:tcW w:w="921" w:type="dxa"/>
            <w:vAlign w:val="center"/>
          </w:tcPr>
          <w:p>
            <w:pPr>
              <w:spacing w:line="300" w:lineRule="exact"/>
              <w:jc w:val="right"/>
              <w:rPr>
                <w:rFonts w:hint="eastAsia" w:ascii="仿宋_GB2312" w:hAnsi="仿宋_GB2312" w:eastAsia="仿宋_GB2312" w:cs="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48" w:type="dxa"/>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深圳大街维修工程</w:t>
            </w:r>
          </w:p>
        </w:tc>
        <w:tc>
          <w:tcPr>
            <w:tcW w:w="1099" w:type="dxa"/>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70.00</w:t>
            </w:r>
          </w:p>
        </w:tc>
        <w:tc>
          <w:tcPr>
            <w:tcW w:w="974" w:type="dxa"/>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工程</w:t>
            </w:r>
          </w:p>
        </w:tc>
        <w:tc>
          <w:tcPr>
            <w:tcW w:w="986" w:type="dxa"/>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B</w:t>
            </w:r>
          </w:p>
        </w:tc>
        <w:tc>
          <w:tcPr>
            <w:tcW w:w="760" w:type="dxa"/>
            <w:vAlign w:val="center"/>
          </w:tcPr>
          <w:p>
            <w:pPr>
              <w:spacing w:line="300" w:lineRule="exact"/>
              <w:jc w:val="left"/>
              <w:rPr>
                <w:rFonts w:hint="eastAsia" w:ascii="仿宋_GB2312" w:hAnsi="仿宋_GB2312" w:eastAsia="仿宋_GB2312" w:cs="仿宋_GB2312"/>
              </w:rPr>
            </w:pPr>
          </w:p>
        </w:tc>
        <w:tc>
          <w:tcPr>
            <w:tcW w:w="760" w:type="dxa"/>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1.00</w:t>
            </w:r>
          </w:p>
        </w:tc>
        <w:tc>
          <w:tcPr>
            <w:tcW w:w="848" w:type="dxa"/>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55.00</w:t>
            </w:r>
          </w:p>
        </w:tc>
        <w:tc>
          <w:tcPr>
            <w:tcW w:w="961" w:type="dxa"/>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55.00</w:t>
            </w:r>
          </w:p>
        </w:tc>
        <w:tc>
          <w:tcPr>
            <w:tcW w:w="961" w:type="dxa"/>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55.00</w:t>
            </w:r>
          </w:p>
        </w:tc>
        <w:tc>
          <w:tcPr>
            <w:tcW w:w="961" w:type="dxa"/>
            <w:vAlign w:val="center"/>
          </w:tcPr>
          <w:p>
            <w:pPr>
              <w:spacing w:line="300" w:lineRule="exact"/>
              <w:jc w:val="left"/>
              <w:rPr>
                <w:rFonts w:hint="eastAsia" w:ascii="仿宋_GB2312" w:hAnsi="仿宋_GB2312" w:eastAsia="仿宋_GB2312" w:cs="仿宋_GB2312"/>
              </w:rPr>
            </w:pPr>
          </w:p>
        </w:tc>
        <w:tc>
          <w:tcPr>
            <w:tcW w:w="961" w:type="dxa"/>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55.00</w:t>
            </w:r>
          </w:p>
        </w:tc>
        <w:tc>
          <w:tcPr>
            <w:tcW w:w="964" w:type="dxa"/>
            <w:vAlign w:val="center"/>
          </w:tcPr>
          <w:p>
            <w:pPr>
              <w:spacing w:line="300" w:lineRule="exact"/>
              <w:jc w:val="left"/>
              <w:rPr>
                <w:rFonts w:hint="eastAsia" w:ascii="仿宋_GB2312" w:hAnsi="仿宋_GB2312" w:eastAsia="仿宋_GB2312" w:cs="仿宋_GB2312"/>
              </w:rPr>
            </w:pPr>
          </w:p>
        </w:tc>
        <w:tc>
          <w:tcPr>
            <w:tcW w:w="964" w:type="dxa"/>
            <w:vAlign w:val="center"/>
          </w:tcPr>
          <w:p>
            <w:pPr>
              <w:spacing w:line="300" w:lineRule="exact"/>
              <w:jc w:val="right"/>
              <w:rPr>
                <w:rFonts w:hint="eastAsia" w:ascii="仿宋_GB2312" w:hAnsi="仿宋_GB2312" w:eastAsia="仿宋_GB2312" w:cs="仿宋_GB2312"/>
              </w:rPr>
            </w:pPr>
          </w:p>
        </w:tc>
        <w:tc>
          <w:tcPr>
            <w:tcW w:w="921" w:type="dxa"/>
            <w:vAlign w:val="center"/>
          </w:tcPr>
          <w:p>
            <w:pPr>
              <w:spacing w:line="300" w:lineRule="exact"/>
              <w:jc w:val="right"/>
              <w:rPr>
                <w:rFonts w:hint="eastAsia" w:ascii="仿宋_GB2312" w:hAnsi="仿宋_GB2312" w:eastAsia="仿宋_GB2312" w:cs="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48" w:type="dxa"/>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气雾剂产业园管理办公室小计</w:t>
            </w:r>
          </w:p>
        </w:tc>
        <w:tc>
          <w:tcPr>
            <w:tcW w:w="1099" w:type="dxa"/>
            <w:vAlign w:val="center"/>
          </w:tcPr>
          <w:p>
            <w:pPr>
              <w:spacing w:line="300" w:lineRule="exact"/>
              <w:jc w:val="right"/>
              <w:rPr>
                <w:rFonts w:hint="eastAsia" w:ascii="仿宋_GB2312" w:hAnsi="仿宋_GB2312" w:eastAsia="仿宋_GB2312" w:cs="仿宋_GB2312"/>
                <w:b/>
              </w:rPr>
            </w:pPr>
          </w:p>
        </w:tc>
        <w:tc>
          <w:tcPr>
            <w:tcW w:w="974" w:type="dxa"/>
            <w:vAlign w:val="center"/>
          </w:tcPr>
          <w:p>
            <w:pPr>
              <w:spacing w:line="300" w:lineRule="exact"/>
              <w:jc w:val="left"/>
              <w:rPr>
                <w:rFonts w:hint="eastAsia" w:ascii="仿宋_GB2312" w:hAnsi="仿宋_GB2312" w:eastAsia="仿宋_GB2312" w:cs="仿宋_GB2312"/>
                <w:b/>
              </w:rPr>
            </w:pPr>
          </w:p>
        </w:tc>
        <w:tc>
          <w:tcPr>
            <w:tcW w:w="986" w:type="dxa"/>
            <w:vAlign w:val="center"/>
          </w:tcPr>
          <w:p>
            <w:pPr>
              <w:spacing w:line="300" w:lineRule="exact"/>
              <w:jc w:val="left"/>
              <w:rPr>
                <w:rFonts w:hint="eastAsia" w:ascii="仿宋_GB2312" w:hAnsi="仿宋_GB2312" w:eastAsia="仿宋_GB2312" w:cs="仿宋_GB2312"/>
                <w:b/>
              </w:rPr>
            </w:pPr>
          </w:p>
        </w:tc>
        <w:tc>
          <w:tcPr>
            <w:tcW w:w="760" w:type="dxa"/>
            <w:vAlign w:val="center"/>
          </w:tcPr>
          <w:p>
            <w:pPr>
              <w:spacing w:line="300" w:lineRule="exact"/>
              <w:jc w:val="left"/>
              <w:rPr>
                <w:rFonts w:hint="eastAsia" w:ascii="仿宋_GB2312" w:hAnsi="仿宋_GB2312" w:eastAsia="仿宋_GB2312" w:cs="仿宋_GB2312"/>
                <w:b/>
              </w:rPr>
            </w:pPr>
          </w:p>
        </w:tc>
        <w:tc>
          <w:tcPr>
            <w:tcW w:w="760" w:type="dxa"/>
            <w:vAlign w:val="center"/>
          </w:tcPr>
          <w:p>
            <w:pPr>
              <w:spacing w:line="300" w:lineRule="exact"/>
              <w:jc w:val="right"/>
              <w:rPr>
                <w:rFonts w:hint="eastAsia" w:ascii="仿宋_GB2312" w:hAnsi="仿宋_GB2312" w:eastAsia="仿宋_GB2312" w:cs="仿宋_GB2312"/>
                <w:b/>
              </w:rPr>
            </w:pPr>
          </w:p>
        </w:tc>
        <w:tc>
          <w:tcPr>
            <w:tcW w:w="848" w:type="dxa"/>
            <w:vAlign w:val="center"/>
          </w:tcPr>
          <w:p>
            <w:pPr>
              <w:spacing w:line="300" w:lineRule="exact"/>
              <w:jc w:val="right"/>
              <w:rPr>
                <w:rFonts w:hint="eastAsia" w:ascii="仿宋_GB2312" w:hAnsi="仿宋_GB2312" w:eastAsia="仿宋_GB2312" w:cs="仿宋_GB2312"/>
                <w:b/>
              </w:rPr>
            </w:pPr>
          </w:p>
        </w:tc>
        <w:tc>
          <w:tcPr>
            <w:tcW w:w="961" w:type="dxa"/>
            <w:vAlign w:val="center"/>
          </w:tcPr>
          <w:p>
            <w:pPr>
              <w:spacing w:line="300" w:lineRule="exact"/>
              <w:jc w:val="right"/>
              <w:rPr>
                <w:rFonts w:hint="eastAsia" w:ascii="仿宋_GB2312" w:hAnsi="仿宋_GB2312" w:eastAsia="仿宋_GB2312" w:cs="仿宋_GB2312"/>
                <w:b/>
              </w:rPr>
            </w:pPr>
            <w:r>
              <w:rPr>
                <w:rFonts w:hint="eastAsia" w:ascii="仿宋_GB2312" w:hAnsi="仿宋_GB2312" w:eastAsia="仿宋_GB2312" w:cs="仿宋_GB2312"/>
                <w:b/>
              </w:rPr>
              <w:t>290.00</w:t>
            </w:r>
          </w:p>
        </w:tc>
        <w:tc>
          <w:tcPr>
            <w:tcW w:w="961" w:type="dxa"/>
            <w:vAlign w:val="center"/>
          </w:tcPr>
          <w:p>
            <w:pPr>
              <w:spacing w:line="300" w:lineRule="exact"/>
              <w:jc w:val="right"/>
              <w:rPr>
                <w:rFonts w:hint="eastAsia" w:ascii="仿宋_GB2312" w:hAnsi="仿宋_GB2312" w:eastAsia="仿宋_GB2312" w:cs="仿宋_GB2312"/>
                <w:b/>
              </w:rPr>
            </w:pPr>
            <w:r>
              <w:rPr>
                <w:rFonts w:hint="eastAsia" w:ascii="仿宋_GB2312" w:hAnsi="仿宋_GB2312" w:eastAsia="仿宋_GB2312" w:cs="仿宋_GB2312"/>
                <w:b/>
              </w:rPr>
              <w:t>290.00</w:t>
            </w:r>
          </w:p>
        </w:tc>
        <w:tc>
          <w:tcPr>
            <w:tcW w:w="961" w:type="dxa"/>
            <w:vAlign w:val="center"/>
          </w:tcPr>
          <w:p>
            <w:pPr>
              <w:spacing w:line="300" w:lineRule="exact"/>
              <w:jc w:val="right"/>
              <w:rPr>
                <w:rFonts w:hint="eastAsia" w:ascii="仿宋_GB2312" w:hAnsi="仿宋_GB2312" w:eastAsia="仿宋_GB2312" w:cs="仿宋_GB2312"/>
                <w:b/>
              </w:rPr>
            </w:pPr>
          </w:p>
        </w:tc>
        <w:tc>
          <w:tcPr>
            <w:tcW w:w="961" w:type="dxa"/>
            <w:vAlign w:val="center"/>
          </w:tcPr>
          <w:p>
            <w:pPr>
              <w:spacing w:line="300" w:lineRule="exact"/>
              <w:jc w:val="right"/>
              <w:rPr>
                <w:rFonts w:hint="eastAsia" w:ascii="仿宋_GB2312" w:hAnsi="仿宋_GB2312" w:eastAsia="仿宋_GB2312" w:cs="仿宋_GB2312"/>
                <w:b/>
              </w:rPr>
            </w:pPr>
            <w:r>
              <w:rPr>
                <w:rFonts w:hint="eastAsia" w:ascii="仿宋_GB2312" w:hAnsi="仿宋_GB2312" w:eastAsia="仿宋_GB2312" w:cs="仿宋_GB2312"/>
                <w:b/>
              </w:rPr>
              <w:t>290.00</w:t>
            </w:r>
          </w:p>
        </w:tc>
        <w:tc>
          <w:tcPr>
            <w:tcW w:w="964" w:type="dxa"/>
            <w:vAlign w:val="center"/>
          </w:tcPr>
          <w:p>
            <w:pPr>
              <w:spacing w:line="300" w:lineRule="exact"/>
              <w:jc w:val="right"/>
              <w:rPr>
                <w:rFonts w:hint="eastAsia" w:ascii="仿宋_GB2312" w:hAnsi="仿宋_GB2312" w:eastAsia="仿宋_GB2312" w:cs="仿宋_GB2312"/>
                <w:b/>
              </w:rPr>
            </w:pPr>
          </w:p>
        </w:tc>
        <w:tc>
          <w:tcPr>
            <w:tcW w:w="964" w:type="dxa"/>
            <w:vAlign w:val="center"/>
          </w:tcPr>
          <w:p>
            <w:pPr>
              <w:spacing w:line="300" w:lineRule="exact"/>
              <w:jc w:val="right"/>
              <w:rPr>
                <w:rFonts w:hint="eastAsia" w:ascii="仿宋_GB2312" w:hAnsi="仿宋_GB2312" w:eastAsia="仿宋_GB2312" w:cs="仿宋_GB2312"/>
                <w:b/>
              </w:rPr>
            </w:pPr>
          </w:p>
        </w:tc>
        <w:tc>
          <w:tcPr>
            <w:tcW w:w="921" w:type="dxa"/>
            <w:vAlign w:val="center"/>
          </w:tcPr>
          <w:p>
            <w:pPr>
              <w:spacing w:line="300" w:lineRule="exact"/>
              <w:jc w:val="right"/>
              <w:rPr>
                <w:rFonts w:hint="eastAsia" w:ascii="仿宋_GB2312" w:hAnsi="仿宋_GB2312" w:eastAsia="仿宋_GB2312" w:cs="仿宋_GB2312"/>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48" w:type="dxa"/>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气雾剂产业园智慧园区编制</w:t>
            </w:r>
          </w:p>
        </w:tc>
        <w:tc>
          <w:tcPr>
            <w:tcW w:w="1099" w:type="dxa"/>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66.00</w:t>
            </w:r>
          </w:p>
        </w:tc>
        <w:tc>
          <w:tcPr>
            <w:tcW w:w="974" w:type="dxa"/>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服务</w:t>
            </w:r>
          </w:p>
        </w:tc>
        <w:tc>
          <w:tcPr>
            <w:tcW w:w="986" w:type="dxa"/>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C</w:t>
            </w:r>
          </w:p>
        </w:tc>
        <w:tc>
          <w:tcPr>
            <w:tcW w:w="760" w:type="dxa"/>
            <w:vAlign w:val="center"/>
          </w:tcPr>
          <w:p>
            <w:pPr>
              <w:spacing w:line="300" w:lineRule="exact"/>
              <w:jc w:val="center"/>
              <w:rPr>
                <w:rFonts w:hint="eastAsia" w:ascii="仿宋_GB2312" w:hAnsi="仿宋_GB2312" w:eastAsia="仿宋_GB2312" w:cs="仿宋_GB2312"/>
              </w:rPr>
            </w:pPr>
          </w:p>
        </w:tc>
        <w:tc>
          <w:tcPr>
            <w:tcW w:w="760" w:type="dxa"/>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1.00</w:t>
            </w:r>
          </w:p>
        </w:tc>
        <w:tc>
          <w:tcPr>
            <w:tcW w:w="848" w:type="dxa"/>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66.00</w:t>
            </w:r>
          </w:p>
        </w:tc>
        <w:tc>
          <w:tcPr>
            <w:tcW w:w="961" w:type="dxa"/>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66.00</w:t>
            </w:r>
          </w:p>
        </w:tc>
        <w:tc>
          <w:tcPr>
            <w:tcW w:w="961" w:type="dxa"/>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66.00</w:t>
            </w:r>
          </w:p>
        </w:tc>
        <w:tc>
          <w:tcPr>
            <w:tcW w:w="961" w:type="dxa"/>
            <w:vAlign w:val="center"/>
          </w:tcPr>
          <w:p>
            <w:pPr>
              <w:spacing w:line="300" w:lineRule="exact"/>
              <w:jc w:val="center"/>
              <w:rPr>
                <w:rFonts w:hint="eastAsia" w:ascii="仿宋_GB2312" w:hAnsi="仿宋_GB2312" w:eastAsia="仿宋_GB2312" w:cs="仿宋_GB2312"/>
              </w:rPr>
            </w:pPr>
          </w:p>
        </w:tc>
        <w:tc>
          <w:tcPr>
            <w:tcW w:w="961" w:type="dxa"/>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66.00</w:t>
            </w:r>
          </w:p>
        </w:tc>
        <w:tc>
          <w:tcPr>
            <w:tcW w:w="964" w:type="dxa"/>
            <w:vAlign w:val="center"/>
          </w:tcPr>
          <w:p>
            <w:pPr>
              <w:spacing w:line="300" w:lineRule="exact"/>
              <w:jc w:val="right"/>
              <w:rPr>
                <w:rFonts w:hint="eastAsia" w:ascii="仿宋_GB2312" w:hAnsi="仿宋_GB2312" w:eastAsia="仿宋_GB2312" w:cs="仿宋_GB2312"/>
              </w:rPr>
            </w:pPr>
          </w:p>
        </w:tc>
        <w:tc>
          <w:tcPr>
            <w:tcW w:w="964" w:type="dxa"/>
            <w:vAlign w:val="center"/>
          </w:tcPr>
          <w:p>
            <w:pPr>
              <w:spacing w:line="300" w:lineRule="exact"/>
              <w:jc w:val="right"/>
              <w:rPr>
                <w:rFonts w:hint="eastAsia" w:ascii="仿宋_GB2312" w:hAnsi="仿宋_GB2312" w:eastAsia="仿宋_GB2312" w:cs="仿宋_GB2312"/>
              </w:rPr>
            </w:pPr>
          </w:p>
        </w:tc>
        <w:tc>
          <w:tcPr>
            <w:tcW w:w="921" w:type="dxa"/>
            <w:vAlign w:val="center"/>
          </w:tcPr>
          <w:p>
            <w:pPr>
              <w:spacing w:line="300" w:lineRule="exact"/>
              <w:jc w:val="right"/>
              <w:rPr>
                <w:rFonts w:hint="eastAsia" w:ascii="仿宋_GB2312" w:hAnsi="仿宋_GB2312" w:eastAsia="仿宋_GB2312" w:cs="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48" w:type="dxa"/>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专项规划编制经费</w:t>
            </w:r>
          </w:p>
        </w:tc>
        <w:tc>
          <w:tcPr>
            <w:tcW w:w="1099" w:type="dxa"/>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8.00</w:t>
            </w:r>
          </w:p>
        </w:tc>
        <w:tc>
          <w:tcPr>
            <w:tcW w:w="974" w:type="dxa"/>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服务</w:t>
            </w:r>
          </w:p>
        </w:tc>
        <w:tc>
          <w:tcPr>
            <w:tcW w:w="986" w:type="dxa"/>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C</w:t>
            </w:r>
          </w:p>
        </w:tc>
        <w:tc>
          <w:tcPr>
            <w:tcW w:w="760" w:type="dxa"/>
            <w:vAlign w:val="center"/>
          </w:tcPr>
          <w:p>
            <w:pPr>
              <w:spacing w:line="300" w:lineRule="exact"/>
              <w:jc w:val="center"/>
              <w:rPr>
                <w:rFonts w:hint="eastAsia" w:ascii="仿宋_GB2312" w:hAnsi="仿宋_GB2312" w:eastAsia="仿宋_GB2312" w:cs="仿宋_GB2312"/>
              </w:rPr>
            </w:pPr>
          </w:p>
        </w:tc>
        <w:tc>
          <w:tcPr>
            <w:tcW w:w="760" w:type="dxa"/>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1.00</w:t>
            </w:r>
          </w:p>
        </w:tc>
        <w:tc>
          <w:tcPr>
            <w:tcW w:w="848" w:type="dxa"/>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8.00</w:t>
            </w:r>
          </w:p>
        </w:tc>
        <w:tc>
          <w:tcPr>
            <w:tcW w:w="961" w:type="dxa"/>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8.00</w:t>
            </w:r>
          </w:p>
        </w:tc>
        <w:tc>
          <w:tcPr>
            <w:tcW w:w="961" w:type="dxa"/>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8.00</w:t>
            </w:r>
          </w:p>
        </w:tc>
        <w:tc>
          <w:tcPr>
            <w:tcW w:w="961" w:type="dxa"/>
            <w:vAlign w:val="center"/>
          </w:tcPr>
          <w:p>
            <w:pPr>
              <w:spacing w:line="300" w:lineRule="exact"/>
              <w:jc w:val="center"/>
              <w:rPr>
                <w:rFonts w:hint="eastAsia" w:ascii="仿宋_GB2312" w:hAnsi="仿宋_GB2312" w:eastAsia="仿宋_GB2312" w:cs="仿宋_GB2312"/>
              </w:rPr>
            </w:pPr>
          </w:p>
        </w:tc>
        <w:tc>
          <w:tcPr>
            <w:tcW w:w="961" w:type="dxa"/>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8.00</w:t>
            </w:r>
          </w:p>
        </w:tc>
        <w:tc>
          <w:tcPr>
            <w:tcW w:w="964" w:type="dxa"/>
            <w:vAlign w:val="center"/>
          </w:tcPr>
          <w:p>
            <w:pPr>
              <w:spacing w:line="300" w:lineRule="exact"/>
              <w:jc w:val="right"/>
              <w:rPr>
                <w:rFonts w:hint="eastAsia" w:ascii="仿宋_GB2312" w:hAnsi="仿宋_GB2312" w:eastAsia="仿宋_GB2312" w:cs="仿宋_GB2312"/>
              </w:rPr>
            </w:pPr>
          </w:p>
        </w:tc>
        <w:tc>
          <w:tcPr>
            <w:tcW w:w="964" w:type="dxa"/>
            <w:vAlign w:val="center"/>
          </w:tcPr>
          <w:p>
            <w:pPr>
              <w:spacing w:line="300" w:lineRule="exact"/>
              <w:jc w:val="right"/>
              <w:rPr>
                <w:rFonts w:hint="eastAsia" w:ascii="仿宋_GB2312" w:hAnsi="仿宋_GB2312" w:eastAsia="仿宋_GB2312" w:cs="仿宋_GB2312"/>
              </w:rPr>
            </w:pPr>
          </w:p>
        </w:tc>
        <w:tc>
          <w:tcPr>
            <w:tcW w:w="921" w:type="dxa"/>
            <w:vAlign w:val="center"/>
          </w:tcPr>
          <w:p>
            <w:pPr>
              <w:spacing w:line="300" w:lineRule="exact"/>
              <w:jc w:val="right"/>
              <w:rPr>
                <w:rFonts w:hint="eastAsia" w:ascii="仿宋_GB2312" w:hAnsi="仿宋_GB2312" w:eastAsia="仿宋_GB2312" w:cs="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48" w:type="dxa"/>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气雾剂产业园给水主管道工程项目</w:t>
            </w:r>
          </w:p>
        </w:tc>
        <w:tc>
          <w:tcPr>
            <w:tcW w:w="1099" w:type="dxa"/>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150.00</w:t>
            </w:r>
          </w:p>
        </w:tc>
        <w:tc>
          <w:tcPr>
            <w:tcW w:w="974" w:type="dxa"/>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工程</w:t>
            </w:r>
          </w:p>
        </w:tc>
        <w:tc>
          <w:tcPr>
            <w:tcW w:w="986" w:type="dxa"/>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B</w:t>
            </w:r>
          </w:p>
        </w:tc>
        <w:tc>
          <w:tcPr>
            <w:tcW w:w="760" w:type="dxa"/>
            <w:vAlign w:val="center"/>
          </w:tcPr>
          <w:p>
            <w:pPr>
              <w:spacing w:line="300" w:lineRule="exact"/>
              <w:jc w:val="center"/>
              <w:rPr>
                <w:rFonts w:hint="eastAsia" w:ascii="仿宋_GB2312" w:hAnsi="仿宋_GB2312" w:eastAsia="仿宋_GB2312" w:cs="仿宋_GB2312"/>
              </w:rPr>
            </w:pPr>
          </w:p>
        </w:tc>
        <w:tc>
          <w:tcPr>
            <w:tcW w:w="760" w:type="dxa"/>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1.00</w:t>
            </w:r>
          </w:p>
        </w:tc>
        <w:tc>
          <w:tcPr>
            <w:tcW w:w="848" w:type="dxa"/>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150.00</w:t>
            </w:r>
          </w:p>
        </w:tc>
        <w:tc>
          <w:tcPr>
            <w:tcW w:w="961" w:type="dxa"/>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150.00</w:t>
            </w:r>
          </w:p>
        </w:tc>
        <w:tc>
          <w:tcPr>
            <w:tcW w:w="961" w:type="dxa"/>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150.00</w:t>
            </w:r>
          </w:p>
        </w:tc>
        <w:tc>
          <w:tcPr>
            <w:tcW w:w="961" w:type="dxa"/>
            <w:vAlign w:val="center"/>
          </w:tcPr>
          <w:p>
            <w:pPr>
              <w:spacing w:line="300" w:lineRule="exact"/>
              <w:jc w:val="center"/>
              <w:rPr>
                <w:rFonts w:hint="eastAsia" w:ascii="仿宋_GB2312" w:hAnsi="仿宋_GB2312" w:eastAsia="仿宋_GB2312" w:cs="仿宋_GB2312"/>
              </w:rPr>
            </w:pPr>
          </w:p>
        </w:tc>
        <w:tc>
          <w:tcPr>
            <w:tcW w:w="961" w:type="dxa"/>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150.00</w:t>
            </w:r>
          </w:p>
        </w:tc>
        <w:tc>
          <w:tcPr>
            <w:tcW w:w="964" w:type="dxa"/>
            <w:vAlign w:val="center"/>
          </w:tcPr>
          <w:p>
            <w:pPr>
              <w:spacing w:line="300" w:lineRule="exact"/>
              <w:jc w:val="right"/>
              <w:rPr>
                <w:rFonts w:hint="eastAsia" w:ascii="仿宋_GB2312" w:hAnsi="仿宋_GB2312" w:eastAsia="仿宋_GB2312" w:cs="仿宋_GB2312"/>
              </w:rPr>
            </w:pPr>
          </w:p>
        </w:tc>
        <w:tc>
          <w:tcPr>
            <w:tcW w:w="964" w:type="dxa"/>
            <w:vAlign w:val="center"/>
          </w:tcPr>
          <w:p>
            <w:pPr>
              <w:spacing w:line="300" w:lineRule="exact"/>
              <w:jc w:val="right"/>
              <w:rPr>
                <w:rFonts w:hint="eastAsia" w:ascii="仿宋_GB2312" w:hAnsi="仿宋_GB2312" w:eastAsia="仿宋_GB2312" w:cs="仿宋_GB2312"/>
              </w:rPr>
            </w:pPr>
          </w:p>
        </w:tc>
        <w:tc>
          <w:tcPr>
            <w:tcW w:w="921" w:type="dxa"/>
            <w:vAlign w:val="center"/>
          </w:tcPr>
          <w:p>
            <w:pPr>
              <w:spacing w:line="300" w:lineRule="exact"/>
              <w:jc w:val="right"/>
              <w:rPr>
                <w:rFonts w:hint="eastAsia" w:ascii="仿宋_GB2312" w:hAnsi="仿宋_GB2312" w:eastAsia="仿宋_GB2312" w:cs="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48" w:type="dxa"/>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气雾剂产业园产业规划编制</w:t>
            </w:r>
          </w:p>
        </w:tc>
        <w:tc>
          <w:tcPr>
            <w:tcW w:w="1099" w:type="dxa"/>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66.00</w:t>
            </w:r>
          </w:p>
        </w:tc>
        <w:tc>
          <w:tcPr>
            <w:tcW w:w="974" w:type="dxa"/>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服务</w:t>
            </w:r>
          </w:p>
        </w:tc>
        <w:tc>
          <w:tcPr>
            <w:tcW w:w="986" w:type="dxa"/>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C</w:t>
            </w:r>
          </w:p>
        </w:tc>
        <w:tc>
          <w:tcPr>
            <w:tcW w:w="760" w:type="dxa"/>
            <w:vAlign w:val="center"/>
          </w:tcPr>
          <w:p>
            <w:pPr>
              <w:spacing w:line="300" w:lineRule="exact"/>
              <w:jc w:val="center"/>
              <w:rPr>
                <w:rFonts w:hint="eastAsia" w:ascii="仿宋_GB2312" w:hAnsi="仿宋_GB2312" w:eastAsia="仿宋_GB2312" w:cs="仿宋_GB2312"/>
              </w:rPr>
            </w:pPr>
          </w:p>
        </w:tc>
        <w:tc>
          <w:tcPr>
            <w:tcW w:w="760" w:type="dxa"/>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1.00</w:t>
            </w:r>
          </w:p>
        </w:tc>
        <w:tc>
          <w:tcPr>
            <w:tcW w:w="848" w:type="dxa"/>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66.00</w:t>
            </w:r>
          </w:p>
        </w:tc>
        <w:tc>
          <w:tcPr>
            <w:tcW w:w="961" w:type="dxa"/>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66.00</w:t>
            </w:r>
          </w:p>
        </w:tc>
        <w:tc>
          <w:tcPr>
            <w:tcW w:w="961" w:type="dxa"/>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66.00</w:t>
            </w:r>
          </w:p>
        </w:tc>
        <w:tc>
          <w:tcPr>
            <w:tcW w:w="961" w:type="dxa"/>
            <w:vAlign w:val="center"/>
          </w:tcPr>
          <w:p>
            <w:pPr>
              <w:spacing w:line="300" w:lineRule="exact"/>
              <w:jc w:val="center"/>
              <w:rPr>
                <w:rFonts w:hint="eastAsia" w:ascii="仿宋_GB2312" w:hAnsi="仿宋_GB2312" w:eastAsia="仿宋_GB2312" w:cs="仿宋_GB2312"/>
              </w:rPr>
            </w:pPr>
          </w:p>
        </w:tc>
        <w:tc>
          <w:tcPr>
            <w:tcW w:w="961" w:type="dxa"/>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66.00</w:t>
            </w:r>
          </w:p>
        </w:tc>
        <w:tc>
          <w:tcPr>
            <w:tcW w:w="964" w:type="dxa"/>
            <w:vAlign w:val="center"/>
          </w:tcPr>
          <w:p>
            <w:pPr>
              <w:spacing w:line="300" w:lineRule="exact"/>
              <w:jc w:val="right"/>
              <w:rPr>
                <w:rFonts w:hint="eastAsia" w:ascii="仿宋_GB2312" w:hAnsi="仿宋_GB2312" w:eastAsia="仿宋_GB2312" w:cs="仿宋_GB2312"/>
              </w:rPr>
            </w:pPr>
          </w:p>
        </w:tc>
        <w:tc>
          <w:tcPr>
            <w:tcW w:w="964" w:type="dxa"/>
            <w:vAlign w:val="center"/>
          </w:tcPr>
          <w:p>
            <w:pPr>
              <w:spacing w:line="300" w:lineRule="exact"/>
              <w:jc w:val="right"/>
              <w:rPr>
                <w:rFonts w:hint="eastAsia" w:ascii="仿宋_GB2312" w:hAnsi="仿宋_GB2312" w:eastAsia="仿宋_GB2312" w:cs="仿宋_GB2312"/>
              </w:rPr>
            </w:pPr>
          </w:p>
        </w:tc>
        <w:tc>
          <w:tcPr>
            <w:tcW w:w="921" w:type="dxa"/>
            <w:vAlign w:val="center"/>
          </w:tcPr>
          <w:p>
            <w:pPr>
              <w:spacing w:line="300" w:lineRule="exact"/>
              <w:jc w:val="right"/>
              <w:rPr>
                <w:rFonts w:hint="eastAsia" w:ascii="仿宋_GB2312" w:hAnsi="仿宋_GB2312" w:eastAsia="仿宋_GB2312" w:cs="仿宋_GB2312"/>
              </w:rPr>
            </w:pPr>
          </w:p>
        </w:tc>
      </w:tr>
    </w:tbl>
    <w:p>
      <w:pPr>
        <w:spacing w:line="584" w:lineRule="exact"/>
        <w:jc w:val="left"/>
        <w:outlineLvl w:val="0"/>
        <w:rPr>
          <w:rFonts w:hint="eastAsia" w:ascii="仿宋_GB2312" w:hAnsi="仿宋_GB2312" w:eastAsia="仿宋_GB2312" w:cs="仿宋_GB2312"/>
        </w:rPr>
        <w:sectPr>
          <w:pgSz w:w="16839" w:h="11907" w:orient="landscape"/>
          <w:pgMar w:top="1361" w:right="1020" w:bottom="1361" w:left="1020" w:header="851" w:footer="992" w:gutter="0"/>
          <w:cols w:space="425"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sz w:val="32"/>
          <w:szCs w:val="32"/>
        </w:rPr>
      </w:pPr>
      <w:r>
        <w:rPr>
          <w:rFonts w:hint="eastAsia" w:ascii="Times New Roman" w:hAnsi="黑体" w:eastAsia="黑体"/>
          <w:sz w:val="32"/>
          <w:szCs w:val="32"/>
        </w:rPr>
        <w:t>七、国有资产信息</w:t>
      </w:r>
    </w:p>
    <w:p>
      <w:pPr>
        <w:spacing w:line="584"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河北大城经济开发区管理委员会（含所属单位）上年末固定资产金额为</w:t>
      </w:r>
      <w:r>
        <w:rPr>
          <w:rFonts w:hint="eastAsia" w:ascii="仿宋_GB2312" w:hAnsi="仿宋_GB2312" w:eastAsia="仿宋_GB2312" w:cs="仿宋_GB2312"/>
          <w:sz w:val="32"/>
          <w:szCs w:val="32"/>
          <w:lang w:val="en-US" w:eastAsia="zh-CN"/>
        </w:rPr>
        <w:t>1255933.75</w:t>
      </w:r>
      <w:r>
        <w:rPr>
          <w:rFonts w:hint="eastAsia" w:ascii="仿宋_GB2312" w:hAnsi="仿宋_GB2312" w:eastAsia="仿宋_GB2312" w:cs="仿宋_GB2312"/>
          <w:sz w:val="32"/>
          <w:szCs w:val="32"/>
        </w:rPr>
        <w:t>万元，详见下表。本年度</w:t>
      </w:r>
      <w:r>
        <w:rPr>
          <w:rFonts w:hint="eastAsia" w:ascii="仿宋_GB2312" w:hAnsi="仿宋_GB2312" w:eastAsia="仿宋_GB2312" w:cs="仿宋_GB2312"/>
          <w:sz w:val="32"/>
          <w:szCs w:val="32"/>
          <w:lang w:eastAsia="zh-CN"/>
        </w:rPr>
        <w:t>我部门拟购</w:t>
      </w:r>
      <w:r>
        <w:rPr>
          <w:rFonts w:hint="eastAsia" w:ascii="仿宋_GB2312" w:hAnsi="仿宋_GB2312" w:eastAsia="仿宋_GB2312" w:cs="仿宋_GB2312"/>
          <w:sz w:val="32"/>
          <w:szCs w:val="32"/>
        </w:rPr>
        <w:t>置固定资产</w:t>
      </w:r>
      <w:r>
        <w:rPr>
          <w:rFonts w:hint="eastAsia" w:ascii="仿宋_GB2312" w:hAnsi="仿宋_GB2312" w:eastAsia="仿宋_GB2312" w:cs="仿宋_GB2312"/>
          <w:sz w:val="32"/>
          <w:szCs w:val="32"/>
          <w:lang w:eastAsia="zh-CN"/>
        </w:rPr>
        <w:t>共计</w:t>
      </w:r>
      <w:r>
        <w:rPr>
          <w:rFonts w:hint="eastAsia" w:ascii="仿宋_GB2312" w:hAnsi="仿宋_GB2312" w:eastAsia="仿宋_GB2312" w:cs="仿宋_GB2312"/>
          <w:sz w:val="32"/>
          <w:szCs w:val="32"/>
          <w:lang w:val="en-US" w:eastAsia="zh-CN"/>
        </w:rPr>
        <w:t>10万元，主要为计算机设备、打印设备等，未列入政府采购预算</w:t>
      </w:r>
      <w:r>
        <w:rPr>
          <w:rFonts w:hint="eastAsia" w:ascii="仿宋_GB2312" w:hAnsi="仿宋_GB2312" w:eastAsia="仿宋_GB2312" w:cs="仿宋_GB2312"/>
          <w:sz w:val="32"/>
          <w:szCs w:val="32"/>
          <w:lang w:eastAsia="zh-CN"/>
        </w:rPr>
        <w:t>。</w:t>
      </w:r>
    </w:p>
    <w:p>
      <w:pPr>
        <w:spacing w:line="584" w:lineRule="exact"/>
        <w:ind w:firstLine="640"/>
        <w:rPr>
          <w:rFonts w:hint="eastAsia" w:ascii="仿宋_GB2312" w:hAnsi="仿宋_GB2312" w:eastAsia="仿宋_GB2312" w:cs="仿宋_GB2312"/>
          <w:sz w:val="32"/>
          <w:szCs w:val="32"/>
        </w:rPr>
      </w:pPr>
    </w:p>
    <w:tbl>
      <w:tblPr>
        <w:tblStyle w:val="8"/>
        <w:tblW w:w="13482" w:type="dxa"/>
        <w:tblInd w:w="93"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vAlign w:val="center"/>
          </w:tcPr>
          <w:p>
            <w:pPr>
              <w:widowControl/>
              <w:spacing w:line="584" w:lineRule="exact"/>
              <w:jc w:val="center"/>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河北大城经济开发区管理委员会固定资产占用情况表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vAlign w:val="center"/>
          </w:tcPr>
          <w:p>
            <w:pPr>
              <w:widowControl/>
              <w:spacing w:line="584" w:lineRule="exact"/>
              <w:jc w:val="left"/>
              <w:rPr>
                <w:rFonts w:hint="eastAsia" w:ascii="仿宋_GB2312" w:hAnsi="仿宋_GB2312" w:eastAsia="仿宋_GB2312" w:cs="仿宋_GB2312"/>
                <w:kern w:val="0"/>
                <w:sz w:val="22"/>
              </w:rPr>
            </w:pPr>
            <w:r>
              <w:rPr>
                <w:rFonts w:hint="eastAsia" w:ascii="仿宋_GB2312" w:hAnsi="仿宋_GB2312" w:eastAsia="仿宋_GB2312" w:cs="仿宋_GB2312"/>
                <w:kern w:val="0"/>
                <w:sz w:val="22"/>
              </w:rPr>
              <w:t>编制部门：河北大城经济开发区管理委员会</w:t>
            </w:r>
          </w:p>
        </w:tc>
        <w:tc>
          <w:tcPr>
            <w:tcW w:w="5103" w:type="dxa"/>
            <w:tcBorders>
              <w:top w:val="nil"/>
              <w:left w:val="nil"/>
              <w:bottom w:val="nil"/>
              <w:right w:val="nil"/>
            </w:tcBorders>
            <w:vAlign w:val="center"/>
          </w:tcPr>
          <w:p>
            <w:pPr>
              <w:widowControl/>
              <w:spacing w:line="584" w:lineRule="exact"/>
              <w:jc w:val="left"/>
              <w:rPr>
                <w:rFonts w:hint="eastAsia" w:ascii="仿宋_GB2312" w:hAnsi="仿宋_GB2312" w:eastAsia="仿宋_GB2312" w:cs="仿宋_GB2312"/>
                <w:kern w:val="0"/>
                <w:sz w:val="22"/>
              </w:rPr>
            </w:pPr>
            <w:r>
              <w:rPr>
                <w:rFonts w:hint="eastAsia" w:ascii="仿宋_GB2312" w:hAnsi="仿宋_GB2312" w:eastAsia="仿宋_GB2312" w:cs="仿宋_GB2312"/>
                <w:kern w:val="0"/>
                <w:sz w:val="22"/>
              </w:rPr>
              <w:t>截止时间：2018年12月31日</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vAlign w:val="center"/>
          </w:tcPr>
          <w:p>
            <w:pPr>
              <w:widowControl/>
              <w:spacing w:line="584" w:lineRule="exact"/>
              <w:jc w:val="center"/>
              <w:rPr>
                <w:rFonts w:hint="eastAsia" w:ascii="仿宋_GB2312" w:hAnsi="仿宋_GB2312" w:eastAsia="仿宋_GB2312" w:cs="仿宋_GB2312"/>
                <w:b/>
                <w:bCs/>
                <w:kern w:val="0"/>
                <w:sz w:val="22"/>
              </w:rPr>
            </w:pPr>
            <w:r>
              <w:rPr>
                <w:rFonts w:hint="eastAsia" w:ascii="仿宋_GB2312" w:hAnsi="仿宋_GB2312" w:eastAsia="仿宋_GB2312" w:cs="仿宋_GB2312"/>
                <w:b/>
                <w:bCs/>
                <w:kern w:val="0"/>
                <w:sz w:val="22"/>
              </w:rPr>
              <w:t>项目</w:t>
            </w:r>
          </w:p>
        </w:tc>
        <w:tc>
          <w:tcPr>
            <w:tcW w:w="3155" w:type="dxa"/>
            <w:tcBorders>
              <w:top w:val="single" w:color="auto" w:sz="4" w:space="0"/>
              <w:left w:val="nil"/>
              <w:bottom w:val="single" w:color="auto" w:sz="4" w:space="0"/>
              <w:right w:val="single" w:color="auto" w:sz="4" w:space="0"/>
            </w:tcBorders>
            <w:vAlign w:val="center"/>
          </w:tcPr>
          <w:p>
            <w:pPr>
              <w:widowControl/>
              <w:spacing w:line="584" w:lineRule="exact"/>
              <w:jc w:val="center"/>
              <w:rPr>
                <w:rFonts w:hint="eastAsia" w:ascii="仿宋_GB2312" w:hAnsi="仿宋_GB2312" w:eastAsia="仿宋_GB2312" w:cs="仿宋_GB2312"/>
                <w:b/>
                <w:bCs/>
                <w:kern w:val="0"/>
                <w:sz w:val="22"/>
              </w:rPr>
            </w:pPr>
            <w:r>
              <w:rPr>
                <w:rFonts w:hint="eastAsia" w:ascii="仿宋_GB2312" w:hAnsi="仿宋_GB2312" w:eastAsia="仿宋_GB2312" w:cs="仿宋_GB2312"/>
                <w:b/>
                <w:bCs/>
                <w:kern w:val="0"/>
                <w:sz w:val="22"/>
              </w:rPr>
              <w:t>数量</w:t>
            </w:r>
          </w:p>
        </w:tc>
        <w:tc>
          <w:tcPr>
            <w:tcW w:w="5103" w:type="dxa"/>
            <w:tcBorders>
              <w:top w:val="single" w:color="auto" w:sz="4" w:space="0"/>
              <w:left w:val="nil"/>
              <w:bottom w:val="single" w:color="auto" w:sz="4" w:space="0"/>
              <w:right w:val="single" w:color="auto" w:sz="4" w:space="0"/>
            </w:tcBorders>
            <w:vAlign w:val="center"/>
          </w:tcPr>
          <w:p>
            <w:pPr>
              <w:widowControl/>
              <w:spacing w:line="584" w:lineRule="exact"/>
              <w:jc w:val="center"/>
              <w:rPr>
                <w:rFonts w:hint="eastAsia" w:ascii="仿宋_GB2312" w:hAnsi="仿宋_GB2312" w:eastAsia="仿宋_GB2312" w:cs="仿宋_GB2312"/>
                <w:b/>
                <w:bCs/>
                <w:kern w:val="0"/>
                <w:sz w:val="22"/>
              </w:rPr>
            </w:pPr>
            <w:r>
              <w:rPr>
                <w:rFonts w:hint="eastAsia" w:ascii="仿宋_GB2312" w:hAnsi="仿宋_GB2312" w:eastAsia="仿宋_GB2312" w:cs="仿宋_GB2312"/>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center"/>
              <w:rPr>
                <w:rFonts w:hint="eastAsia" w:ascii="仿宋_GB2312" w:hAnsi="仿宋_GB2312" w:eastAsia="仿宋_GB2312" w:cs="仿宋_GB2312"/>
                <w:kern w:val="0"/>
                <w:sz w:val="22"/>
              </w:rPr>
            </w:pPr>
            <w:r>
              <w:rPr>
                <w:rFonts w:hint="eastAsia" w:ascii="仿宋_GB2312" w:hAnsi="仿宋_GB2312" w:eastAsia="仿宋_GB2312" w:cs="仿宋_GB2312"/>
                <w:kern w:val="0"/>
                <w:sz w:val="22"/>
              </w:rPr>
              <w:t>资产总额</w:t>
            </w:r>
          </w:p>
        </w:tc>
        <w:tc>
          <w:tcPr>
            <w:tcW w:w="3155" w:type="dxa"/>
            <w:tcBorders>
              <w:top w:val="nil"/>
              <w:left w:val="nil"/>
              <w:bottom w:val="single" w:color="auto" w:sz="4" w:space="0"/>
              <w:right w:val="single" w:color="auto" w:sz="4" w:space="0"/>
            </w:tcBorders>
            <w:vAlign w:val="center"/>
          </w:tcPr>
          <w:p>
            <w:pPr>
              <w:spacing w:line="584" w:lineRule="exact"/>
              <w:jc w:val="center"/>
              <w:rPr>
                <w:rFonts w:hint="eastAsia" w:ascii="仿宋_GB2312" w:hAnsi="仿宋_GB2312" w:eastAsia="仿宋_GB2312" w:cs="仿宋_GB2312"/>
                <w:sz w:val="22"/>
              </w:rPr>
            </w:pPr>
            <w:r>
              <w:rPr>
                <w:rFonts w:hint="eastAsia" w:ascii="仿宋_GB2312" w:hAnsi="仿宋_GB2312" w:eastAsia="仿宋_GB2312" w:cs="仿宋_GB2312"/>
                <w:sz w:val="22"/>
              </w:rPr>
              <w:t>——</w:t>
            </w:r>
          </w:p>
        </w:tc>
        <w:tc>
          <w:tcPr>
            <w:tcW w:w="5103" w:type="dxa"/>
            <w:tcBorders>
              <w:top w:val="nil"/>
              <w:left w:val="nil"/>
              <w:bottom w:val="single" w:color="auto" w:sz="4" w:space="0"/>
              <w:right w:val="single" w:color="auto" w:sz="4" w:space="0"/>
            </w:tcBorders>
            <w:vAlign w:val="center"/>
          </w:tcPr>
          <w:p>
            <w:pPr>
              <w:spacing w:line="584" w:lineRule="exact"/>
              <w:jc w:val="center"/>
              <w:rPr>
                <w:rFonts w:hint="eastAsia" w:ascii="仿宋_GB2312" w:hAnsi="仿宋_GB2312" w:eastAsia="仿宋_GB2312" w:cs="仿宋_GB2312"/>
                <w:sz w:val="22"/>
              </w:rPr>
            </w:pPr>
            <w:r>
              <w:rPr>
                <w:rFonts w:hint="eastAsia" w:ascii="仿宋_GB2312" w:hAnsi="仿宋_GB2312" w:eastAsia="仿宋_GB2312" w:cs="仿宋_GB2312"/>
                <w:sz w:val="22"/>
              </w:rPr>
              <w:t>1255933.75</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left"/>
              <w:rPr>
                <w:rFonts w:hint="eastAsia" w:ascii="仿宋_GB2312" w:hAnsi="仿宋_GB2312" w:eastAsia="仿宋_GB2312" w:cs="仿宋_GB2312"/>
                <w:kern w:val="0"/>
                <w:sz w:val="22"/>
              </w:rPr>
            </w:pPr>
            <w:r>
              <w:rPr>
                <w:rFonts w:hint="eastAsia" w:ascii="仿宋_GB2312" w:hAnsi="仿宋_GB2312" w:eastAsia="仿宋_GB2312" w:cs="仿宋_GB2312"/>
                <w:kern w:val="0"/>
                <w:sz w:val="22"/>
              </w:rPr>
              <w:t>1、房屋（平方米）</w:t>
            </w:r>
          </w:p>
        </w:tc>
        <w:tc>
          <w:tcPr>
            <w:tcW w:w="3155" w:type="dxa"/>
            <w:tcBorders>
              <w:top w:val="nil"/>
              <w:left w:val="nil"/>
              <w:bottom w:val="single" w:color="auto" w:sz="4" w:space="0"/>
              <w:right w:val="single" w:color="auto" w:sz="4" w:space="0"/>
            </w:tcBorders>
            <w:vAlign w:val="center"/>
          </w:tcPr>
          <w:p>
            <w:pPr>
              <w:spacing w:line="584" w:lineRule="exact"/>
              <w:jc w:val="center"/>
              <w:rPr>
                <w:rFonts w:hint="eastAsia" w:ascii="仿宋_GB2312" w:hAnsi="仿宋_GB2312" w:eastAsia="仿宋_GB2312" w:cs="仿宋_GB2312"/>
                <w:sz w:val="22"/>
              </w:rPr>
            </w:pPr>
          </w:p>
        </w:tc>
        <w:tc>
          <w:tcPr>
            <w:tcW w:w="5103" w:type="dxa"/>
            <w:tcBorders>
              <w:top w:val="nil"/>
              <w:left w:val="nil"/>
              <w:bottom w:val="single" w:color="auto" w:sz="4" w:space="0"/>
              <w:right w:val="single" w:color="auto" w:sz="4" w:space="0"/>
            </w:tcBorders>
            <w:vAlign w:val="center"/>
          </w:tcPr>
          <w:p>
            <w:pPr>
              <w:spacing w:line="584" w:lineRule="exact"/>
              <w:jc w:val="center"/>
              <w:rPr>
                <w:rFonts w:hint="eastAsia" w:ascii="仿宋_GB2312" w:hAnsi="仿宋_GB2312" w:eastAsia="仿宋_GB2312" w:cs="仿宋_GB2312"/>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left"/>
              <w:rPr>
                <w:rFonts w:hint="eastAsia" w:ascii="仿宋_GB2312" w:hAnsi="仿宋_GB2312" w:eastAsia="仿宋_GB2312" w:cs="仿宋_GB2312"/>
                <w:kern w:val="0"/>
                <w:sz w:val="22"/>
              </w:rPr>
            </w:pPr>
            <w:r>
              <w:rPr>
                <w:rFonts w:hint="eastAsia" w:ascii="仿宋_GB2312" w:hAnsi="仿宋_GB2312" w:eastAsia="仿宋_GB2312" w:cs="仿宋_GB2312"/>
                <w:kern w:val="0"/>
                <w:sz w:val="22"/>
              </w:rPr>
              <w:t>其中：办公用房（平方米）</w:t>
            </w:r>
          </w:p>
        </w:tc>
        <w:tc>
          <w:tcPr>
            <w:tcW w:w="3155" w:type="dxa"/>
            <w:tcBorders>
              <w:top w:val="nil"/>
              <w:left w:val="nil"/>
              <w:bottom w:val="single" w:color="auto" w:sz="4" w:space="0"/>
              <w:right w:val="single" w:color="auto" w:sz="4" w:space="0"/>
            </w:tcBorders>
            <w:vAlign w:val="center"/>
          </w:tcPr>
          <w:p>
            <w:pPr>
              <w:spacing w:line="584" w:lineRule="exact"/>
              <w:jc w:val="center"/>
              <w:rPr>
                <w:rFonts w:hint="eastAsia" w:ascii="仿宋_GB2312" w:hAnsi="仿宋_GB2312" w:eastAsia="仿宋_GB2312" w:cs="仿宋_GB2312"/>
                <w:sz w:val="22"/>
              </w:rPr>
            </w:pPr>
          </w:p>
        </w:tc>
        <w:tc>
          <w:tcPr>
            <w:tcW w:w="5103" w:type="dxa"/>
            <w:tcBorders>
              <w:top w:val="nil"/>
              <w:left w:val="nil"/>
              <w:bottom w:val="single" w:color="auto" w:sz="4" w:space="0"/>
              <w:right w:val="single" w:color="auto" w:sz="4" w:space="0"/>
            </w:tcBorders>
            <w:vAlign w:val="center"/>
          </w:tcPr>
          <w:p>
            <w:pPr>
              <w:spacing w:line="584" w:lineRule="exact"/>
              <w:jc w:val="center"/>
              <w:rPr>
                <w:rFonts w:hint="eastAsia" w:ascii="仿宋_GB2312" w:hAnsi="仿宋_GB2312" w:eastAsia="仿宋_GB2312" w:cs="仿宋_GB2312"/>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left"/>
              <w:rPr>
                <w:rFonts w:hint="eastAsia" w:ascii="仿宋_GB2312" w:hAnsi="仿宋_GB2312" w:eastAsia="仿宋_GB2312" w:cs="仿宋_GB2312"/>
                <w:kern w:val="0"/>
                <w:sz w:val="22"/>
              </w:rPr>
            </w:pPr>
            <w:r>
              <w:rPr>
                <w:rFonts w:hint="eastAsia" w:ascii="仿宋_GB2312" w:hAnsi="仿宋_GB2312" w:eastAsia="仿宋_GB2312" w:cs="仿宋_GB2312"/>
                <w:kern w:val="0"/>
                <w:sz w:val="22"/>
              </w:rPr>
              <w:t>2、车辆（台、辆）</w:t>
            </w:r>
          </w:p>
        </w:tc>
        <w:tc>
          <w:tcPr>
            <w:tcW w:w="3155" w:type="dxa"/>
            <w:tcBorders>
              <w:top w:val="nil"/>
              <w:left w:val="nil"/>
              <w:bottom w:val="single" w:color="auto" w:sz="4" w:space="0"/>
              <w:right w:val="single" w:color="auto" w:sz="4" w:space="0"/>
            </w:tcBorders>
            <w:vAlign w:val="center"/>
          </w:tcPr>
          <w:p>
            <w:pPr>
              <w:spacing w:line="584" w:lineRule="exact"/>
              <w:jc w:val="center"/>
              <w:rPr>
                <w:rFonts w:hint="eastAsia" w:ascii="仿宋_GB2312" w:hAnsi="仿宋_GB2312" w:eastAsia="仿宋_GB2312" w:cs="仿宋_GB2312"/>
                <w:sz w:val="22"/>
              </w:rPr>
            </w:pPr>
            <w:r>
              <w:rPr>
                <w:rFonts w:hint="eastAsia" w:ascii="仿宋_GB2312" w:hAnsi="仿宋_GB2312" w:eastAsia="仿宋_GB2312" w:cs="仿宋_GB2312"/>
                <w:sz w:val="22"/>
              </w:rPr>
              <w:t>2</w:t>
            </w:r>
          </w:p>
        </w:tc>
        <w:tc>
          <w:tcPr>
            <w:tcW w:w="5103" w:type="dxa"/>
            <w:tcBorders>
              <w:top w:val="nil"/>
              <w:left w:val="nil"/>
              <w:bottom w:val="single" w:color="auto" w:sz="4" w:space="0"/>
              <w:right w:val="single" w:color="auto" w:sz="4" w:space="0"/>
            </w:tcBorders>
            <w:vAlign w:val="center"/>
          </w:tcPr>
          <w:p>
            <w:pPr>
              <w:spacing w:line="584" w:lineRule="exact"/>
              <w:jc w:val="center"/>
              <w:rPr>
                <w:rFonts w:hint="eastAsia" w:ascii="仿宋_GB2312" w:hAnsi="仿宋_GB2312" w:eastAsia="仿宋_GB2312" w:cs="仿宋_GB2312"/>
                <w:sz w:val="22"/>
              </w:rPr>
            </w:pPr>
            <w:r>
              <w:rPr>
                <w:rFonts w:hint="eastAsia" w:ascii="仿宋_GB2312" w:hAnsi="仿宋_GB2312" w:eastAsia="仿宋_GB2312" w:cs="仿宋_GB2312"/>
                <w:sz w:val="22"/>
              </w:rPr>
              <w:t>246970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left"/>
              <w:rPr>
                <w:rFonts w:hint="eastAsia" w:ascii="仿宋_GB2312" w:hAnsi="仿宋_GB2312" w:eastAsia="仿宋_GB2312" w:cs="仿宋_GB2312"/>
                <w:kern w:val="0"/>
                <w:sz w:val="22"/>
              </w:rPr>
            </w:pPr>
            <w:r>
              <w:rPr>
                <w:rFonts w:hint="eastAsia" w:ascii="仿宋_GB2312" w:hAnsi="仿宋_GB2312" w:eastAsia="仿宋_GB2312" w:cs="仿宋_GB2312"/>
                <w:kern w:val="0"/>
                <w:sz w:val="22"/>
              </w:rPr>
              <w:t>3、单价在20万元以上的设备</w:t>
            </w:r>
          </w:p>
        </w:tc>
        <w:tc>
          <w:tcPr>
            <w:tcW w:w="3155" w:type="dxa"/>
            <w:tcBorders>
              <w:top w:val="nil"/>
              <w:left w:val="nil"/>
              <w:bottom w:val="single" w:color="auto" w:sz="4" w:space="0"/>
              <w:right w:val="single" w:color="auto" w:sz="4" w:space="0"/>
            </w:tcBorders>
            <w:vAlign w:val="center"/>
          </w:tcPr>
          <w:p>
            <w:pPr>
              <w:spacing w:line="584" w:lineRule="exact"/>
              <w:jc w:val="center"/>
              <w:rPr>
                <w:rFonts w:hint="eastAsia" w:ascii="仿宋_GB2312" w:hAnsi="仿宋_GB2312" w:eastAsia="仿宋_GB2312" w:cs="仿宋_GB2312"/>
                <w:sz w:val="22"/>
              </w:rPr>
            </w:pPr>
          </w:p>
        </w:tc>
        <w:tc>
          <w:tcPr>
            <w:tcW w:w="5103" w:type="dxa"/>
            <w:tcBorders>
              <w:top w:val="nil"/>
              <w:left w:val="nil"/>
              <w:bottom w:val="single" w:color="auto" w:sz="4" w:space="0"/>
              <w:right w:val="single" w:color="auto" w:sz="4" w:space="0"/>
            </w:tcBorders>
            <w:vAlign w:val="center"/>
          </w:tcPr>
          <w:p>
            <w:pPr>
              <w:spacing w:line="584" w:lineRule="exact"/>
              <w:jc w:val="center"/>
              <w:rPr>
                <w:rFonts w:hint="eastAsia" w:ascii="仿宋_GB2312" w:hAnsi="仿宋_GB2312" w:eastAsia="仿宋_GB2312" w:cs="仿宋_GB2312"/>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left"/>
              <w:rPr>
                <w:rFonts w:hint="eastAsia" w:ascii="仿宋_GB2312" w:hAnsi="仿宋_GB2312" w:eastAsia="仿宋_GB2312" w:cs="仿宋_GB2312"/>
                <w:kern w:val="0"/>
                <w:sz w:val="22"/>
              </w:rPr>
            </w:pPr>
            <w:r>
              <w:rPr>
                <w:rFonts w:hint="eastAsia" w:ascii="仿宋_GB2312" w:hAnsi="仿宋_GB2312" w:eastAsia="仿宋_GB2312" w:cs="仿宋_GB2312"/>
                <w:kern w:val="0"/>
                <w:sz w:val="22"/>
              </w:rPr>
              <w:t>4、其他固定资产</w:t>
            </w:r>
          </w:p>
        </w:tc>
        <w:tc>
          <w:tcPr>
            <w:tcW w:w="3155" w:type="dxa"/>
            <w:tcBorders>
              <w:top w:val="nil"/>
              <w:left w:val="nil"/>
              <w:bottom w:val="single" w:color="auto" w:sz="4" w:space="0"/>
              <w:right w:val="single" w:color="auto" w:sz="4" w:space="0"/>
            </w:tcBorders>
            <w:vAlign w:val="center"/>
          </w:tcPr>
          <w:p>
            <w:pPr>
              <w:spacing w:line="584" w:lineRule="exact"/>
              <w:jc w:val="center"/>
              <w:rPr>
                <w:rFonts w:hint="eastAsia" w:ascii="仿宋_GB2312" w:hAnsi="仿宋_GB2312" w:eastAsia="仿宋_GB2312" w:cs="仿宋_GB2312"/>
                <w:sz w:val="22"/>
              </w:rPr>
            </w:pPr>
          </w:p>
        </w:tc>
        <w:tc>
          <w:tcPr>
            <w:tcW w:w="5103" w:type="dxa"/>
            <w:tcBorders>
              <w:top w:val="nil"/>
              <w:left w:val="nil"/>
              <w:bottom w:val="single" w:color="auto" w:sz="4" w:space="0"/>
              <w:right w:val="single" w:color="auto" w:sz="4" w:space="0"/>
            </w:tcBorders>
            <w:vAlign w:val="center"/>
          </w:tcPr>
          <w:p>
            <w:pPr>
              <w:spacing w:line="584" w:lineRule="exact"/>
              <w:jc w:val="center"/>
              <w:rPr>
                <w:rFonts w:hint="eastAsia" w:ascii="仿宋_GB2312" w:hAnsi="仿宋_GB2312" w:eastAsia="仿宋_GB2312" w:cs="仿宋_GB2312"/>
                <w:sz w:val="22"/>
              </w:rPr>
            </w:pPr>
            <w:r>
              <w:rPr>
                <w:rFonts w:hint="eastAsia" w:ascii="仿宋_GB2312" w:hAnsi="仿宋_GB2312" w:eastAsia="仿宋_GB2312" w:cs="仿宋_GB2312"/>
                <w:sz w:val="22"/>
              </w:rPr>
              <w:t>1008963.75</w:t>
            </w:r>
          </w:p>
        </w:tc>
      </w:tr>
    </w:tbl>
    <w:p>
      <w:pPr>
        <w:autoSpaceDE w:val="0"/>
        <w:autoSpaceDN w:val="0"/>
        <w:adjustRightInd w:val="0"/>
        <w:spacing w:line="584" w:lineRule="exact"/>
        <w:ind w:firstLine="640" w:firstLineChars="200"/>
        <w:jc w:val="left"/>
        <w:rPr>
          <w:rFonts w:ascii="Times New Roman" w:hAnsi="Times New Roman" w:eastAsia="黑体"/>
          <w:sz w:val="32"/>
          <w:szCs w:val="32"/>
        </w:rPr>
      </w:pPr>
      <w:r>
        <w:rPr>
          <w:rFonts w:hint="eastAsia" w:ascii="Times New Roman" w:hAnsi="黑体" w:eastAsia="黑体"/>
          <w:sz w:val="32"/>
          <w:szCs w:val="32"/>
        </w:rPr>
        <w:t>八、名词解释</w:t>
      </w:r>
    </w:p>
    <w:p>
      <w:pPr>
        <w:tabs>
          <w:tab w:val="left" w:pos="11490"/>
        </w:tabs>
        <w:spacing w:line="584" w:lineRule="exact"/>
        <w:ind w:firstLine="643" w:firstLineChars="200"/>
        <w:rPr>
          <w:rFonts w:hint="eastAsia" w:ascii="仿宋_GB2312" w:hAnsi="仿宋_GB2312" w:eastAsia="仿宋_GB2312" w:cs="仿宋_GB2312"/>
          <w:sz w:val="32"/>
          <w:szCs w:val="32"/>
        </w:rPr>
      </w:pPr>
      <w:r>
        <w:rPr>
          <w:rFonts w:hint="eastAsia" w:ascii="楷体" w:hAnsi="楷体" w:eastAsia="楷体" w:cs="楷体"/>
          <w:b/>
          <w:sz w:val="32"/>
          <w:szCs w:val="32"/>
        </w:rPr>
        <w:t>1、一般公共预算拨款收入：</w:t>
      </w:r>
      <w:r>
        <w:rPr>
          <w:rFonts w:hint="eastAsia" w:ascii="仿宋_GB2312" w:hAnsi="仿宋_GB2312" w:eastAsia="仿宋_GB2312" w:cs="仿宋_GB2312"/>
          <w:sz w:val="32"/>
          <w:szCs w:val="32"/>
        </w:rPr>
        <w:t>指</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级财政当年拨付的资金。</w:t>
      </w:r>
    </w:p>
    <w:p>
      <w:pPr>
        <w:tabs>
          <w:tab w:val="left" w:pos="11490"/>
        </w:tabs>
        <w:spacing w:line="584" w:lineRule="exact"/>
        <w:ind w:firstLine="643" w:firstLineChars="200"/>
        <w:rPr>
          <w:rFonts w:hint="eastAsia" w:ascii="仿宋_GB2312" w:hAnsi="仿宋_GB2312" w:eastAsia="仿宋_GB2312" w:cs="仿宋_GB2312"/>
          <w:sz w:val="32"/>
          <w:szCs w:val="32"/>
        </w:rPr>
      </w:pPr>
      <w:r>
        <w:rPr>
          <w:rFonts w:hint="eastAsia" w:ascii="楷体" w:hAnsi="楷体" w:eastAsia="楷体" w:cs="楷体"/>
          <w:b/>
          <w:sz w:val="32"/>
          <w:szCs w:val="32"/>
        </w:rPr>
        <w:t>2、事业收入：</w:t>
      </w:r>
      <w:r>
        <w:rPr>
          <w:rFonts w:hint="eastAsia" w:ascii="仿宋_GB2312" w:hAnsi="仿宋_GB2312" w:eastAsia="仿宋_GB2312" w:cs="仿宋_GB2312"/>
          <w:sz w:val="32"/>
          <w:szCs w:val="32"/>
        </w:rPr>
        <w:t>指事业单位开展专业业务活动及辅助活动所取得的收入。</w:t>
      </w:r>
    </w:p>
    <w:p>
      <w:pPr>
        <w:tabs>
          <w:tab w:val="left" w:pos="11490"/>
        </w:tabs>
        <w:spacing w:line="584" w:lineRule="exact"/>
        <w:ind w:firstLine="643" w:firstLineChars="200"/>
        <w:rPr>
          <w:rFonts w:hint="eastAsia" w:ascii="仿宋_GB2312" w:hAnsi="仿宋_GB2312" w:eastAsia="仿宋_GB2312" w:cs="仿宋_GB2312"/>
          <w:b/>
          <w:sz w:val="32"/>
          <w:szCs w:val="32"/>
        </w:rPr>
      </w:pPr>
      <w:r>
        <w:rPr>
          <w:rFonts w:hint="eastAsia" w:ascii="楷体" w:hAnsi="楷体" w:eastAsia="楷体" w:cs="楷体"/>
          <w:b/>
          <w:sz w:val="32"/>
          <w:szCs w:val="32"/>
        </w:rPr>
        <w:t>3、其他收入：</w:t>
      </w:r>
      <w:r>
        <w:rPr>
          <w:rFonts w:hint="eastAsia" w:ascii="仿宋_GB2312" w:hAnsi="仿宋_GB2312" w:eastAsia="仿宋_GB2312" w:cs="仿宋_GB2312"/>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hint="eastAsia" w:ascii="仿宋_GB2312" w:hAnsi="仿宋_GB2312" w:eastAsia="仿宋_GB2312" w:cs="仿宋_GB2312"/>
          <w:sz w:val="32"/>
          <w:szCs w:val="32"/>
        </w:rPr>
      </w:pPr>
      <w:r>
        <w:rPr>
          <w:rFonts w:hint="eastAsia" w:ascii="楷体" w:hAnsi="楷体" w:eastAsia="楷体" w:cs="楷体"/>
          <w:b/>
          <w:sz w:val="32"/>
          <w:szCs w:val="32"/>
        </w:rPr>
        <w:t>4、基本支出：</w:t>
      </w:r>
      <w:r>
        <w:rPr>
          <w:rFonts w:hint="eastAsia" w:ascii="仿宋_GB2312" w:hAnsi="仿宋_GB2312" w:eastAsia="仿宋_GB2312" w:cs="仿宋_GB2312"/>
          <w:sz w:val="32"/>
          <w:szCs w:val="32"/>
        </w:rPr>
        <w:t>指为保障机构正常运转、完成日常工作任务而发生的人员支出和公用支出。</w:t>
      </w:r>
    </w:p>
    <w:p>
      <w:pPr>
        <w:tabs>
          <w:tab w:val="left" w:pos="11490"/>
        </w:tabs>
        <w:spacing w:line="584" w:lineRule="exact"/>
        <w:ind w:firstLine="643" w:firstLineChars="200"/>
        <w:rPr>
          <w:rFonts w:hint="eastAsia" w:ascii="仿宋_GB2312" w:hAnsi="仿宋_GB2312" w:eastAsia="仿宋_GB2312" w:cs="仿宋_GB2312"/>
          <w:sz w:val="32"/>
          <w:szCs w:val="32"/>
        </w:rPr>
      </w:pPr>
      <w:r>
        <w:rPr>
          <w:rFonts w:hint="eastAsia" w:ascii="楷体" w:hAnsi="楷体" w:eastAsia="楷体" w:cs="楷体"/>
          <w:b/>
          <w:sz w:val="32"/>
          <w:szCs w:val="32"/>
        </w:rPr>
        <w:t>5、项目支出：</w:t>
      </w:r>
      <w:r>
        <w:rPr>
          <w:rFonts w:hint="eastAsia" w:ascii="仿宋_GB2312" w:hAnsi="仿宋_GB2312" w:eastAsia="仿宋_GB2312" w:cs="仿宋_GB2312"/>
          <w:sz w:val="32"/>
          <w:szCs w:val="32"/>
        </w:rPr>
        <w:t>指在基本支出之外为完成特定行政任务和事业发展目标所发生的支出。</w:t>
      </w:r>
    </w:p>
    <w:p>
      <w:pPr>
        <w:tabs>
          <w:tab w:val="left" w:pos="11490"/>
        </w:tabs>
        <w:spacing w:line="584" w:lineRule="exact"/>
        <w:ind w:firstLine="643" w:firstLineChars="200"/>
        <w:rPr>
          <w:rFonts w:hint="eastAsia" w:ascii="仿宋_GB2312" w:hAnsi="仿宋_GB2312" w:eastAsia="仿宋_GB2312" w:cs="仿宋_GB2312"/>
          <w:sz w:val="32"/>
          <w:szCs w:val="32"/>
        </w:rPr>
      </w:pPr>
      <w:r>
        <w:rPr>
          <w:rFonts w:hint="eastAsia" w:ascii="楷体" w:hAnsi="楷体" w:eastAsia="楷体" w:cs="楷体"/>
          <w:b/>
          <w:sz w:val="32"/>
          <w:szCs w:val="32"/>
        </w:rPr>
        <w:t>6、上缴上级支出：</w:t>
      </w:r>
      <w:r>
        <w:rPr>
          <w:rFonts w:hint="eastAsia" w:ascii="仿宋_GB2312" w:hAnsi="仿宋_GB2312" w:eastAsia="仿宋_GB2312" w:cs="仿宋_GB2312"/>
          <w:sz w:val="32"/>
          <w:szCs w:val="32"/>
        </w:rPr>
        <w:t>指下级单位上缴上级的支出。</w:t>
      </w:r>
    </w:p>
    <w:p>
      <w:pPr>
        <w:tabs>
          <w:tab w:val="left" w:pos="11490"/>
        </w:tabs>
        <w:spacing w:line="584" w:lineRule="exact"/>
        <w:ind w:firstLine="643" w:firstLineChars="200"/>
        <w:rPr>
          <w:rFonts w:hint="eastAsia" w:ascii="仿宋_GB2312" w:hAnsi="仿宋_GB2312" w:eastAsia="仿宋_GB2312" w:cs="仿宋_GB2312"/>
          <w:sz w:val="32"/>
          <w:szCs w:val="32"/>
        </w:rPr>
      </w:pPr>
      <w:r>
        <w:rPr>
          <w:rFonts w:hint="eastAsia" w:ascii="楷体" w:hAnsi="楷体" w:eastAsia="楷体" w:cs="楷体"/>
          <w:b/>
          <w:sz w:val="32"/>
          <w:szCs w:val="32"/>
        </w:rPr>
        <w:t>7、“三公”经费：</w:t>
      </w:r>
      <w:r>
        <w:rPr>
          <w:rFonts w:hint="eastAsia" w:ascii="仿宋_GB2312" w:hAnsi="仿宋_GB2312" w:eastAsia="仿宋_GB2312" w:cs="仿宋_GB2312"/>
          <w:sz w:val="32"/>
          <w:szCs w:val="32"/>
        </w:rPr>
        <w:t>纳入</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级财政预算管理的“三公”经费，是指</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hint="eastAsia" w:ascii="仿宋_GB2312" w:hAnsi="仿宋_GB2312" w:eastAsia="仿宋_GB2312" w:cs="仿宋_GB2312"/>
          <w:sz w:val="32"/>
          <w:szCs w:val="32"/>
        </w:rPr>
      </w:pPr>
      <w:r>
        <w:rPr>
          <w:rFonts w:hint="eastAsia" w:ascii="楷体" w:hAnsi="楷体" w:eastAsia="楷体" w:cs="楷体"/>
          <w:b/>
          <w:sz w:val="32"/>
          <w:szCs w:val="32"/>
        </w:rPr>
        <w:t>8、机关运行费：</w:t>
      </w:r>
      <w:r>
        <w:rPr>
          <w:rFonts w:hint="eastAsia" w:ascii="仿宋_GB2312" w:hAnsi="仿宋_GB2312" w:eastAsia="仿宋_GB2312" w:cs="仿宋_GB2312"/>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hint="eastAsia" w:ascii="仿宋_GB2312" w:hAnsi="仿宋_GB2312" w:eastAsia="仿宋_GB2312" w:cs="仿宋_GB2312"/>
          <w:sz w:val="32"/>
          <w:szCs w:val="32"/>
        </w:rPr>
      </w:pPr>
      <w:r>
        <w:rPr>
          <w:rFonts w:hint="eastAsia" w:ascii="楷体" w:hAnsi="楷体" w:eastAsia="楷体" w:cs="楷体"/>
          <w:b/>
          <w:sz w:val="32"/>
          <w:szCs w:val="32"/>
        </w:rPr>
        <w:t>9、上年结转：</w:t>
      </w:r>
      <w:r>
        <w:rPr>
          <w:rFonts w:hint="eastAsia" w:ascii="仿宋_GB2312" w:hAnsi="仿宋_GB2312" w:eastAsia="仿宋_GB2312" w:cs="仿宋_GB2312"/>
          <w:sz w:val="32"/>
          <w:szCs w:val="32"/>
        </w:rPr>
        <w:t>指以前年度尚未完成、结转到本年仍按原规定用途继续使用的资金。</w:t>
      </w:r>
    </w:p>
    <w:p>
      <w:pPr>
        <w:tabs>
          <w:tab w:val="left" w:pos="11490"/>
        </w:tabs>
        <w:spacing w:line="584" w:lineRule="exact"/>
        <w:ind w:firstLine="643" w:firstLineChars="200"/>
        <w:rPr>
          <w:rFonts w:hint="eastAsia" w:ascii="仿宋_GB2312" w:hAnsi="仿宋_GB2312" w:eastAsia="仿宋_GB2312" w:cs="仿宋_GB2312"/>
          <w:sz w:val="32"/>
          <w:szCs w:val="32"/>
        </w:rPr>
      </w:pPr>
      <w:r>
        <w:rPr>
          <w:rFonts w:hint="eastAsia" w:ascii="楷体" w:hAnsi="楷体" w:eastAsia="楷体" w:cs="楷体"/>
          <w:b/>
          <w:sz w:val="32"/>
          <w:szCs w:val="32"/>
        </w:rPr>
        <w:t>10、事业单位经营支出：</w:t>
      </w:r>
      <w:r>
        <w:rPr>
          <w:rFonts w:hint="eastAsia" w:ascii="仿宋_GB2312" w:hAnsi="仿宋_GB2312" w:eastAsia="仿宋_GB2312" w:cs="仿宋_GB2312"/>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sz w:val="32"/>
          <w:szCs w:val="32"/>
        </w:rPr>
      </w:pPr>
      <w:r>
        <w:rPr>
          <w:rFonts w:hint="eastAsia" w:ascii="Times New Roman" w:hAnsi="黑体" w:eastAsia="黑体"/>
          <w:sz w:val="32"/>
          <w:szCs w:val="32"/>
        </w:rPr>
        <w:t>九、其他需要说明的事项</w:t>
      </w:r>
    </w:p>
    <w:p>
      <w:pPr>
        <w:spacing w:line="584"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我部门无其他需要说明的事项。</w:t>
      </w:r>
    </w:p>
    <w:sectPr>
      <w:pgSz w:w="16838" w:h="11906" w:orient="landscape"/>
      <w:pgMar w:top="1800" w:right="1440" w:bottom="1800" w:left="144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altName w:val="方正舒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书宋_GBK">
    <w:altName w:val="宋体"/>
    <w:panose1 w:val="00000000000000000000"/>
    <w:charset w:val="86"/>
    <w:family w:val="roma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t>-</w:t>
    </w:r>
    <w:r>
      <w:fldChar w:fldCharType="begin"/>
    </w:r>
    <w:r>
      <w:instrText xml:space="preserve">PAGE   \* MERGEFORMAT</w:instrText>
    </w:r>
    <w:r>
      <w:fldChar w:fldCharType="separate"/>
    </w:r>
    <w:r>
      <w:rPr>
        <w:lang w:val="zh-CN"/>
      </w:rPr>
      <w:t>9</w:t>
    </w:r>
    <w:r>
      <w:rPr>
        <w:lang w:val="zh-CN"/>
      </w:rPr>
      <w:fldChar w:fldCharType="end"/>
    </w:r>
    <w:r>
      <w:t>-</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9"/>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k2OWY5OWM2MmUyZjIzY2U5ZTcwM2YzZmI4OGVlMzgifQ=="/>
  </w:docVars>
  <w:rsids>
    <w:rsidRoot w:val="00F66032"/>
    <w:rsid w:val="000053CC"/>
    <w:rsid w:val="00010564"/>
    <w:rsid w:val="00037AF6"/>
    <w:rsid w:val="000410F2"/>
    <w:rsid w:val="0004565F"/>
    <w:rsid w:val="00066E07"/>
    <w:rsid w:val="00072187"/>
    <w:rsid w:val="00075D5F"/>
    <w:rsid w:val="0008180F"/>
    <w:rsid w:val="00093DA3"/>
    <w:rsid w:val="000A125B"/>
    <w:rsid w:val="000B529B"/>
    <w:rsid w:val="000C24E6"/>
    <w:rsid w:val="000C345A"/>
    <w:rsid w:val="000C3A19"/>
    <w:rsid w:val="000E4305"/>
    <w:rsid w:val="000F0D09"/>
    <w:rsid w:val="001245BB"/>
    <w:rsid w:val="001251A3"/>
    <w:rsid w:val="0015229A"/>
    <w:rsid w:val="00160266"/>
    <w:rsid w:val="001643E8"/>
    <w:rsid w:val="00176C13"/>
    <w:rsid w:val="001919C4"/>
    <w:rsid w:val="0019723B"/>
    <w:rsid w:val="001A0943"/>
    <w:rsid w:val="001A5828"/>
    <w:rsid w:val="001B5C1D"/>
    <w:rsid w:val="001D287A"/>
    <w:rsid w:val="001E0757"/>
    <w:rsid w:val="001E6DDC"/>
    <w:rsid w:val="001E70E9"/>
    <w:rsid w:val="001F5C92"/>
    <w:rsid w:val="001F7873"/>
    <w:rsid w:val="002001A3"/>
    <w:rsid w:val="00230E48"/>
    <w:rsid w:val="00241FD4"/>
    <w:rsid w:val="00246317"/>
    <w:rsid w:val="00251B12"/>
    <w:rsid w:val="00265318"/>
    <w:rsid w:val="00266BE3"/>
    <w:rsid w:val="002740C2"/>
    <w:rsid w:val="002835D7"/>
    <w:rsid w:val="00290FD6"/>
    <w:rsid w:val="00293364"/>
    <w:rsid w:val="00296113"/>
    <w:rsid w:val="002A673A"/>
    <w:rsid w:val="002C5E13"/>
    <w:rsid w:val="002C62BC"/>
    <w:rsid w:val="002E0449"/>
    <w:rsid w:val="002E0EB8"/>
    <w:rsid w:val="002F3C01"/>
    <w:rsid w:val="002F3E58"/>
    <w:rsid w:val="0030542C"/>
    <w:rsid w:val="00311B7A"/>
    <w:rsid w:val="003126B6"/>
    <w:rsid w:val="00313D9C"/>
    <w:rsid w:val="00325215"/>
    <w:rsid w:val="0033339C"/>
    <w:rsid w:val="00336987"/>
    <w:rsid w:val="00340B53"/>
    <w:rsid w:val="003517B7"/>
    <w:rsid w:val="0035775D"/>
    <w:rsid w:val="0036086E"/>
    <w:rsid w:val="003874EF"/>
    <w:rsid w:val="003B6D37"/>
    <w:rsid w:val="003C7F80"/>
    <w:rsid w:val="00414BD3"/>
    <w:rsid w:val="00424943"/>
    <w:rsid w:val="0042727E"/>
    <w:rsid w:val="0043175C"/>
    <w:rsid w:val="00437296"/>
    <w:rsid w:val="00451590"/>
    <w:rsid w:val="00451871"/>
    <w:rsid w:val="004706DE"/>
    <w:rsid w:val="00472923"/>
    <w:rsid w:val="00486DCD"/>
    <w:rsid w:val="0049120C"/>
    <w:rsid w:val="004B0C3A"/>
    <w:rsid w:val="004C49A8"/>
    <w:rsid w:val="004D5788"/>
    <w:rsid w:val="004E3066"/>
    <w:rsid w:val="004E419C"/>
    <w:rsid w:val="004E74CD"/>
    <w:rsid w:val="004F05E7"/>
    <w:rsid w:val="00517E12"/>
    <w:rsid w:val="00524EFD"/>
    <w:rsid w:val="00547F19"/>
    <w:rsid w:val="00554F4B"/>
    <w:rsid w:val="00572067"/>
    <w:rsid w:val="00573562"/>
    <w:rsid w:val="00590ECE"/>
    <w:rsid w:val="005979BF"/>
    <w:rsid w:val="005B3F56"/>
    <w:rsid w:val="005C0E90"/>
    <w:rsid w:val="005D0C27"/>
    <w:rsid w:val="005D37CA"/>
    <w:rsid w:val="005F5714"/>
    <w:rsid w:val="005F7AE1"/>
    <w:rsid w:val="00600299"/>
    <w:rsid w:val="00611D03"/>
    <w:rsid w:val="00614A29"/>
    <w:rsid w:val="00636109"/>
    <w:rsid w:val="00651BA2"/>
    <w:rsid w:val="00673D76"/>
    <w:rsid w:val="006854F0"/>
    <w:rsid w:val="006B1C4A"/>
    <w:rsid w:val="006B610D"/>
    <w:rsid w:val="006C206A"/>
    <w:rsid w:val="006C559C"/>
    <w:rsid w:val="006E49F5"/>
    <w:rsid w:val="007013C8"/>
    <w:rsid w:val="007047AE"/>
    <w:rsid w:val="00727C84"/>
    <w:rsid w:val="0074338E"/>
    <w:rsid w:val="00753836"/>
    <w:rsid w:val="0075393C"/>
    <w:rsid w:val="00754592"/>
    <w:rsid w:val="00776C08"/>
    <w:rsid w:val="007928BD"/>
    <w:rsid w:val="007B49AA"/>
    <w:rsid w:val="007C219A"/>
    <w:rsid w:val="007E1DA8"/>
    <w:rsid w:val="007F0BFC"/>
    <w:rsid w:val="007F1335"/>
    <w:rsid w:val="007F6C26"/>
    <w:rsid w:val="00800B4F"/>
    <w:rsid w:val="00800F72"/>
    <w:rsid w:val="00811795"/>
    <w:rsid w:val="00813208"/>
    <w:rsid w:val="00815157"/>
    <w:rsid w:val="0083348E"/>
    <w:rsid w:val="008334AE"/>
    <w:rsid w:val="00836FED"/>
    <w:rsid w:val="0083724E"/>
    <w:rsid w:val="00841D53"/>
    <w:rsid w:val="00845CD2"/>
    <w:rsid w:val="00852B0D"/>
    <w:rsid w:val="0085425A"/>
    <w:rsid w:val="00862CE4"/>
    <w:rsid w:val="00864B7F"/>
    <w:rsid w:val="00881692"/>
    <w:rsid w:val="00882539"/>
    <w:rsid w:val="008839D6"/>
    <w:rsid w:val="008858FF"/>
    <w:rsid w:val="008A6576"/>
    <w:rsid w:val="008B3CC5"/>
    <w:rsid w:val="008B52CD"/>
    <w:rsid w:val="008C7C4D"/>
    <w:rsid w:val="008E4261"/>
    <w:rsid w:val="008E70D4"/>
    <w:rsid w:val="008F4662"/>
    <w:rsid w:val="0090563F"/>
    <w:rsid w:val="00905D08"/>
    <w:rsid w:val="00906672"/>
    <w:rsid w:val="00925753"/>
    <w:rsid w:val="00937F8B"/>
    <w:rsid w:val="009425F4"/>
    <w:rsid w:val="00943BD8"/>
    <w:rsid w:val="00954B2C"/>
    <w:rsid w:val="00966C5C"/>
    <w:rsid w:val="00973104"/>
    <w:rsid w:val="009832B7"/>
    <w:rsid w:val="009842F6"/>
    <w:rsid w:val="00995BF0"/>
    <w:rsid w:val="009A16D5"/>
    <w:rsid w:val="009A353D"/>
    <w:rsid w:val="009B0B77"/>
    <w:rsid w:val="009B511E"/>
    <w:rsid w:val="009B5215"/>
    <w:rsid w:val="009C6C86"/>
    <w:rsid w:val="009D37D3"/>
    <w:rsid w:val="00A16E6C"/>
    <w:rsid w:val="00A36F96"/>
    <w:rsid w:val="00A40F60"/>
    <w:rsid w:val="00A44E3D"/>
    <w:rsid w:val="00A47F02"/>
    <w:rsid w:val="00A539D4"/>
    <w:rsid w:val="00A72D2E"/>
    <w:rsid w:val="00A74447"/>
    <w:rsid w:val="00A74CE5"/>
    <w:rsid w:val="00A77500"/>
    <w:rsid w:val="00A8536F"/>
    <w:rsid w:val="00A911E7"/>
    <w:rsid w:val="00A939D9"/>
    <w:rsid w:val="00AB77AA"/>
    <w:rsid w:val="00AC4748"/>
    <w:rsid w:val="00AD5259"/>
    <w:rsid w:val="00B01D36"/>
    <w:rsid w:val="00B078CD"/>
    <w:rsid w:val="00B20712"/>
    <w:rsid w:val="00B43238"/>
    <w:rsid w:val="00B45DD3"/>
    <w:rsid w:val="00B54B90"/>
    <w:rsid w:val="00B64D40"/>
    <w:rsid w:val="00B64FA8"/>
    <w:rsid w:val="00B73582"/>
    <w:rsid w:val="00B75216"/>
    <w:rsid w:val="00B755A2"/>
    <w:rsid w:val="00B9104C"/>
    <w:rsid w:val="00B91D52"/>
    <w:rsid w:val="00B9490F"/>
    <w:rsid w:val="00BA1ACD"/>
    <w:rsid w:val="00BD09F8"/>
    <w:rsid w:val="00C005B2"/>
    <w:rsid w:val="00C1565C"/>
    <w:rsid w:val="00C21E0F"/>
    <w:rsid w:val="00C362CA"/>
    <w:rsid w:val="00C732BF"/>
    <w:rsid w:val="00C772C1"/>
    <w:rsid w:val="00CA7176"/>
    <w:rsid w:val="00CB3230"/>
    <w:rsid w:val="00CB51D7"/>
    <w:rsid w:val="00CC75B0"/>
    <w:rsid w:val="00CC7B84"/>
    <w:rsid w:val="00CD2773"/>
    <w:rsid w:val="00CE01BA"/>
    <w:rsid w:val="00CE143B"/>
    <w:rsid w:val="00CE3A91"/>
    <w:rsid w:val="00D07DBA"/>
    <w:rsid w:val="00D23C16"/>
    <w:rsid w:val="00D27003"/>
    <w:rsid w:val="00D324AD"/>
    <w:rsid w:val="00D3609C"/>
    <w:rsid w:val="00D9307A"/>
    <w:rsid w:val="00DA76CB"/>
    <w:rsid w:val="00DB4322"/>
    <w:rsid w:val="00DD1D0C"/>
    <w:rsid w:val="00DE186D"/>
    <w:rsid w:val="00E167C7"/>
    <w:rsid w:val="00E32E4D"/>
    <w:rsid w:val="00E55B78"/>
    <w:rsid w:val="00E73AF6"/>
    <w:rsid w:val="00E76361"/>
    <w:rsid w:val="00E84020"/>
    <w:rsid w:val="00E906B2"/>
    <w:rsid w:val="00EB7A80"/>
    <w:rsid w:val="00EC47F6"/>
    <w:rsid w:val="00EE6D6D"/>
    <w:rsid w:val="00EF08C9"/>
    <w:rsid w:val="00EF535E"/>
    <w:rsid w:val="00F471F7"/>
    <w:rsid w:val="00F66032"/>
    <w:rsid w:val="00F83B96"/>
    <w:rsid w:val="00F8441D"/>
    <w:rsid w:val="00F87C1E"/>
    <w:rsid w:val="00F958C2"/>
    <w:rsid w:val="00FA740E"/>
    <w:rsid w:val="00FC06C7"/>
    <w:rsid w:val="00FC2B40"/>
    <w:rsid w:val="00FD5DB4"/>
    <w:rsid w:val="00FD676E"/>
    <w:rsid w:val="00FE1724"/>
    <w:rsid w:val="00FE5FBF"/>
    <w:rsid w:val="00FE753C"/>
    <w:rsid w:val="00FF2346"/>
    <w:rsid w:val="019C2363"/>
    <w:rsid w:val="1D4C58BC"/>
    <w:rsid w:val="1D8B468F"/>
    <w:rsid w:val="21AA4A7C"/>
    <w:rsid w:val="24CC4C48"/>
    <w:rsid w:val="2545752C"/>
    <w:rsid w:val="295B048C"/>
    <w:rsid w:val="397F3C9C"/>
    <w:rsid w:val="46740D4A"/>
    <w:rsid w:val="473B2D11"/>
    <w:rsid w:val="49EF2164"/>
    <w:rsid w:val="5D5375E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qFormat="1" w:unhideWhenUsed="0" w:uiPriority="99" w:semiHidden="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qFormat="1" w:unhideWhenUsed="0"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autoRedefine/>
    <w:semiHidden/>
    <w:qFormat/>
    <w:uiPriority w:val="99"/>
  </w:style>
  <w:style w:type="table" w:default="1" w:styleId="8">
    <w:name w:val="Normal Table"/>
    <w:autoRedefine/>
    <w:unhideWhenUsed/>
    <w:qFormat/>
    <w:uiPriority w:val="99"/>
    <w:tblPr>
      <w:tblCellMar>
        <w:top w:w="0" w:type="dxa"/>
        <w:left w:w="108" w:type="dxa"/>
        <w:bottom w:w="0" w:type="dxa"/>
        <w:right w:w="108" w:type="dxa"/>
      </w:tblCellMar>
    </w:tblPr>
  </w:style>
  <w:style w:type="paragraph" w:styleId="2">
    <w:name w:val="Balloon Text"/>
    <w:basedOn w:val="1"/>
    <w:link w:val="11"/>
    <w:autoRedefine/>
    <w:qFormat/>
    <w:uiPriority w:val="99"/>
    <w:rPr>
      <w:sz w:val="18"/>
      <w:szCs w:val="18"/>
    </w:rPr>
  </w:style>
  <w:style w:type="paragraph" w:styleId="3">
    <w:name w:val="footer"/>
    <w:basedOn w:val="1"/>
    <w:link w:val="12"/>
    <w:autoRedefine/>
    <w:qFormat/>
    <w:uiPriority w:val="99"/>
    <w:pPr>
      <w:tabs>
        <w:tab w:val="center" w:pos="4153"/>
        <w:tab w:val="right" w:pos="8306"/>
      </w:tabs>
      <w:snapToGrid w:val="0"/>
      <w:jc w:val="left"/>
    </w:pPr>
    <w:rPr>
      <w:rFonts w:ascii="Times New Roman" w:hAnsi="Times New Roman"/>
      <w:sz w:val="18"/>
      <w:szCs w:val="18"/>
    </w:rPr>
  </w:style>
  <w:style w:type="paragraph" w:styleId="4">
    <w:name w:val="header"/>
    <w:basedOn w:val="1"/>
    <w:link w:val="13"/>
    <w:autoRedefine/>
    <w:qFormat/>
    <w:uiPriority w:val="99"/>
    <w:pPr>
      <w:pBdr>
        <w:bottom w:val="single" w:color="auto" w:sz="6" w:space="1"/>
      </w:pBdr>
      <w:tabs>
        <w:tab w:val="center" w:pos="4153"/>
        <w:tab w:val="right" w:pos="8306"/>
      </w:tabs>
      <w:snapToGrid w:val="0"/>
      <w:jc w:val="center"/>
    </w:pPr>
    <w:rPr>
      <w:rFonts w:ascii="Times New Roman" w:hAnsi="Times New Roman"/>
      <w:sz w:val="18"/>
      <w:szCs w:val="18"/>
    </w:rPr>
  </w:style>
  <w:style w:type="paragraph" w:styleId="5">
    <w:name w:val="toc 1"/>
    <w:basedOn w:val="1"/>
    <w:next w:val="1"/>
    <w:qFormat/>
    <w:uiPriority w:val="99"/>
    <w:rPr>
      <w:rFonts w:ascii="Times New Roman" w:hAnsi="Times New Roman"/>
      <w:szCs w:val="24"/>
    </w:rPr>
  </w:style>
  <w:style w:type="paragraph" w:styleId="6">
    <w:name w:val="footnote text"/>
    <w:basedOn w:val="1"/>
    <w:link w:val="14"/>
    <w:qFormat/>
    <w:uiPriority w:val="99"/>
    <w:pPr>
      <w:snapToGrid w:val="0"/>
      <w:jc w:val="left"/>
    </w:pPr>
    <w:rPr>
      <w:sz w:val="18"/>
      <w:szCs w:val="18"/>
    </w:rPr>
  </w:style>
  <w:style w:type="paragraph" w:styleId="7">
    <w:name w:val="toc 2"/>
    <w:basedOn w:val="1"/>
    <w:next w:val="1"/>
    <w:qFormat/>
    <w:uiPriority w:val="99"/>
    <w:pPr>
      <w:ind w:left="420" w:leftChars="200"/>
    </w:pPr>
    <w:rPr>
      <w:rFonts w:ascii="Times New Roman" w:hAnsi="Times New Roman"/>
      <w:szCs w:val="24"/>
    </w:rPr>
  </w:style>
  <w:style w:type="character" w:styleId="10">
    <w:name w:val="footnote reference"/>
    <w:basedOn w:val="9"/>
    <w:autoRedefine/>
    <w:qFormat/>
    <w:uiPriority w:val="99"/>
    <w:rPr>
      <w:rFonts w:cs="Times New Roman"/>
      <w:vertAlign w:val="superscript"/>
    </w:rPr>
  </w:style>
  <w:style w:type="character" w:customStyle="1" w:styleId="11">
    <w:name w:val="Balloon Text Char"/>
    <w:basedOn w:val="9"/>
    <w:link w:val="2"/>
    <w:semiHidden/>
    <w:qFormat/>
    <w:locked/>
    <w:uiPriority w:val="99"/>
    <w:rPr>
      <w:rFonts w:cs="Times New Roman"/>
      <w:sz w:val="18"/>
      <w:szCs w:val="18"/>
    </w:rPr>
  </w:style>
  <w:style w:type="character" w:customStyle="1" w:styleId="12">
    <w:name w:val="Footer Char"/>
    <w:basedOn w:val="9"/>
    <w:link w:val="3"/>
    <w:qFormat/>
    <w:locked/>
    <w:uiPriority w:val="99"/>
    <w:rPr>
      <w:rFonts w:ascii="Times New Roman" w:hAnsi="Times New Roman" w:eastAsia="宋体" w:cs="Times New Roman"/>
      <w:sz w:val="18"/>
      <w:szCs w:val="18"/>
    </w:rPr>
  </w:style>
  <w:style w:type="character" w:customStyle="1" w:styleId="13">
    <w:name w:val="Header Char"/>
    <w:basedOn w:val="9"/>
    <w:link w:val="4"/>
    <w:autoRedefine/>
    <w:qFormat/>
    <w:locked/>
    <w:uiPriority w:val="99"/>
    <w:rPr>
      <w:rFonts w:ascii="Times New Roman" w:hAnsi="Times New Roman" w:eastAsia="宋体" w:cs="Times New Roman"/>
      <w:sz w:val="18"/>
      <w:szCs w:val="18"/>
    </w:rPr>
  </w:style>
  <w:style w:type="character" w:customStyle="1" w:styleId="14">
    <w:name w:val="Footnote Text Char"/>
    <w:basedOn w:val="9"/>
    <w:link w:val="6"/>
    <w:semiHidden/>
    <w:qFormat/>
    <w:locked/>
    <w:uiPriority w:val="99"/>
    <w:rPr>
      <w:rFonts w:ascii="Calibri" w:hAnsi="Calibri" w:eastAsia="宋体" w:cs="Times New Roman"/>
      <w:sz w:val="18"/>
      <w:szCs w:val="18"/>
    </w:rPr>
  </w:style>
  <w:style w:type="paragraph" w:customStyle="1" w:styleId="15">
    <w:name w:val="Default"/>
    <w:autoRedefine/>
    <w:qFormat/>
    <w:uiPriority w:val="99"/>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Template>
  <Company>Microsoft</Company>
  <Pages>12</Pages>
  <Words>956</Words>
  <Characters>5451</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2019-01-16T09:51:00Z</dcterms:created>
  <dc:creator>guest</dc:creator>
  <cp:lastModifiedBy>王亮</cp:lastModifiedBy>
  <cp:lastPrinted>2019-02-05T03:29:00Z</cp:lastPrinted>
  <dcterms:modified xsi:type="dcterms:W3CDTF">2024-01-23T03:59:34Z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C48FC56310FE424689866A5C224DD81D_13</vt:lpwstr>
  </property>
</Properties>
</file>