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大城县自然资源和规划局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大城县自然资源和规划局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8"/>
        <w:widowControl/>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pStyle w:val="8"/>
        <w:widowControl/>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负责全县自然资源调查监测评价。贯彻执行国家自然资源调查评价的指标体系、统计标准和自然资源调查监测评价制度，实施自然资源基础调查、专项调查和监测。负责自然资源调查监测评价成果的监督管理和信息发布，指导各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自然资源调查监测评价工作。</w:t>
      </w:r>
    </w:p>
    <w:p>
      <w:pPr>
        <w:pStyle w:val="8"/>
        <w:widowControl/>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）负责全县自然资源统一确权登记工作。贯彻执行国家各类自然资源和不动产统一确权登记、权籍调</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不动产测绘、争议调处、成果应用的制度、标准、规范。建立健全全县自然资源和不动产登记信息管理基础平台。负责自然资源和不动产登记资料收集、整理、共享、汇交管理等。指导监督全县自然资源和不动产登记工作。</w:t>
      </w:r>
    </w:p>
    <w:p>
      <w:pPr>
        <w:pStyle w:val="8"/>
        <w:widowControl/>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负责全县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pStyle w:val="8"/>
        <w:widowControl/>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负责全县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pStyle w:val="8"/>
        <w:widowControl/>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负责建立全县空间规划体系并监督实施。推动主体功能区战略和制度，组织编制并监督实施全县国土空间规划和相关专项规划。负责编制城市控制性详细规划和城市设计，开展国土空间开发适宜性评价，建立国土空间规划实施监测、评估和预警体系。负责指导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国土空间规划和相关专项规划的编制工作并监督管理，组织划定生态保护红线、永久基本农田、城镇开发边界等控制线，构建节约资源和保护环境的生产、生活、生态空间布局。负责县城乡规划审议委员会日常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负责建立健全国土空间用途管制制度，研究拟订城乡规划政策并监督实施。参与城市重大建设项目前期论证承担建设项目用地选址、建设用地、建设工程及临时建设的规划管理工作。负责土地等自然资源年度利用计划管理工作。负责土地等国土空间用途转用工作，负责土地征收征用管理。</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(8)</w:t>
      </w:r>
      <w:r>
        <w:rPr>
          <w:rFonts w:hint="eastAsia" w:ascii="仿宋_GB2312" w:hAnsi="仿宋_GB2312" w:eastAsia="仿宋_GB2312" w:cs="仿宋_GB2312"/>
          <w:sz w:val="32"/>
          <w:szCs w:val="32"/>
        </w:rPr>
        <w:t>负责统筹全县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负责组织实施最严格的耕地保护制度。贯彻落实耕地保护政策，负责耕地数量、质量、生态保护。组织实施耕地保护责任目标考核和永久基本农田特殊保护。负责落实耕地占补平衡制度，监督占用耕地补偿制度情况。</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负责管理全县地质勘查行业和地质工作。编制地质勘查规划并监督检查情况。管理县级地质勘</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项目。组织实施重大地质矿产勘查专项。负责古生物化石的监督管理。</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(12)</w:t>
      </w:r>
      <w:r>
        <w:rPr>
          <w:rFonts w:hint="eastAsia" w:ascii="仿宋_GB2312" w:hAnsi="仿宋_GB2312" w:eastAsia="仿宋_GB2312" w:cs="仿宋_GB2312"/>
          <w:sz w:val="32"/>
          <w:szCs w:val="32"/>
        </w:rPr>
        <w:t>负责全县矿产资源管理工作。负责矿产资源储量管理及矿产资源管理。负责矿业权管理。会同有关部门负责落实保护性开采的特定矿种、优势矿产的调控及相关管理工作。监督指导矿产资源合理利用和保护。</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(13)</w:t>
      </w:r>
      <w:r>
        <w:rPr>
          <w:rFonts w:hint="eastAsia" w:ascii="仿宋_GB2312" w:hAnsi="仿宋_GB2312" w:eastAsia="仿宋_GB2312" w:cs="仿宋_GB2312"/>
          <w:sz w:val="32"/>
          <w:szCs w:val="32"/>
        </w:rPr>
        <w:t>负责全县测绘地理信息管理工作，负责基础测绘和测绘行业管理。负责测绘资质资格与信用管理，监督管理地理信息安全和市场秩序。负责地理信息公共服务管理。负责测量标志保护。</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(14)</w:t>
      </w:r>
      <w:r>
        <w:rPr>
          <w:rFonts w:hint="eastAsia" w:ascii="仿宋_GB2312" w:hAnsi="仿宋_GB2312" w:eastAsia="仿宋_GB2312" w:cs="仿宋_GB2312"/>
          <w:sz w:val="32"/>
          <w:szCs w:val="32"/>
        </w:rPr>
        <w:t>负责组织全县造林绿化工作。指导公益林和商品林的培育，指导、监督全民义务植树、城乡绿化工作。指导林业有害生物防治、检疫工作。承担林业应对气候变化的相关工作。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(15)</w:t>
      </w:r>
      <w:r>
        <w:rPr>
          <w:rFonts w:hint="eastAsia" w:ascii="仿宋_GB2312" w:hAnsi="仿宋_GB2312" w:eastAsia="仿宋_GB2312" w:cs="仿宋_GB2312"/>
          <w:sz w:val="32"/>
          <w:szCs w:val="32"/>
        </w:rPr>
        <w:t>负责全县森林、草原、湿地资源的监督管理。组织编制并监督执行全县森林采伐限额。负责林地管理，拟订全县林地保护利用规划并组织实施，指导全县公益林划定和管理工作。管理县属国有林场的森林资源。监督管理草原的开发利用。拟订全县湿地保护规划和相关地方标准并组织实施，监督管理湿地的开发利用。</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(16)</w:t>
      </w:r>
      <w:r>
        <w:rPr>
          <w:rFonts w:hint="eastAsia" w:ascii="仿宋_GB2312" w:hAnsi="仿宋_GB2312" w:eastAsia="仿宋_GB2312" w:cs="仿宋_GB2312"/>
          <w:sz w:val="32"/>
          <w:szCs w:val="32"/>
        </w:rPr>
        <w:t>负责监督管理全县荒漠化防治工作。组织开展荒漠调查，组织拟订全县防沙治沙及沙化土地封禁保护区建设规划，拟定相关地方标准和规定并监督实施，监督管理沙化土地的开发利用，组织沙尘暴灾害预测预报和应急处置。</w:t>
      </w:r>
    </w:p>
    <w:p>
      <w:pPr>
        <w:pStyle w:val="8"/>
        <w:widowControl/>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 xml:space="preserve"> (17)</w:t>
      </w:r>
      <w:r>
        <w:rPr>
          <w:rFonts w:hint="eastAsia" w:ascii="仿宋_GB2312" w:hAnsi="仿宋_GB2312" w:eastAsia="仿宋_GB2312" w:cs="仿宋_GB2312"/>
          <w:sz w:val="32"/>
          <w:szCs w:val="32"/>
        </w:rPr>
        <w:t>负责全县陆生野生动植物资源监督管理。组织开展陆生野生动植物资源调查工作。指导全县陆生野生动植物的救护繁育、栖息地恢复发展、疫源疫病监测，监督管理全县陆生野生动植物猎捕或采集、驯养繁殖或培育、经营利用，按分工监督管理野生动植物进出口。</w:t>
      </w:r>
    </w:p>
    <w:p>
      <w:pPr>
        <w:pStyle w:val="8"/>
        <w:widowControl/>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自然保护地规划。承办国家公园规划、管理和监督，负责监督管理全县各类自然保护地。拟订全县各类上级委托县政府代理行使所有权的国家公园等自然保护地的自然资源资产管理和国土空间用途管制。提出新建、调整各类县级以上自然保护地的审核建议并按程序报批。组织申报世界自然遗产，会同有关部门申报世界自然与文化双重遗产，负责全县生物多样性保护相关工作。</w:t>
      </w:r>
    </w:p>
    <w:p>
      <w:pPr>
        <w:pStyle w:val="8"/>
        <w:widowControl/>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负责推进全县林业和草原改革相关工作。拟订集体林权制度、国有林场、草原等重大改革意见并监督实施。拟订农村林业发展，维护林业经营者合法权益的政策措施，指导监督农村林地承包工作。开展退耕还林还草，负责天然林保护工作。</w:t>
      </w:r>
    </w:p>
    <w:p>
      <w:pPr>
        <w:pStyle w:val="8"/>
        <w:widowControl/>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(20)</w:t>
      </w:r>
      <w:r>
        <w:rPr>
          <w:rFonts w:hint="eastAsia" w:ascii="仿宋_GB2312" w:hAnsi="仿宋_GB2312" w:eastAsia="仿宋_GB2312" w:cs="仿宋_GB2312"/>
          <w:sz w:val="32"/>
          <w:szCs w:val="32"/>
        </w:rPr>
        <w:t>拟订全县林业和草原资源优化配置及木材利用政策，拟订相关林业产业地方标准并监督实施，组织、指导林产品质量监督，指导生态扶贫相关工作。</w:t>
      </w:r>
    </w:p>
    <w:p>
      <w:pPr>
        <w:pStyle w:val="8"/>
        <w:widowControl/>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    (21)</w:t>
      </w:r>
      <w:r>
        <w:rPr>
          <w:rFonts w:hint="eastAsia" w:ascii="仿宋_GB2312" w:hAnsi="仿宋_GB2312" w:eastAsia="仿宋_GB2312" w:cs="仿宋_GB2312"/>
          <w:sz w:val="32"/>
          <w:szCs w:val="32"/>
        </w:rPr>
        <w:t>指导全县国有林场基本建设和发展，组织开展林木种子、草种种质资源普查，组织建立种质资源库，负责良种选育推广，管理林木种苗、草种生产经管行为，监管林木种苗、草种质量。监督管理林业和草原生物种质资源、转基因生物安全、植物新品种保护。</w:t>
      </w:r>
    </w:p>
    <w:p>
      <w:pPr>
        <w:pStyle w:val="8"/>
        <w:widowControl/>
        <w:jc w:val="both"/>
        <w:rPr>
          <w:rFonts w:ascii="仿宋_GB2312" w:hAnsi="仿宋_GB2312" w:eastAsia="仿宋_GB2312" w:cs="仿宋_GB2312"/>
          <w:sz w:val="32"/>
          <w:szCs w:val="32"/>
        </w:rPr>
      </w:pPr>
      <w:r>
        <w:rPr>
          <w:rFonts w:ascii="仿宋_GB2312" w:hAnsi="仿宋_GB2312" w:eastAsia="仿宋_GB2312" w:cs="仿宋_GB2312"/>
          <w:sz w:val="32"/>
          <w:szCs w:val="32"/>
        </w:rPr>
        <w:t xml:space="preserve">    (22)</w:t>
      </w:r>
      <w:r>
        <w:rPr>
          <w:rFonts w:hint="eastAsia" w:ascii="仿宋_GB2312" w:hAnsi="仿宋_GB2312" w:eastAsia="仿宋_GB2312" w:cs="仿宋_GB2312"/>
          <w:sz w:val="32"/>
          <w:szCs w:val="32"/>
        </w:rPr>
        <w:t>指导全县林业重大违法案件的查处，负责相关行政执法监管工作，指导林区社会治安治理工作。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(23)</w:t>
      </w:r>
      <w:r>
        <w:rPr>
          <w:rFonts w:hint="eastAsia" w:ascii="仿宋_GB2312" w:hAnsi="仿宋_GB2312" w:eastAsia="仿宋_GB2312" w:cs="仿宋_GB2312"/>
          <w:sz w:val="32"/>
          <w:szCs w:val="32"/>
        </w:rPr>
        <w:t>负责落实全县综合防灾减灾规划相关要求，组织编制全县森林和草原火灾防治规划和防护标准并监督实施，指导开展防火巡护、火源管理、防火设施建设等工作。组织指导开</w:t>
      </w:r>
      <w:r>
        <w:rPr>
          <w:rFonts w:hint="eastAsia" w:ascii="仿宋_GB2312" w:hAnsi="仿宋_GB2312" w:eastAsia="仿宋_GB2312" w:cs="仿宋_GB2312"/>
          <w:sz w:val="32"/>
          <w:szCs w:val="32"/>
          <w:lang w:eastAsia="zh-CN"/>
        </w:rPr>
        <w:t>展</w:t>
      </w:r>
      <w:r>
        <w:rPr>
          <w:rFonts w:hint="eastAsia" w:ascii="仿宋_GB2312" w:hAnsi="仿宋_GB2312" w:eastAsia="仿宋_GB2312" w:cs="仿宋_GB2312"/>
          <w:sz w:val="32"/>
          <w:szCs w:val="32"/>
        </w:rPr>
        <w:t>全县森林和草原防火宣传教育、监测预警、督促检查等防火工作。必要时，可以提请县应急管理局，以县应急指挥机构名义，部署相关防治工作。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(24)</w:t>
      </w:r>
      <w:r>
        <w:rPr>
          <w:rFonts w:hint="eastAsia" w:ascii="仿宋_GB2312" w:hAnsi="仿宋_GB2312" w:eastAsia="仿宋_GB2312" w:cs="仿宋_GB2312"/>
          <w:sz w:val="32"/>
          <w:szCs w:val="32"/>
        </w:rPr>
        <w:t>推动全县自然资源</w:t>
      </w:r>
      <w:r>
        <w:rPr>
          <w:rFonts w:hint="eastAsia" w:ascii="仿宋_GB2312" w:hAnsi="仿宋_GB2312" w:eastAsia="仿宋_GB2312" w:cs="仿宋_GB2312"/>
          <w:sz w:val="32"/>
          <w:szCs w:val="32"/>
          <w:lang w:eastAsia="zh-CN"/>
        </w:rPr>
        <w:t>领域</w:t>
      </w:r>
      <w:r>
        <w:rPr>
          <w:rFonts w:hint="eastAsia" w:ascii="仿宋_GB2312" w:hAnsi="仿宋_GB2312" w:eastAsia="仿宋_GB2312" w:cs="仿宋_GB2312"/>
          <w:sz w:val="32"/>
          <w:szCs w:val="32"/>
        </w:rPr>
        <w:t>科技发展。制定并实施自然资源领域科技创新发展和人才培养规划和计划。贯彻执行技术标准、规程规范。组织实施重大科技工程及创新能力建设，推进自然资源信息化和信息资料的公共服务。</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(25)</w:t>
      </w:r>
      <w:r>
        <w:rPr>
          <w:rFonts w:hint="eastAsia" w:ascii="仿宋_GB2312" w:hAnsi="仿宋_GB2312" w:eastAsia="仿宋_GB2312" w:cs="仿宋_GB2312"/>
          <w:sz w:val="32"/>
          <w:szCs w:val="32"/>
        </w:rPr>
        <w:t>开展全县自然资源国际合作。组织开展自然资源领域对外交流合作。承担有关国际公约履约工作。</w:t>
      </w:r>
    </w:p>
    <w:p>
      <w:pPr>
        <w:pStyle w:val="8"/>
        <w:widowControl/>
        <w:ind w:firstLine="640" w:firstLineChars="200"/>
        <w:jc w:val="both"/>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(26)</w:t>
      </w:r>
      <w:r>
        <w:rPr>
          <w:rFonts w:hint="eastAsia" w:ascii="仿宋_GB2312" w:hAnsi="仿宋_GB2312" w:eastAsia="仿宋_GB2312" w:cs="仿宋_GB2312"/>
          <w:sz w:val="32"/>
          <w:szCs w:val="32"/>
        </w:rPr>
        <w:t>查处全县自然资源开发利用和国土空间规划及测绘重大违法案件。指导镇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有关行政执法工作。</w:t>
      </w:r>
    </w:p>
    <w:p>
      <w:pPr>
        <w:pStyle w:val="8"/>
        <w:widowControl/>
        <w:ind w:firstLine="640" w:firstLineChars="200"/>
        <w:jc w:val="both"/>
        <w:rPr>
          <w:rFonts w:ascii="仿宋_GB2312" w:hAnsi="仿宋" w:eastAsia="仿宋_GB2312"/>
          <w:sz w:val="32"/>
          <w:szCs w:val="32"/>
        </w:rPr>
      </w:pPr>
      <w:r>
        <w:rPr>
          <w:rFonts w:ascii="仿宋_GB2312" w:hAnsi="仿宋_GB2312" w:eastAsia="仿宋_GB2312" w:cs="仿宋_GB2312"/>
          <w:sz w:val="32"/>
          <w:szCs w:val="32"/>
        </w:rPr>
        <w:t>(27)</w:t>
      </w:r>
      <w:r>
        <w:rPr>
          <w:rFonts w:hint="eastAsia" w:ascii="仿宋_GB2312" w:hAnsi="仿宋_GB2312" w:eastAsia="仿宋_GB2312" w:cs="仿宋_GB2312"/>
          <w:sz w:val="32"/>
          <w:szCs w:val="32"/>
        </w:rPr>
        <w:t>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大城县自然资源和规划局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大城县自然资源和规划局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5234.90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5234.90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大城县自然资源和规划局</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5234.90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5040.94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4856.48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184.45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193.96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2023年省级林业改革发展补助资金、林业有害生物防治资金和劳务派遣人员经费等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5234.90</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7981.82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380.93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8362.75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自然资源利用与保护和自然资源调查与确权登记等项目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184.45</w:t>
      </w:r>
      <w:r>
        <w:rPr>
          <w:rFonts w:ascii="Times New Roman" w:hAnsi="Times New Roman" w:eastAsia="仿宋_GB2312" w:cs="Times New Roman"/>
          <w:sz w:val="32"/>
          <w:szCs w:val="32"/>
        </w:rPr>
        <w:t>万元，主要用于办公区的日常维修、办公用房水电费、办公用房取暖费</w:t>
      </w:r>
      <w:r>
        <w:rPr>
          <w:rFonts w:hint="eastAsia" w:ascii="Times New Roman" w:hAnsi="Times New Roman" w:eastAsia="仿宋_GB2312" w:cs="Times New Roman"/>
          <w:sz w:val="32"/>
          <w:szCs w:val="32"/>
          <w:lang w:eastAsia="zh-CN"/>
        </w:rPr>
        <w:t>、邮电费</w:t>
      </w:r>
      <w:r>
        <w:rPr>
          <w:rFonts w:ascii="Times New Roman" w:hAnsi="Times New Roman" w:eastAsia="仿宋_GB2312" w:cs="Times New Roman"/>
          <w:sz w:val="32"/>
          <w:szCs w:val="32"/>
        </w:rPr>
        <w:t>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21.10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0.10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0.10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我部门切实落实勤俭节约各项规定，压减公车运行经费支出</w:t>
      </w:r>
      <w:r>
        <w:rPr>
          <w:rFonts w:ascii="Times New Roman" w:hAnsi="Times New Roman" w:eastAsia="仿宋_GB2312" w:cs="Times New Roman"/>
          <w:sz w:val="32"/>
          <w:szCs w:val="32"/>
          <w:highlight w:val="none"/>
        </w:rPr>
        <w:t>；公务接待费减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0.10</w:t>
      </w:r>
      <w:r>
        <w:rPr>
          <w:rFonts w:hint="eastAsia"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部门</w:t>
      </w:r>
      <w:r>
        <w:rPr>
          <w:rFonts w:hint="eastAsia" w:ascii="Times New Roman" w:hAnsi="Times New Roman" w:eastAsia="仿宋_GB2312" w:cs="Times New Roman"/>
          <w:sz w:val="32"/>
          <w:szCs w:val="32"/>
        </w:rPr>
        <w:t>按照预算绩效管理改革要求，以绩效为导向，严格执行绩效预算管理。</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年，按照省市文件要求，我</w:t>
      </w:r>
      <w:r>
        <w:rPr>
          <w:rFonts w:hint="eastAsia" w:ascii="Times New Roman" w:hAnsi="Times New Roman" w:eastAsia="仿宋_GB2312" w:cs="Times New Roman"/>
          <w:sz w:val="32"/>
          <w:szCs w:val="32"/>
          <w:lang w:eastAsia="zh-CN"/>
        </w:rPr>
        <w:t>部门</w:t>
      </w:r>
      <w:r>
        <w:rPr>
          <w:rFonts w:hint="eastAsia" w:ascii="Times New Roman" w:hAnsi="Times New Roman" w:eastAsia="仿宋_GB2312" w:cs="Times New Roman"/>
          <w:sz w:val="32"/>
          <w:szCs w:val="32"/>
        </w:rPr>
        <w:t>重新修订了部门职责、工作活动及绩效评价指标，对预算项目执行及工作活动进行了绩效评价，并将绩效评价结果应用到实际工作中，进一步提升了部门预算绩效管理工作水平。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1.</w:t>
      </w:r>
      <w:r>
        <w:rPr>
          <w:rFonts w:hint="eastAsia" w:eastAsia="仿宋_GB2312"/>
          <w:kern w:val="2"/>
          <w:sz w:val="32"/>
          <w:szCs w:val="32"/>
          <w:lang w:eastAsia="zh-CN"/>
        </w:rPr>
        <w:t>）土地资源管理工作</w:t>
      </w:r>
    </w:p>
    <w:p>
      <w:pPr>
        <w:pStyle w:val="24"/>
        <w:rPr>
          <w:rFonts w:eastAsia="仿宋_GB2312"/>
          <w:kern w:val="2"/>
          <w:sz w:val="32"/>
          <w:szCs w:val="32"/>
          <w:lang w:eastAsia="zh-CN"/>
        </w:rPr>
      </w:pPr>
      <w:r>
        <w:rPr>
          <w:rFonts w:hint="eastAsia" w:eastAsia="仿宋_GB2312"/>
          <w:kern w:val="2"/>
          <w:sz w:val="32"/>
          <w:szCs w:val="32"/>
          <w:lang w:eastAsia="zh-CN"/>
        </w:rPr>
        <w:t>绩效目标：组织实施耕地与基本农田保护工作</w:t>
      </w:r>
      <w:r>
        <w:rPr>
          <w:rFonts w:eastAsia="仿宋_GB2312"/>
          <w:kern w:val="2"/>
          <w:sz w:val="32"/>
          <w:szCs w:val="32"/>
          <w:lang w:eastAsia="zh-CN"/>
        </w:rPr>
        <w:t>,</w:t>
      </w:r>
      <w:r>
        <w:rPr>
          <w:rFonts w:hint="eastAsia" w:eastAsia="仿宋_GB2312"/>
          <w:kern w:val="2"/>
          <w:sz w:val="32"/>
          <w:szCs w:val="32"/>
          <w:lang w:eastAsia="zh-CN"/>
        </w:rPr>
        <w:t>组织建设用地审批，做好地籍管理工作和土地利用管理工作。</w:t>
      </w:r>
    </w:p>
    <w:p>
      <w:pPr>
        <w:pStyle w:val="24"/>
        <w:rPr>
          <w:rFonts w:eastAsia="仿宋_GB2312"/>
          <w:kern w:val="2"/>
          <w:sz w:val="32"/>
          <w:szCs w:val="32"/>
          <w:lang w:eastAsia="zh-CN"/>
        </w:rPr>
      </w:pPr>
      <w:r>
        <w:rPr>
          <w:rFonts w:hint="eastAsia" w:eastAsia="仿宋_GB2312"/>
          <w:kern w:val="2"/>
          <w:sz w:val="32"/>
          <w:szCs w:val="32"/>
          <w:lang w:eastAsia="zh-CN"/>
        </w:rPr>
        <w:t>绩效指标：开展全县基本农田保护和土地整理、复垦、开发工作，监测耕地质量等变化，研究耕地保护相关制度。开展农村集体土地确权登记发证与土地变更调查，组织全县的不动产统一登记工作，调查掌握全县耕地后备资源。监测全县地价和土地市场动态，管理和监督城乡建设用地供应、政府土地储备、土地开发和节约集约利用，组织实施城乡建设用地增减挂钩。</w:t>
      </w:r>
    </w:p>
    <w:p>
      <w:pPr>
        <w:pStyle w:val="24"/>
        <w:rPr>
          <w:rFonts w:hint="eastAsia"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2.</w:t>
      </w:r>
      <w:r>
        <w:rPr>
          <w:rFonts w:hint="eastAsia" w:eastAsia="仿宋_GB2312"/>
          <w:kern w:val="2"/>
          <w:sz w:val="32"/>
          <w:szCs w:val="32"/>
          <w:lang w:eastAsia="zh-CN"/>
        </w:rPr>
        <w:t>）矿石资源管理与地质环境保护</w:t>
      </w:r>
    </w:p>
    <w:p>
      <w:pPr>
        <w:pStyle w:val="24"/>
        <w:rPr>
          <w:rFonts w:hint="eastAsia" w:eastAsia="仿宋_GB2312"/>
          <w:kern w:val="2"/>
          <w:sz w:val="32"/>
          <w:szCs w:val="32"/>
          <w:lang w:eastAsia="zh-CN"/>
        </w:rPr>
      </w:pPr>
      <w:r>
        <w:rPr>
          <w:rFonts w:hint="eastAsia" w:eastAsia="仿宋_GB2312"/>
          <w:kern w:val="2"/>
          <w:sz w:val="32"/>
          <w:szCs w:val="32"/>
          <w:lang w:eastAsia="zh-CN"/>
        </w:rPr>
        <w:t>绩效目标：加强矿石资源管理与地质环境保护</w:t>
      </w:r>
    </w:p>
    <w:p>
      <w:pPr>
        <w:pStyle w:val="24"/>
        <w:rPr>
          <w:rFonts w:eastAsia="仿宋_GB2312"/>
          <w:kern w:val="2"/>
          <w:sz w:val="32"/>
          <w:szCs w:val="32"/>
          <w:lang w:eastAsia="zh-CN"/>
        </w:rPr>
      </w:pPr>
      <w:r>
        <w:rPr>
          <w:rFonts w:hint="eastAsia" w:eastAsia="仿宋_GB2312"/>
          <w:kern w:val="2"/>
          <w:sz w:val="32"/>
          <w:szCs w:val="32"/>
          <w:lang w:eastAsia="zh-CN"/>
        </w:rPr>
        <w:t>绩效指标：做好矿产资源储量评审、登记统计等工作。强化矿山资源储量动态监测管理，做好矿山督察，推广先进适用技术，推进矿产资源节约与综合利用。</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3</w:t>
      </w:r>
      <w:r>
        <w:rPr>
          <w:rFonts w:hint="eastAsia" w:eastAsia="仿宋_GB2312"/>
          <w:kern w:val="2"/>
          <w:sz w:val="32"/>
          <w:szCs w:val="32"/>
          <w:lang w:eastAsia="zh-CN"/>
        </w:rPr>
        <w:t>.）海洋资源管理</w:t>
      </w:r>
    </w:p>
    <w:p>
      <w:pPr>
        <w:pStyle w:val="24"/>
        <w:rPr>
          <w:rFonts w:eastAsia="仿宋_GB2312"/>
          <w:kern w:val="2"/>
          <w:sz w:val="32"/>
          <w:szCs w:val="32"/>
          <w:lang w:eastAsia="zh-CN"/>
        </w:rPr>
      </w:pPr>
      <w:r>
        <w:rPr>
          <w:rFonts w:hint="eastAsia" w:eastAsia="仿宋_GB2312"/>
          <w:kern w:val="2"/>
          <w:sz w:val="32"/>
          <w:szCs w:val="32"/>
          <w:lang w:eastAsia="zh-CN"/>
        </w:rPr>
        <w:t>绩效目标：加强海域使用、海洋环境保护及海洋综合管理工作。</w:t>
      </w:r>
    </w:p>
    <w:p>
      <w:pPr>
        <w:pStyle w:val="24"/>
        <w:rPr>
          <w:rFonts w:eastAsia="仿宋_GB2312"/>
          <w:kern w:val="2"/>
          <w:sz w:val="32"/>
          <w:szCs w:val="32"/>
          <w:lang w:eastAsia="zh-CN"/>
        </w:rPr>
      </w:pPr>
      <w:r>
        <w:rPr>
          <w:rFonts w:hint="eastAsia" w:eastAsia="仿宋_GB2312"/>
          <w:kern w:val="2"/>
          <w:sz w:val="32"/>
          <w:szCs w:val="32"/>
          <w:lang w:eastAsia="zh-CN"/>
        </w:rPr>
        <w:t>绩效指标：编制实施海洋功能区划和海岸保护利用规划，开展海域海岸带整治使用修复工作。强化重点海洋环境综合整治和海洋环境监视监测工作，开展海洋防灾减灾与生态保护工作，编制专项环境信息。加强海岛监视监测，保护海岛生态系统，合理开发利用海岛自然资源。开展海洋经济发展研究，做好海洋经济运行监测评估、统计分析和信息发布。</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4.</w:t>
      </w:r>
      <w:r>
        <w:rPr>
          <w:rFonts w:hint="eastAsia" w:eastAsia="仿宋_GB2312"/>
          <w:kern w:val="2"/>
          <w:sz w:val="32"/>
          <w:szCs w:val="32"/>
          <w:lang w:eastAsia="zh-CN"/>
        </w:rPr>
        <w:t>）国土资源执法与监察</w:t>
      </w:r>
    </w:p>
    <w:p>
      <w:pPr>
        <w:pStyle w:val="24"/>
        <w:rPr>
          <w:rFonts w:eastAsia="仿宋_GB2312"/>
          <w:kern w:val="2"/>
          <w:sz w:val="32"/>
          <w:szCs w:val="32"/>
          <w:lang w:eastAsia="zh-CN"/>
        </w:rPr>
      </w:pPr>
      <w:r>
        <w:rPr>
          <w:rFonts w:hint="eastAsia" w:eastAsia="仿宋_GB2312"/>
          <w:kern w:val="2"/>
          <w:sz w:val="32"/>
          <w:szCs w:val="32"/>
          <w:lang w:eastAsia="zh-CN"/>
        </w:rPr>
        <w:t>绩效目标：强化全县国土资源执法监察工作</w:t>
      </w:r>
      <w:r>
        <w:rPr>
          <w:rFonts w:eastAsia="仿宋_GB2312"/>
          <w:kern w:val="2"/>
          <w:sz w:val="32"/>
          <w:szCs w:val="32"/>
          <w:lang w:eastAsia="zh-CN"/>
        </w:rPr>
        <w:t>,</w:t>
      </w:r>
      <w:r>
        <w:rPr>
          <w:rFonts w:hint="eastAsia" w:eastAsia="仿宋_GB2312"/>
          <w:kern w:val="2"/>
          <w:sz w:val="32"/>
          <w:szCs w:val="32"/>
          <w:lang w:eastAsia="zh-CN"/>
        </w:rPr>
        <w:t>提高国土资源执法能力。</w:t>
      </w:r>
    </w:p>
    <w:p>
      <w:pPr>
        <w:pStyle w:val="24"/>
        <w:rPr>
          <w:rFonts w:eastAsia="仿宋_GB2312"/>
          <w:kern w:val="2"/>
          <w:sz w:val="32"/>
          <w:szCs w:val="32"/>
          <w:lang w:eastAsia="zh-CN"/>
        </w:rPr>
      </w:pPr>
      <w:r>
        <w:rPr>
          <w:rFonts w:hint="eastAsia" w:eastAsia="仿宋_GB2312"/>
          <w:kern w:val="2"/>
          <w:sz w:val="32"/>
          <w:szCs w:val="32"/>
          <w:lang w:eastAsia="zh-CN"/>
        </w:rPr>
        <w:t>绩效指标：及时发现、制止国土资源违法行为。依法查处案件，推进国土资源基层所标准化建设。</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5.</w:t>
      </w:r>
      <w:r>
        <w:rPr>
          <w:rFonts w:hint="eastAsia" w:eastAsia="仿宋_GB2312"/>
          <w:kern w:val="2"/>
          <w:sz w:val="32"/>
          <w:szCs w:val="32"/>
          <w:lang w:eastAsia="zh-CN"/>
        </w:rPr>
        <w:t>）国土资源政务管理</w:t>
      </w:r>
    </w:p>
    <w:p>
      <w:pPr>
        <w:pStyle w:val="24"/>
        <w:rPr>
          <w:rFonts w:eastAsia="仿宋_GB2312"/>
          <w:kern w:val="2"/>
          <w:sz w:val="32"/>
          <w:szCs w:val="32"/>
          <w:lang w:eastAsia="zh-CN"/>
        </w:rPr>
      </w:pPr>
      <w:r>
        <w:rPr>
          <w:rFonts w:hint="eastAsia" w:eastAsia="仿宋_GB2312"/>
          <w:kern w:val="2"/>
          <w:sz w:val="32"/>
          <w:szCs w:val="32"/>
          <w:lang w:eastAsia="zh-CN"/>
        </w:rPr>
        <w:t>绩效目标：负责国土资源系统综合业务管理和机关综合事务管理。</w:t>
      </w:r>
    </w:p>
    <w:p>
      <w:pPr>
        <w:pStyle w:val="24"/>
        <w:rPr>
          <w:rFonts w:eastAsia="仿宋_GB2312"/>
          <w:kern w:val="2"/>
          <w:sz w:val="32"/>
          <w:szCs w:val="32"/>
          <w:lang w:eastAsia="zh-CN"/>
        </w:rPr>
      </w:pPr>
      <w:r>
        <w:rPr>
          <w:rFonts w:hint="eastAsia" w:eastAsia="仿宋_GB2312"/>
          <w:kern w:val="2"/>
          <w:sz w:val="32"/>
          <w:szCs w:val="32"/>
          <w:lang w:eastAsia="zh-CN"/>
        </w:rPr>
        <w:t>绩效指标：制定编制全县国土资源规划，落实相关政策法规，开展国土资源科技发展研究等。做好国土资源相关综合性事务管理，保证行政工作高效有序运行。</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6.</w:t>
      </w:r>
      <w:r>
        <w:rPr>
          <w:rFonts w:hint="eastAsia" w:eastAsia="仿宋_GB2312"/>
          <w:kern w:val="2"/>
          <w:sz w:val="32"/>
          <w:szCs w:val="32"/>
          <w:lang w:eastAsia="zh-CN"/>
        </w:rPr>
        <w:t>）林业生态建设</w:t>
      </w:r>
    </w:p>
    <w:p>
      <w:pPr>
        <w:pStyle w:val="24"/>
        <w:rPr>
          <w:rFonts w:eastAsia="仿宋_GB2312"/>
          <w:kern w:val="2"/>
          <w:sz w:val="32"/>
          <w:szCs w:val="32"/>
          <w:lang w:eastAsia="zh-CN"/>
        </w:rPr>
      </w:pPr>
      <w:r>
        <w:rPr>
          <w:rFonts w:hint="eastAsia" w:eastAsia="仿宋_GB2312"/>
          <w:kern w:val="2"/>
          <w:sz w:val="32"/>
          <w:szCs w:val="32"/>
          <w:lang w:eastAsia="zh-CN"/>
        </w:rPr>
        <w:t>绩效目标：完成省市下达和县委县政府制定的造林任务及全县森林覆盖率考核目标。组织全县造林绿化、退耕还林、防沙治沙、防治水土流失、应对气候变化等工作，组织沙尘暴灾害预测预报和应急处置。加强森林资源保护管理。</w:t>
      </w:r>
    </w:p>
    <w:p>
      <w:pPr>
        <w:pStyle w:val="24"/>
        <w:rPr>
          <w:rFonts w:eastAsia="仿宋_GB2312"/>
          <w:kern w:val="2"/>
          <w:sz w:val="32"/>
          <w:szCs w:val="32"/>
          <w:lang w:eastAsia="zh-CN"/>
        </w:rPr>
      </w:pPr>
      <w:r>
        <w:rPr>
          <w:rFonts w:hint="eastAsia" w:eastAsia="仿宋_GB2312"/>
          <w:kern w:val="2"/>
          <w:sz w:val="32"/>
          <w:szCs w:val="32"/>
          <w:lang w:eastAsia="zh-CN"/>
        </w:rPr>
        <w:t>绩效指标：增加有林地面积，提高全县绿化水平和森林覆盖率，改善生态环境；提高森林质量，促进林业持续发展；沙化土地得以治理，重点治理区生态状况明显改善；加大森林资源保护力度，促进全县生态环境进一步改善；进一步提高天然林保护能力，提高森林生态系统功能；加强林业自然保护区、森林公园管理、加强湿地保护恢复。</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7.)</w:t>
      </w:r>
      <w:r>
        <w:rPr>
          <w:rFonts w:hint="eastAsia" w:eastAsia="仿宋_GB2312"/>
          <w:kern w:val="2"/>
          <w:sz w:val="32"/>
          <w:szCs w:val="32"/>
          <w:lang w:eastAsia="zh-CN"/>
        </w:rPr>
        <w:t>林果产业发展</w:t>
      </w:r>
    </w:p>
    <w:p>
      <w:pPr>
        <w:pStyle w:val="24"/>
        <w:rPr>
          <w:rFonts w:eastAsia="仿宋_GB2312"/>
          <w:kern w:val="2"/>
          <w:sz w:val="32"/>
          <w:szCs w:val="32"/>
          <w:lang w:eastAsia="zh-CN"/>
        </w:rPr>
      </w:pPr>
      <w:r>
        <w:rPr>
          <w:rFonts w:hint="eastAsia" w:eastAsia="仿宋_GB2312"/>
          <w:kern w:val="2"/>
          <w:sz w:val="32"/>
          <w:szCs w:val="32"/>
          <w:lang w:eastAsia="zh-CN"/>
        </w:rPr>
        <w:t>绩效目标：扶持果品、蚕桑、苗木、花卉的标准化生产和基地建设，推动果品、蚕桑、花卉的结构调整。指导全县林业产业相关工作，扶持林业企业发展。</w:t>
      </w:r>
    </w:p>
    <w:p>
      <w:pPr>
        <w:pStyle w:val="24"/>
        <w:rPr>
          <w:rFonts w:eastAsia="仿宋_GB2312"/>
          <w:kern w:val="2"/>
          <w:sz w:val="32"/>
          <w:szCs w:val="32"/>
          <w:lang w:eastAsia="zh-CN"/>
        </w:rPr>
      </w:pPr>
      <w:r>
        <w:rPr>
          <w:rFonts w:hint="eastAsia" w:eastAsia="仿宋_GB2312"/>
          <w:kern w:val="2"/>
          <w:sz w:val="32"/>
          <w:szCs w:val="32"/>
          <w:lang w:eastAsia="zh-CN"/>
        </w:rPr>
        <w:t>绩效指标：组织实施果品、蚕桑的结构调整和基地建设，指导果品、蚕桑的品种改良、品质提高和标准化生产工作。改善苗木花卉产业生产基础设施条件，改变落后的生产方式和技术手段，培育和壮大龙头企业。落实林业产业政策，扶持林业重点企业和合作组织发展，加强木材行业管理。发展林下经济、森林旅游等。落实林业贷款贴息项目。</w:t>
      </w:r>
    </w:p>
    <w:p>
      <w:pPr>
        <w:pStyle w:val="24"/>
        <w:rPr>
          <w:rFonts w:eastAsia="仿宋_GB2312"/>
          <w:kern w:val="2"/>
          <w:sz w:val="32"/>
          <w:szCs w:val="32"/>
          <w:lang w:eastAsia="zh-CN"/>
        </w:rPr>
      </w:pPr>
      <w:r>
        <w:rPr>
          <w:rFonts w:eastAsia="仿宋_GB2312"/>
          <w:kern w:val="2"/>
          <w:sz w:val="32"/>
          <w:szCs w:val="32"/>
          <w:lang w:eastAsia="zh-CN"/>
        </w:rPr>
        <w:t>(8.)</w:t>
      </w:r>
      <w:r>
        <w:rPr>
          <w:rFonts w:hint="eastAsia" w:eastAsia="仿宋_GB2312"/>
          <w:kern w:val="2"/>
          <w:sz w:val="32"/>
          <w:szCs w:val="32"/>
          <w:lang w:eastAsia="zh-CN"/>
        </w:rPr>
        <w:t>林业科技支撑与公共服务</w:t>
      </w:r>
    </w:p>
    <w:p>
      <w:pPr>
        <w:pStyle w:val="24"/>
        <w:rPr>
          <w:rFonts w:eastAsia="仿宋_GB2312"/>
          <w:kern w:val="2"/>
          <w:sz w:val="32"/>
          <w:szCs w:val="32"/>
          <w:lang w:eastAsia="zh-CN"/>
        </w:rPr>
      </w:pPr>
      <w:r>
        <w:rPr>
          <w:rFonts w:hint="eastAsia" w:eastAsia="仿宋_GB2312"/>
          <w:kern w:val="2"/>
          <w:sz w:val="32"/>
          <w:szCs w:val="32"/>
          <w:lang w:eastAsia="zh-CN"/>
        </w:rPr>
        <w:t>绩效目标：组织全县林业及其生态建设的科技创新和技术示范推广，为林业生态发展和林产品生产提供公共支撑。</w:t>
      </w:r>
    </w:p>
    <w:p>
      <w:pPr>
        <w:pStyle w:val="24"/>
        <w:rPr>
          <w:rFonts w:eastAsia="仿宋_GB2312"/>
          <w:kern w:val="2"/>
          <w:sz w:val="32"/>
          <w:szCs w:val="32"/>
          <w:lang w:eastAsia="zh-CN"/>
        </w:rPr>
      </w:pPr>
      <w:r>
        <w:rPr>
          <w:rFonts w:hint="eastAsia" w:eastAsia="仿宋_GB2312"/>
          <w:kern w:val="2"/>
          <w:sz w:val="32"/>
          <w:szCs w:val="32"/>
          <w:lang w:eastAsia="zh-CN"/>
        </w:rPr>
        <w:t>绩效指标：提高林木种苗质量，保障林木良种供应，加快林木良种推广步伐；增加林业发展活力，促进林业持续发展；预防和减少自然灾害对森林资源的损失，保护森林资源；发挥科技成果的示范带动作用，完善基层推广体系；改善国有林场和基层林业单位的基础设施，缓解国有林场经济危困，保障林业健康发展；监管全县林地、林权和森林资源，提高林业资源资产安全性、完整性和使用效益。</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9.</w:t>
      </w:r>
      <w:r>
        <w:rPr>
          <w:rFonts w:hint="eastAsia" w:eastAsia="仿宋_GB2312"/>
          <w:kern w:val="2"/>
          <w:sz w:val="32"/>
          <w:szCs w:val="32"/>
          <w:lang w:eastAsia="zh-CN"/>
        </w:rPr>
        <w:t>）林业政务管理（依法依规履行机关日常管理工作。）</w:t>
      </w:r>
    </w:p>
    <w:p>
      <w:pPr>
        <w:pStyle w:val="24"/>
        <w:rPr>
          <w:rFonts w:eastAsia="仿宋_GB2312"/>
          <w:kern w:val="2"/>
          <w:sz w:val="32"/>
          <w:szCs w:val="32"/>
          <w:lang w:eastAsia="zh-CN"/>
        </w:rPr>
      </w:pPr>
      <w:r>
        <w:rPr>
          <w:rFonts w:hint="eastAsia" w:eastAsia="仿宋_GB2312"/>
          <w:kern w:val="2"/>
          <w:sz w:val="32"/>
          <w:szCs w:val="32"/>
          <w:lang w:eastAsia="zh-CN"/>
        </w:rPr>
        <w:t>绩效目标：依法依规完成工作任务，确保机关业务正常运行，提高业务工作效率。</w:t>
      </w:r>
    </w:p>
    <w:p>
      <w:pPr>
        <w:pStyle w:val="24"/>
        <w:rPr>
          <w:rFonts w:eastAsia="仿宋_GB2312"/>
          <w:kern w:val="2"/>
          <w:sz w:val="32"/>
          <w:szCs w:val="32"/>
          <w:lang w:eastAsia="zh-CN"/>
        </w:rPr>
      </w:pPr>
      <w:r>
        <w:rPr>
          <w:rFonts w:hint="eastAsia" w:eastAsia="仿宋_GB2312"/>
          <w:kern w:val="2"/>
          <w:sz w:val="32"/>
          <w:szCs w:val="32"/>
          <w:lang w:eastAsia="zh-CN"/>
        </w:rPr>
        <w:t>绩效指标：保障全县林业事业健康科学持续发展，确保机关正常运行，提高业务工作效率。</w:t>
      </w:r>
    </w:p>
    <w:p>
      <w:pPr>
        <w:pStyle w:val="24"/>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10.</w:t>
      </w:r>
      <w:r>
        <w:rPr>
          <w:rFonts w:hint="eastAsia" w:eastAsia="仿宋_GB2312"/>
          <w:kern w:val="2"/>
          <w:sz w:val="32"/>
          <w:szCs w:val="32"/>
          <w:lang w:eastAsia="zh-CN"/>
        </w:rPr>
        <w:t>）城乡规划</w:t>
      </w:r>
    </w:p>
    <w:p>
      <w:pPr>
        <w:pStyle w:val="24"/>
        <w:rPr>
          <w:rFonts w:hint="eastAsia" w:eastAsia="仿宋_GB2312"/>
          <w:kern w:val="2"/>
          <w:sz w:val="32"/>
          <w:szCs w:val="32"/>
          <w:lang w:eastAsia="zh-CN"/>
        </w:rPr>
      </w:pPr>
      <w:r>
        <w:rPr>
          <w:rFonts w:hint="eastAsia" w:eastAsia="仿宋_GB2312"/>
          <w:kern w:val="2"/>
          <w:sz w:val="32"/>
          <w:szCs w:val="32"/>
          <w:lang w:eastAsia="zh-CN"/>
        </w:rPr>
        <w:t>绩效目标：组织县域城镇体系规划编制，参与各级、各部门依法编制总体规划、专项规划、控制性详细规划、历史文化名城和街区保护规划等。对由县政府审批的规划进行监督实施。</w:t>
      </w:r>
    </w:p>
    <w:p>
      <w:pPr>
        <w:pStyle w:val="24"/>
        <w:rPr>
          <w:rFonts w:eastAsia="仿宋_GB2312"/>
          <w:kern w:val="2"/>
          <w:sz w:val="32"/>
          <w:szCs w:val="32"/>
          <w:lang w:eastAsia="zh-CN"/>
        </w:rPr>
      </w:pPr>
      <w:r>
        <w:rPr>
          <w:rFonts w:hint="eastAsia" w:eastAsia="仿宋_GB2312"/>
          <w:kern w:val="2"/>
          <w:sz w:val="32"/>
          <w:szCs w:val="32"/>
          <w:lang w:eastAsia="zh-CN"/>
        </w:rPr>
        <w:t>绩效指标：城镇古树名木和风景名胜、历史文化名城和街区得到有效保护。传统村落得到有效保护。完成年度村镇规划编制任务，提高规划实施及监督管理的效能。完成规划编制，健全规划体系。</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5"/>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1</w:t>
      </w:r>
      <w:r>
        <w:rPr>
          <w:rFonts w:hint="eastAsia" w:eastAsia="仿宋_GB2312"/>
          <w:kern w:val="2"/>
          <w:sz w:val="32"/>
          <w:szCs w:val="32"/>
          <w:lang w:eastAsia="zh-CN"/>
        </w:rPr>
        <w:t>）加强组织领导。将事前评估、目标管理、运行监控、绩效评价、结果应用等各项改革措施，有效融入预算管理的全过程，建立健全预算绩效管理制度体系。成立由局主要领导同志任组长的预算绩效工作领导小组，建立统筹协调、分工协作、密切配合、合理推进的工作机制。围绕年度总体绩效目标和分项绩效目标，细化工作流程，保证总体绩效目标圆满实现。</w:t>
      </w:r>
    </w:p>
    <w:p>
      <w:pPr>
        <w:pStyle w:val="25"/>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2</w:t>
      </w:r>
      <w:r>
        <w:rPr>
          <w:rFonts w:hint="eastAsia" w:eastAsia="仿宋_GB2312"/>
          <w:kern w:val="2"/>
          <w:sz w:val="32"/>
          <w:szCs w:val="32"/>
          <w:lang w:eastAsia="zh-CN"/>
        </w:rPr>
        <w:t>）加强资金支出管理。围绕年度重点工作，进一步优化支出结构，编细编实预算、按规定及时下达资金，确保支出进度达标。积极开展预算资金使用绩效运行监控，发现问题及时采取措施，确保绩效目标如期保质实现。</w:t>
      </w:r>
    </w:p>
    <w:p>
      <w:pPr>
        <w:pStyle w:val="25"/>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3</w:t>
      </w:r>
      <w:r>
        <w:rPr>
          <w:rFonts w:hint="eastAsia" w:eastAsia="仿宋_GB2312"/>
          <w:kern w:val="2"/>
          <w:sz w:val="32"/>
          <w:szCs w:val="32"/>
          <w:lang w:eastAsia="zh-CN"/>
        </w:rPr>
        <w:t>）积极做好绩效自评。按财政要求开展上年度部门预算绩效自评和重点评价工作，对评价中发现的问题及时整改，调整优化支出结构，提高财政资金使用效益。</w:t>
      </w:r>
    </w:p>
    <w:p>
      <w:pPr>
        <w:pStyle w:val="25"/>
        <w:rPr>
          <w:rFonts w:eastAsia="仿宋_GB2312"/>
          <w:kern w:val="2"/>
          <w:sz w:val="32"/>
          <w:szCs w:val="32"/>
          <w:lang w:eastAsia="zh-CN"/>
        </w:rPr>
      </w:pPr>
      <w:r>
        <w:rPr>
          <w:rFonts w:hint="eastAsia" w:eastAsia="仿宋_GB2312"/>
          <w:kern w:val="2"/>
          <w:sz w:val="32"/>
          <w:szCs w:val="32"/>
          <w:lang w:eastAsia="zh-CN"/>
        </w:rPr>
        <w:t>（</w:t>
      </w:r>
      <w:r>
        <w:rPr>
          <w:rFonts w:eastAsia="仿宋_GB2312"/>
          <w:kern w:val="2"/>
          <w:sz w:val="32"/>
          <w:szCs w:val="32"/>
          <w:lang w:eastAsia="zh-CN"/>
        </w:rPr>
        <w:t>4</w:t>
      </w:r>
      <w:r>
        <w:rPr>
          <w:rFonts w:hint="eastAsia" w:eastAsia="仿宋_GB2312"/>
          <w:kern w:val="2"/>
          <w:sz w:val="32"/>
          <w:szCs w:val="32"/>
          <w:lang w:eastAsia="zh-CN"/>
        </w:rPr>
        <w:t>）加强内部监督。加强内部监督制度建设，对绩效运行情况、重大支出等事项的决策和执行进行督导，对会计资料进行内部审计，配合做好审计、财政监督等外部监督，确保财政资金安全有效。</w:t>
      </w:r>
    </w:p>
    <w:p>
      <w:pPr>
        <w:keepNext w:val="0"/>
        <w:keepLines w:val="0"/>
        <w:pageBreakBefore w:val="0"/>
        <w:widowControl w:val="0"/>
        <w:kinsoku/>
        <w:wordWrap/>
        <w:overflowPunct w:val="0"/>
        <w:topLinePunct w:val="0"/>
        <w:autoSpaceDE/>
        <w:autoSpaceDN/>
        <w:bidi w:val="0"/>
        <w:adjustRightInd w:val="0"/>
        <w:snapToGrid w:val="0"/>
        <w:spacing w:afterLines="50" w:line="584"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（5）加强宣传培训调研。加强系统内人员培训，提高职工业务素质；加强调研，提出优化财政资金配置、提高资金使用效益的意见；加大宣传力度，强化预算绩效管理意识，促进预算绩效水平进一步提升。</w:t>
      </w: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ascii="Times New Roman" w:hAnsi="黑体" w:eastAsia="黑体" w:cs="Times New Roman"/>
          <w:sz w:val="32"/>
          <w:szCs w:val="32"/>
        </w:rPr>
      </w:pPr>
      <w:r>
        <w:rPr>
          <w:rFonts w:hint="eastAsia" w:ascii="楷体_GB2312" w:eastAsia="楷体_GB2312" w:cs="Times New Roman"/>
          <w:b/>
          <w:sz w:val="32"/>
          <w:szCs w:val="32"/>
        </w:rPr>
        <w:t>（四）部门整体支出绩效指标</w:t>
      </w:r>
    </w:p>
    <w:tbl>
      <w:tblPr>
        <w:tblStyle w:val="9"/>
        <w:tblW w:w="14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32"/>
        <w:gridCol w:w="1332"/>
        <w:gridCol w:w="2310"/>
        <w:gridCol w:w="2310"/>
        <w:gridCol w:w="2942"/>
        <w:gridCol w:w="840"/>
        <w:gridCol w:w="735"/>
        <w:gridCol w:w="943"/>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332"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一级指标</w:t>
            </w:r>
          </w:p>
        </w:tc>
        <w:tc>
          <w:tcPr>
            <w:tcW w:w="1332"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二级指标</w:t>
            </w:r>
          </w:p>
        </w:tc>
        <w:tc>
          <w:tcPr>
            <w:tcW w:w="2310"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三级指标</w:t>
            </w:r>
          </w:p>
        </w:tc>
        <w:tc>
          <w:tcPr>
            <w:tcW w:w="2310"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评（扣）分标准</w:t>
            </w:r>
          </w:p>
        </w:tc>
        <w:tc>
          <w:tcPr>
            <w:tcW w:w="2942"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绩效指标</w:t>
            </w:r>
          </w:p>
          <w:p>
            <w:pPr>
              <w:widowControl/>
              <w:adjustRightInd w:val="0"/>
              <w:snapToGrid w:val="0"/>
              <w:jc w:val="center"/>
              <w:rPr>
                <w:rFonts w:ascii="宋体"/>
                <w:b/>
                <w:sz w:val="18"/>
                <w:szCs w:val="18"/>
              </w:rPr>
            </w:pPr>
            <w:r>
              <w:rPr>
                <w:rFonts w:hint="eastAsia" w:ascii="宋体" w:hAnsi="宋体"/>
                <w:b/>
                <w:sz w:val="18"/>
                <w:szCs w:val="18"/>
              </w:rPr>
              <w:t>描述</w:t>
            </w:r>
          </w:p>
        </w:tc>
        <w:tc>
          <w:tcPr>
            <w:tcW w:w="2518" w:type="dxa"/>
            <w:gridSpan w:val="3"/>
            <w:vAlign w:val="center"/>
          </w:tcPr>
          <w:p>
            <w:pPr>
              <w:widowControl/>
              <w:adjustRightInd w:val="0"/>
              <w:snapToGrid w:val="0"/>
              <w:jc w:val="center"/>
              <w:rPr>
                <w:rFonts w:ascii="宋体"/>
                <w:b/>
                <w:sz w:val="18"/>
                <w:szCs w:val="18"/>
              </w:rPr>
            </w:pPr>
            <w:r>
              <w:rPr>
                <w:rFonts w:hint="eastAsia" w:ascii="宋体" w:hAnsi="宋体"/>
                <w:b/>
                <w:sz w:val="18"/>
                <w:szCs w:val="18"/>
              </w:rPr>
              <w:t>指标值</w:t>
            </w:r>
          </w:p>
        </w:tc>
        <w:tc>
          <w:tcPr>
            <w:tcW w:w="1926" w:type="dxa"/>
            <w:vMerge w:val="restart"/>
            <w:vAlign w:val="center"/>
          </w:tcPr>
          <w:p>
            <w:pPr>
              <w:widowControl/>
              <w:adjustRightInd w:val="0"/>
              <w:snapToGrid w:val="0"/>
              <w:jc w:val="center"/>
              <w:rPr>
                <w:rFonts w:ascii="宋体"/>
                <w:b/>
                <w:sz w:val="18"/>
                <w:szCs w:val="18"/>
              </w:rPr>
            </w:pPr>
            <w:r>
              <w:rPr>
                <w:rFonts w:hint="eastAsia" w:ascii="宋体" w:hAnsi="宋体"/>
                <w:b/>
                <w:sz w:val="18"/>
                <w:szCs w:val="18"/>
              </w:rPr>
              <w:t>指标值</w:t>
            </w:r>
          </w:p>
          <w:p>
            <w:pPr>
              <w:widowControl/>
              <w:adjustRightInd w:val="0"/>
              <w:snapToGrid w:val="0"/>
              <w:jc w:val="center"/>
              <w:rPr>
                <w:rFonts w:ascii="宋体"/>
                <w:b/>
                <w:sz w:val="18"/>
                <w:szCs w:val="18"/>
              </w:rPr>
            </w:pPr>
            <w:r>
              <w:rPr>
                <w:rFonts w:hint="eastAsia" w:ascii="宋体" w:hAnsi="宋体"/>
                <w:b/>
                <w:sz w:val="18"/>
                <w:szCs w:val="18"/>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332" w:type="dxa"/>
            <w:vMerge w:val="continue"/>
            <w:vAlign w:val="center"/>
          </w:tcPr>
          <w:p>
            <w:pPr>
              <w:rPr>
                <w:rFonts w:ascii="宋体"/>
                <w:sz w:val="18"/>
                <w:szCs w:val="18"/>
              </w:rPr>
            </w:pPr>
          </w:p>
        </w:tc>
        <w:tc>
          <w:tcPr>
            <w:tcW w:w="1332" w:type="dxa"/>
            <w:vMerge w:val="continue"/>
            <w:vAlign w:val="center"/>
          </w:tcPr>
          <w:p>
            <w:pPr>
              <w:rPr>
                <w:rFonts w:ascii="宋体"/>
                <w:sz w:val="18"/>
                <w:szCs w:val="18"/>
              </w:rPr>
            </w:pPr>
          </w:p>
        </w:tc>
        <w:tc>
          <w:tcPr>
            <w:tcW w:w="2310" w:type="dxa"/>
            <w:vMerge w:val="continue"/>
            <w:vAlign w:val="center"/>
          </w:tcPr>
          <w:p>
            <w:pPr>
              <w:rPr>
                <w:rFonts w:ascii="宋体"/>
                <w:sz w:val="18"/>
                <w:szCs w:val="18"/>
              </w:rPr>
            </w:pPr>
          </w:p>
        </w:tc>
        <w:tc>
          <w:tcPr>
            <w:tcW w:w="2310" w:type="dxa"/>
            <w:vMerge w:val="continue"/>
            <w:vAlign w:val="center"/>
          </w:tcPr>
          <w:p>
            <w:pPr>
              <w:rPr>
                <w:rFonts w:ascii="宋体"/>
                <w:sz w:val="18"/>
                <w:szCs w:val="18"/>
              </w:rPr>
            </w:pPr>
          </w:p>
        </w:tc>
        <w:tc>
          <w:tcPr>
            <w:tcW w:w="2942" w:type="dxa"/>
            <w:vMerge w:val="continue"/>
            <w:vAlign w:val="center"/>
          </w:tcPr>
          <w:p>
            <w:pPr>
              <w:rPr>
                <w:rFonts w:ascii="宋体"/>
                <w:sz w:val="18"/>
                <w:szCs w:val="18"/>
              </w:rPr>
            </w:pPr>
          </w:p>
        </w:tc>
        <w:tc>
          <w:tcPr>
            <w:tcW w:w="840" w:type="dxa"/>
            <w:vAlign w:val="center"/>
          </w:tcPr>
          <w:p>
            <w:pPr>
              <w:widowControl/>
              <w:adjustRightInd w:val="0"/>
              <w:snapToGrid w:val="0"/>
              <w:jc w:val="center"/>
              <w:rPr>
                <w:rFonts w:ascii="宋体"/>
                <w:b/>
                <w:sz w:val="18"/>
                <w:szCs w:val="18"/>
              </w:rPr>
            </w:pPr>
            <w:r>
              <w:rPr>
                <w:rFonts w:hint="eastAsia" w:ascii="宋体" w:hAnsi="宋体"/>
                <w:b/>
                <w:sz w:val="18"/>
                <w:szCs w:val="18"/>
              </w:rPr>
              <w:t>符号</w:t>
            </w:r>
          </w:p>
        </w:tc>
        <w:tc>
          <w:tcPr>
            <w:tcW w:w="735" w:type="dxa"/>
            <w:vAlign w:val="center"/>
          </w:tcPr>
          <w:p>
            <w:pPr>
              <w:widowControl/>
              <w:adjustRightInd w:val="0"/>
              <w:snapToGrid w:val="0"/>
              <w:jc w:val="center"/>
              <w:rPr>
                <w:rFonts w:ascii="宋体"/>
                <w:b/>
                <w:sz w:val="18"/>
                <w:szCs w:val="18"/>
              </w:rPr>
            </w:pPr>
            <w:r>
              <w:rPr>
                <w:rFonts w:hint="eastAsia" w:ascii="宋体" w:hAnsi="宋体"/>
                <w:b/>
                <w:sz w:val="18"/>
                <w:szCs w:val="18"/>
              </w:rPr>
              <w:t>值</w:t>
            </w:r>
          </w:p>
        </w:tc>
        <w:tc>
          <w:tcPr>
            <w:tcW w:w="943" w:type="dxa"/>
            <w:vAlign w:val="center"/>
          </w:tcPr>
          <w:p>
            <w:pPr>
              <w:widowControl/>
              <w:adjustRightInd w:val="0"/>
              <w:snapToGrid w:val="0"/>
              <w:jc w:val="center"/>
              <w:rPr>
                <w:rFonts w:ascii="宋体"/>
                <w:b/>
                <w:sz w:val="18"/>
                <w:szCs w:val="18"/>
              </w:rPr>
            </w:pPr>
            <w:r>
              <w:rPr>
                <w:rFonts w:hint="eastAsia" w:ascii="宋体" w:hAnsi="宋体"/>
                <w:b/>
                <w:sz w:val="18"/>
                <w:szCs w:val="18"/>
              </w:rPr>
              <w:t>单位</w:t>
            </w:r>
          </w:p>
        </w:tc>
        <w:tc>
          <w:tcPr>
            <w:tcW w:w="1926" w:type="dxa"/>
            <w:vMerge w:val="continue"/>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6" w:hRule="atLeast"/>
          <w:jc w:val="center"/>
        </w:trPr>
        <w:tc>
          <w:tcPr>
            <w:tcW w:w="1332" w:type="dxa"/>
            <w:vMerge w:val="restart"/>
            <w:vAlign w:val="center"/>
          </w:tcPr>
          <w:p>
            <w:pPr>
              <w:widowControl/>
              <w:adjustRightInd w:val="0"/>
              <w:snapToGrid w:val="0"/>
              <w:jc w:val="center"/>
              <w:rPr>
                <w:rFonts w:ascii="宋体"/>
                <w:sz w:val="18"/>
                <w:szCs w:val="18"/>
              </w:rPr>
            </w:pPr>
            <w:r>
              <w:rPr>
                <w:rFonts w:hint="eastAsia" w:ascii="宋体" w:hAnsi="宋体"/>
                <w:sz w:val="18"/>
                <w:szCs w:val="18"/>
              </w:rPr>
              <w:t>部门产出</w:t>
            </w: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数量</w:t>
            </w:r>
          </w:p>
        </w:tc>
        <w:tc>
          <w:tcPr>
            <w:tcW w:w="2310" w:type="dxa"/>
            <w:vAlign w:val="center"/>
          </w:tcPr>
          <w:p>
            <w:pPr>
              <w:widowControl/>
              <w:adjustRightInd w:val="0"/>
              <w:snapToGrid w:val="0"/>
              <w:rPr>
                <w:rFonts w:ascii="宋体"/>
                <w:sz w:val="18"/>
                <w:szCs w:val="18"/>
              </w:rPr>
            </w:pPr>
            <w:r>
              <w:rPr>
                <w:rFonts w:ascii="宋体" w:hAnsi="宋体"/>
                <w:sz w:val="18"/>
                <w:szCs w:val="18"/>
              </w:rPr>
              <w:t>202</w:t>
            </w:r>
            <w:r>
              <w:rPr>
                <w:rFonts w:hint="eastAsia" w:ascii="宋体" w:hAnsi="宋体"/>
                <w:sz w:val="18"/>
                <w:szCs w:val="18"/>
                <w:lang w:val="en-US" w:eastAsia="zh-CN"/>
              </w:rPr>
              <w:t>3</w:t>
            </w:r>
            <w:r>
              <w:rPr>
                <w:rFonts w:hint="eastAsia" w:ascii="宋体" w:hAnsi="宋体"/>
                <w:sz w:val="18"/>
                <w:szCs w:val="18"/>
              </w:rPr>
              <w:t>年初预算批准金额</w:t>
            </w:r>
          </w:p>
        </w:tc>
        <w:tc>
          <w:tcPr>
            <w:tcW w:w="2310" w:type="dxa"/>
            <w:vAlign w:val="center"/>
          </w:tcPr>
          <w:p>
            <w:pPr>
              <w:widowControl/>
              <w:adjustRightInd w:val="0"/>
              <w:snapToGrid w:val="0"/>
              <w:rPr>
                <w:rFonts w:ascii="宋体"/>
                <w:sz w:val="18"/>
                <w:szCs w:val="18"/>
              </w:rPr>
            </w:pPr>
            <w:r>
              <w:rPr>
                <w:rFonts w:ascii="宋体" w:hAnsi="宋体"/>
                <w:sz w:val="18"/>
                <w:szCs w:val="18"/>
              </w:rPr>
              <w:t>202</w:t>
            </w:r>
            <w:r>
              <w:rPr>
                <w:rFonts w:hint="eastAsia" w:ascii="宋体" w:hAnsi="宋体"/>
                <w:sz w:val="18"/>
                <w:szCs w:val="18"/>
                <w:lang w:val="en-US" w:eastAsia="zh-CN"/>
              </w:rPr>
              <w:t>3</w:t>
            </w:r>
            <w:r>
              <w:rPr>
                <w:rFonts w:hint="eastAsia" w:ascii="宋体" w:hAnsi="宋体"/>
                <w:sz w:val="18"/>
                <w:szCs w:val="18"/>
              </w:rPr>
              <w:t>年初预算批准金额</w:t>
            </w:r>
          </w:p>
        </w:tc>
        <w:tc>
          <w:tcPr>
            <w:tcW w:w="2942" w:type="dxa"/>
            <w:vAlign w:val="center"/>
          </w:tcPr>
          <w:p>
            <w:pPr>
              <w:widowControl/>
              <w:adjustRightInd w:val="0"/>
              <w:snapToGrid w:val="0"/>
              <w:rPr>
                <w:rFonts w:ascii="宋体"/>
                <w:sz w:val="18"/>
                <w:szCs w:val="18"/>
              </w:rPr>
            </w:pPr>
            <w:r>
              <w:rPr>
                <w:rFonts w:ascii="宋体" w:hAnsi="宋体"/>
                <w:sz w:val="18"/>
                <w:szCs w:val="18"/>
              </w:rPr>
              <w:t>202</w:t>
            </w:r>
            <w:r>
              <w:rPr>
                <w:rFonts w:hint="eastAsia" w:ascii="宋体" w:hAnsi="宋体"/>
                <w:sz w:val="18"/>
                <w:szCs w:val="18"/>
                <w:lang w:val="en-US" w:eastAsia="zh-CN"/>
              </w:rPr>
              <w:t>3</w:t>
            </w:r>
            <w:r>
              <w:rPr>
                <w:rFonts w:hint="eastAsia" w:ascii="宋体" w:hAnsi="宋体"/>
                <w:sz w:val="18"/>
                <w:szCs w:val="18"/>
              </w:rPr>
              <w:t>年预算中安排一般公共预算</w:t>
            </w:r>
            <w:r>
              <w:rPr>
                <w:rFonts w:hint="eastAsia" w:ascii="宋体" w:hAnsi="宋体"/>
                <w:sz w:val="18"/>
                <w:szCs w:val="18"/>
                <w:lang w:val="en-US" w:eastAsia="zh-CN"/>
              </w:rPr>
              <w:t>5234.90</w:t>
            </w:r>
            <w:r>
              <w:rPr>
                <w:rFonts w:hint="eastAsia" w:ascii="宋体" w:hAnsi="宋体"/>
                <w:sz w:val="18"/>
                <w:szCs w:val="18"/>
              </w:rPr>
              <w:t>万元</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w:t>
            </w:r>
          </w:p>
        </w:tc>
        <w:tc>
          <w:tcPr>
            <w:tcW w:w="735" w:type="dxa"/>
            <w:vAlign w:val="center"/>
          </w:tcPr>
          <w:p>
            <w:pPr>
              <w:widowControl/>
              <w:adjustRightInd w:val="0"/>
              <w:snapToGrid w:val="0"/>
              <w:jc w:val="center"/>
              <w:rPr>
                <w:rFonts w:hint="default" w:ascii="宋体" w:eastAsiaTheme="minorEastAsia"/>
                <w:sz w:val="18"/>
                <w:szCs w:val="18"/>
                <w:lang w:val="en-US" w:eastAsia="zh-CN"/>
              </w:rPr>
            </w:pPr>
            <w:r>
              <w:rPr>
                <w:rFonts w:hint="eastAsia" w:ascii="宋体" w:hAnsi="宋体"/>
                <w:sz w:val="18"/>
                <w:szCs w:val="18"/>
                <w:lang w:val="en-US" w:eastAsia="zh-CN"/>
              </w:rPr>
              <w:t>5234.90</w:t>
            </w: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万元</w:t>
            </w:r>
          </w:p>
        </w:tc>
        <w:tc>
          <w:tcPr>
            <w:tcW w:w="1926" w:type="dxa"/>
            <w:vAlign w:val="center"/>
          </w:tcPr>
          <w:p>
            <w:pPr>
              <w:widowControl/>
              <w:adjustRightInd w:val="0"/>
              <w:snapToGrid w:val="0"/>
              <w:rPr>
                <w:rFonts w:ascii="宋体"/>
                <w:sz w:val="18"/>
                <w:szCs w:val="18"/>
              </w:rPr>
            </w:pPr>
            <w:r>
              <w:rPr>
                <w:rFonts w:ascii="宋体" w:hAnsi="宋体"/>
                <w:sz w:val="18"/>
                <w:szCs w:val="18"/>
              </w:rPr>
              <w:t>202</w:t>
            </w:r>
            <w:r>
              <w:rPr>
                <w:rFonts w:hint="eastAsia" w:ascii="宋体" w:hAnsi="宋体"/>
                <w:sz w:val="18"/>
                <w:szCs w:val="18"/>
                <w:lang w:val="en-US" w:eastAsia="zh-CN"/>
              </w:rPr>
              <w:t>3</w:t>
            </w:r>
            <w:r>
              <w:rPr>
                <w:rFonts w:hint="eastAsia" w:ascii="宋体" w:hAnsi="宋体"/>
                <w:sz w:val="18"/>
                <w:szCs w:val="18"/>
              </w:rPr>
              <w:t>年预算批准金额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4"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质量</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保证质量</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保证质量</w:t>
            </w:r>
          </w:p>
        </w:tc>
        <w:tc>
          <w:tcPr>
            <w:tcW w:w="2942" w:type="dxa"/>
            <w:vAlign w:val="center"/>
          </w:tcPr>
          <w:p>
            <w:pPr>
              <w:widowControl/>
              <w:adjustRightInd w:val="0"/>
              <w:snapToGrid w:val="0"/>
              <w:rPr>
                <w:rFonts w:ascii="宋体"/>
                <w:sz w:val="18"/>
                <w:szCs w:val="18"/>
              </w:rPr>
            </w:pPr>
            <w:r>
              <w:rPr>
                <w:rFonts w:hint="eastAsia" w:ascii="宋体" w:hAnsi="宋体"/>
                <w:sz w:val="18"/>
                <w:szCs w:val="18"/>
              </w:rPr>
              <w:t>严格按照要求保质保量完成项目</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jc w:val="center"/>
              <w:rPr>
                <w:rFonts w:ascii="宋体"/>
                <w:sz w:val="18"/>
                <w:szCs w:val="18"/>
              </w:rPr>
            </w:pP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保证质量</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根据项目验收成果确定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时效</w:t>
            </w:r>
          </w:p>
        </w:tc>
        <w:tc>
          <w:tcPr>
            <w:tcW w:w="2310" w:type="dxa"/>
            <w:vAlign w:val="center"/>
          </w:tcPr>
          <w:p>
            <w:pPr>
              <w:widowControl/>
              <w:adjustRightInd w:val="0"/>
              <w:snapToGrid w:val="0"/>
              <w:rPr>
                <w:rFonts w:ascii="宋体"/>
                <w:sz w:val="18"/>
                <w:szCs w:val="18"/>
              </w:rPr>
            </w:pPr>
            <w:r>
              <w:rPr>
                <w:rFonts w:hint="eastAsia" w:ascii="宋体" w:hAnsi="宋体"/>
                <w:sz w:val="18"/>
                <w:szCs w:val="18"/>
              </w:rPr>
              <w:t>项目完成及时性</w:t>
            </w:r>
          </w:p>
        </w:tc>
        <w:tc>
          <w:tcPr>
            <w:tcW w:w="2310" w:type="dxa"/>
            <w:vAlign w:val="center"/>
          </w:tcPr>
          <w:p>
            <w:pPr>
              <w:widowControl/>
              <w:adjustRightInd w:val="0"/>
              <w:snapToGrid w:val="0"/>
              <w:rPr>
                <w:rFonts w:ascii="宋体"/>
                <w:sz w:val="18"/>
                <w:szCs w:val="18"/>
              </w:rPr>
            </w:pPr>
            <w:r>
              <w:rPr>
                <w:rFonts w:hint="eastAsia" w:ascii="宋体" w:hAnsi="宋体"/>
                <w:sz w:val="18"/>
                <w:szCs w:val="18"/>
              </w:rPr>
              <w:t>项目完成及时性</w:t>
            </w:r>
          </w:p>
        </w:tc>
        <w:tc>
          <w:tcPr>
            <w:tcW w:w="2942" w:type="dxa"/>
            <w:vAlign w:val="center"/>
          </w:tcPr>
          <w:p>
            <w:pPr>
              <w:widowControl/>
              <w:adjustRightInd w:val="0"/>
              <w:snapToGrid w:val="0"/>
              <w:rPr>
                <w:rFonts w:ascii="宋体"/>
                <w:sz w:val="18"/>
                <w:szCs w:val="18"/>
              </w:rPr>
            </w:pPr>
            <w:r>
              <w:rPr>
                <w:rFonts w:hint="eastAsia" w:ascii="宋体" w:hAnsi="宋体"/>
                <w:sz w:val="18"/>
                <w:szCs w:val="18"/>
              </w:rPr>
              <w:t>按照要求和计划完成项目的相关内容</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jc w:val="center"/>
              <w:rPr>
                <w:rFonts w:ascii="宋体"/>
                <w:sz w:val="18"/>
                <w:szCs w:val="18"/>
              </w:rPr>
            </w:pP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及时完成</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成本</w:t>
            </w:r>
          </w:p>
        </w:tc>
        <w:tc>
          <w:tcPr>
            <w:tcW w:w="2310" w:type="dxa"/>
            <w:vAlign w:val="center"/>
          </w:tcPr>
          <w:p>
            <w:pPr>
              <w:widowControl/>
              <w:adjustRightInd w:val="0"/>
              <w:snapToGrid w:val="0"/>
              <w:rPr>
                <w:rFonts w:ascii="宋体"/>
                <w:sz w:val="18"/>
                <w:szCs w:val="18"/>
              </w:rPr>
            </w:pPr>
            <w:r>
              <w:rPr>
                <w:rFonts w:hint="eastAsia" w:ascii="宋体" w:hAnsi="宋体"/>
                <w:sz w:val="18"/>
                <w:szCs w:val="18"/>
              </w:rPr>
              <w:t>成本控制</w:t>
            </w:r>
          </w:p>
        </w:tc>
        <w:tc>
          <w:tcPr>
            <w:tcW w:w="2310" w:type="dxa"/>
            <w:vAlign w:val="center"/>
          </w:tcPr>
          <w:p>
            <w:pPr>
              <w:widowControl/>
              <w:adjustRightInd w:val="0"/>
              <w:snapToGrid w:val="0"/>
              <w:rPr>
                <w:rFonts w:ascii="宋体"/>
                <w:sz w:val="18"/>
                <w:szCs w:val="18"/>
              </w:rPr>
            </w:pPr>
            <w:r>
              <w:rPr>
                <w:rFonts w:hint="eastAsia" w:ascii="宋体" w:hAnsi="宋体"/>
                <w:sz w:val="18"/>
                <w:szCs w:val="18"/>
              </w:rPr>
              <w:t>成本控制</w:t>
            </w:r>
          </w:p>
        </w:tc>
        <w:tc>
          <w:tcPr>
            <w:tcW w:w="2942" w:type="dxa"/>
            <w:vAlign w:val="center"/>
          </w:tcPr>
          <w:p>
            <w:pPr>
              <w:widowControl/>
              <w:adjustRightInd w:val="0"/>
              <w:snapToGrid w:val="0"/>
              <w:rPr>
                <w:rFonts w:ascii="宋体"/>
                <w:sz w:val="18"/>
                <w:szCs w:val="18"/>
              </w:rPr>
            </w:pPr>
            <w:r>
              <w:rPr>
                <w:rFonts w:hint="eastAsia" w:ascii="宋体" w:hAnsi="宋体"/>
                <w:sz w:val="18"/>
                <w:szCs w:val="18"/>
              </w:rPr>
              <w:t>严格按照</w:t>
            </w:r>
            <w:r>
              <w:rPr>
                <w:rFonts w:ascii="宋体" w:hAnsi="宋体"/>
                <w:sz w:val="18"/>
                <w:szCs w:val="18"/>
              </w:rPr>
              <w:t>202</w:t>
            </w:r>
            <w:r>
              <w:rPr>
                <w:rFonts w:hint="eastAsia" w:ascii="宋体" w:hAnsi="宋体"/>
                <w:sz w:val="18"/>
                <w:szCs w:val="18"/>
                <w:lang w:val="en-US" w:eastAsia="zh-CN"/>
              </w:rPr>
              <w:t>3</w:t>
            </w:r>
            <w:r>
              <w:rPr>
                <w:rFonts w:hint="eastAsia" w:ascii="宋体" w:hAnsi="宋体"/>
                <w:sz w:val="18"/>
                <w:szCs w:val="18"/>
              </w:rPr>
              <w:t>年度年初预算执行，成本控制在预算范围内</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jc w:val="center"/>
              <w:rPr>
                <w:rFonts w:ascii="宋体"/>
                <w:sz w:val="18"/>
                <w:szCs w:val="18"/>
              </w:rPr>
            </w:pP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各项支出严格按照年初预算执行</w:t>
            </w:r>
          </w:p>
        </w:tc>
        <w:tc>
          <w:tcPr>
            <w:tcW w:w="1926" w:type="dxa"/>
            <w:vAlign w:val="center"/>
          </w:tcPr>
          <w:p>
            <w:pPr>
              <w:widowControl/>
              <w:adjustRightInd w:val="0"/>
              <w:snapToGrid w:val="0"/>
              <w:rPr>
                <w:rFonts w:ascii="宋体"/>
                <w:sz w:val="18"/>
                <w:szCs w:val="18"/>
              </w:rPr>
            </w:pPr>
            <w:r>
              <w:rPr>
                <w:rFonts w:ascii="宋体" w:hAnsi="宋体"/>
                <w:sz w:val="18"/>
                <w:szCs w:val="18"/>
              </w:rPr>
              <w:t>202</w:t>
            </w:r>
            <w:r>
              <w:rPr>
                <w:rFonts w:hint="eastAsia" w:ascii="宋体" w:hAnsi="宋体"/>
                <w:sz w:val="18"/>
                <w:szCs w:val="18"/>
                <w:lang w:val="en-US" w:eastAsia="zh-CN"/>
              </w:rPr>
              <w:t>3</w:t>
            </w:r>
            <w:r>
              <w:rPr>
                <w:rFonts w:hint="eastAsia" w:ascii="宋体" w:hAnsi="宋体"/>
                <w:sz w:val="18"/>
                <w:szCs w:val="18"/>
              </w:rPr>
              <w:t>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32" w:type="dxa"/>
            <w:vMerge w:val="restart"/>
            <w:vAlign w:val="center"/>
          </w:tcPr>
          <w:p>
            <w:pPr>
              <w:adjustRightInd w:val="0"/>
              <w:snapToGrid w:val="0"/>
              <w:jc w:val="center"/>
              <w:rPr>
                <w:rFonts w:ascii="宋体"/>
                <w:sz w:val="18"/>
                <w:szCs w:val="18"/>
              </w:rPr>
            </w:pPr>
            <w:r>
              <w:rPr>
                <w:rFonts w:hint="eastAsia" w:ascii="宋体" w:hAnsi="宋体"/>
                <w:sz w:val="18"/>
                <w:szCs w:val="18"/>
              </w:rPr>
              <w:t>部门效果</w:t>
            </w: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社会效益</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促进社会稳定</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促进社会稳定</w:t>
            </w:r>
          </w:p>
        </w:tc>
        <w:tc>
          <w:tcPr>
            <w:tcW w:w="2942" w:type="dxa"/>
            <w:vAlign w:val="center"/>
          </w:tcPr>
          <w:p>
            <w:pPr>
              <w:widowControl/>
              <w:adjustRightInd w:val="0"/>
              <w:snapToGrid w:val="0"/>
              <w:rPr>
                <w:rFonts w:ascii="宋体"/>
                <w:sz w:val="18"/>
                <w:szCs w:val="18"/>
              </w:rPr>
            </w:pPr>
            <w:r>
              <w:rPr>
                <w:rFonts w:hint="eastAsia" w:ascii="宋体" w:hAnsi="宋体"/>
                <w:sz w:val="18"/>
                <w:szCs w:val="18"/>
              </w:rPr>
              <w:t>保障人民生命财产安全，有效化解社会矛盾。改善城乡布局，使布局更为合理化，得到广大受众的充分认可。</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jc w:val="center"/>
              <w:rPr>
                <w:rFonts w:ascii="宋体"/>
                <w:sz w:val="18"/>
                <w:szCs w:val="18"/>
              </w:rPr>
            </w:pP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显著提高</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1"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经济效益</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促进经济发展</w:t>
            </w:r>
          </w:p>
        </w:tc>
        <w:tc>
          <w:tcPr>
            <w:tcW w:w="2310" w:type="dxa"/>
            <w:vAlign w:val="center"/>
          </w:tcPr>
          <w:p>
            <w:pPr>
              <w:widowControl/>
              <w:adjustRightInd w:val="0"/>
              <w:snapToGrid w:val="0"/>
              <w:rPr>
                <w:rFonts w:ascii="宋体"/>
                <w:sz w:val="18"/>
                <w:szCs w:val="18"/>
              </w:rPr>
            </w:pPr>
            <w:r>
              <w:rPr>
                <w:rFonts w:hint="eastAsia" w:ascii="宋体" w:hAnsi="宋体"/>
                <w:sz w:val="18"/>
                <w:szCs w:val="18"/>
              </w:rPr>
              <w:t>促进经济发展</w:t>
            </w:r>
          </w:p>
        </w:tc>
        <w:tc>
          <w:tcPr>
            <w:tcW w:w="2942" w:type="dxa"/>
            <w:vAlign w:val="center"/>
          </w:tcPr>
          <w:p>
            <w:pPr>
              <w:widowControl/>
              <w:adjustRightInd w:val="0"/>
              <w:snapToGrid w:val="0"/>
              <w:rPr>
                <w:rFonts w:ascii="宋体"/>
                <w:sz w:val="18"/>
                <w:szCs w:val="18"/>
              </w:rPr>
            </w:pPr>
            <w:r>
              <w:rPr>
                <w:rFonts w:hint="eastAsia" w:ascii="宋体" w:hAnsi="宋体"/>
                <w:sz w:val="18"/>
                <w:szCs w:val="18"/>
              </w:rPr>
              <w:t>减少经济损失，对自然资源利用状况、权属变化进行调查，及时变更，有利于相关及其他行业的经营发展</w:t>
            </w:r>
          </w:p>
        </w:tc>
        <w:tc>
          <w:tcPr>
            <w:tcW w:w="840" w:type="dxa"/>
            <w:vAlign w:val="center"/>
          </w:tcPr>
          <w:p>
            <w:pPr>
              <w:widowControl/>
              <w:adjustRightInd w:val="0"/>
              <w:snapToGrid w:val="0"/>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rPr>
                <w:rFonts w:ascii="宋体"/>
                <w:sz w:val="18"/>
                <w:szCs w:val="18"/>
              </w:rPr>
            </w:pPr>
          </w:p>
        </w:tc>
        <w:tc>
          <w:tcPr>
            <w:tcW w:w="943" w:type="dxa"/>
            <w:vAlign w:val="center"/>
          </w:tcPr>
          <w:p>
            <w:pPr>
              <w:widowControl/>
              <w:adjustRightInd w:val="0"/>
              <w:snapToGrid w:val="0"/>
              <w:rPr>
                <w:rFonts w:ascii="宋体"/>
                <w:sz w:val="18"/>
                <w:szCs w:val="18"/>
              </w:rPr>
            </w:pPr>
            <w:r>
              <w:rPr>
                <w:rFonts w:hint="eastAsia" w:ascii="宋体" w:hAnsi="宋体"/>
                <w:sz w:val="18"/>
                <w:szCs w:val="18"/>
              </w:rPr>
              <w:t>有效促进</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生态效益</w:t>
            </w:r>
          </w:p>
        </w:tc>
        <w:tc>
          <w:tcPr>
            <w:tcW w:w="2310" w:type="dxa"/>
            <w:vAlign w:val="center"/>
          </w:tcPr>
          <w:p>
            <w:pPr>
              <w:widowControl/>
              <w:adjustRightInd w:val="0"/>
              <w:snapToGrid w:val="0"/>
              <w:rPr>
                <w:rFonts w:ascii="宋体"/>
                <w:sz w:val="18"/>
                <w:szCs w:val="18"/>
              </w:rPr>
            </w:pPr>
            <w:r>
              <w:rPr>
                <w:rFonts w:hint="eastAsia" w:ascii="宋体" w:hAnsi="宋体"/>
                <w:sz w:val="18"/>
                <w:szCs w:val="18"/>
              </w:rPr>
              <w:t>节约资源，促进环境保护</w:t>
            </w:r>
          </w:p>
        </w:tc>
        <w:tc>
          <w:tcPr>
            <w:tcW w:w="2310" w:type="dxa"/>
            <w:vAlign w:val="center"/>
          </w:tcPr>
          <w:p>
            <w:pPr>
              <w:widowControl/>
              <w:adjustRightInd w:val="0"/>
              <w:snapToGrid w:val="0"/>
              <w:rPr>
                <w:rFonts w:ascii="宋体"/>
                <w:sz w:val="18"/>
                <w:szCs w:val="18"/>
              </w:rPr>
            </w:pPr>
            <w:r>
              <w:rPr>
                <w:rFonts w:hint="eastAsia" w:ascii="宋体" w:hAnsi="宋体"/>
                <w:sz w:val="18"/>
                <w:szCs w:val="18"/>
              </w:rPr>
              <w:t>节约资源，促进环境保护</w:t>
            </w:r>
          </w:p>
        </w:tc>
        <w:tc>
          <w:tcPr>
            <w:tcW w:w="2942" w:type="dxa"/>
            <w:vAlign w:val="center"/>
          </w:tcPr>
          <w:p>
            <w:pPr>
              <w:widowControl/>
              <w:adjustRightInd w:val="0"/>
              <w:snapToGrid w:val="0"/>
              <w:rPr>
                <w:rFonts w:ascii="宋体"/>
                <w:sz w:val="18"/>
                <w:szCs w:val="18"/>
              </w:rPr>
            </w:pPr>
            <w:r>
              <w:rPr>
                <w:rFonts w:hint="eastAsia" w:ascii="宋体" w:hAnsi="宋体"/>
                <w:sz w:val="18"/>
                <w:szCs w:val="18"/>
              </w:rPr>
              <w:t>节约纸张使用，节约资源，实现绿色办公，对环境保护有改善、促进作用。</w:t>
            </w:r>
          </w:p>
        </w:tc>
        <w:tc>
          <w:tcPr>
            <w:tcW w:w="840" w:type="dxa"/>
            <w:vAlign w:val="center"/>
          </w:tcPr>
          <w:p>
            <w:pPr>
              <w:widowControl/>
              <w:adjustRightInd w:val="0"/>
              <w:snapToGrid w:val="0"/>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rPr>
                <w:rFonts w:ascii="宋体"/>
                <w:sz w:val="18"/>
                <w:szCs w:val="18"/>
              </w:rPr>
            </w:pPr>
          </w:p>
        </w:tc>
        <w:tc>
          <w:tcPr>
            <w:tcW w:w="943" w:type="dxa"/>
            <w:vAlign w:val="center"/>
          </w:tcPr>
          <w:p>
            <w:pPr>
              <w:widowControl/>
              <w:adjustRightInd w:val="0"/>
              <w:snapToGrid w:val="0"/>
              <w:rPr>
                <w:rFonts w:ascii="宋体"/>
                <w:sz w:val="18"/>
                <w:szCs w:val="18"/>
              </w:rPr>
            </w:pPr>
            <w:r>
              <w:rPr>
                <w:rFonts w:hint="eastAsia" w:ascii="宋体" w:hAnsi="宋体"/>
                <w:sz w:val="18"/>
                <w:szCs w:val="18"/>
              </w:rPr>
              <w:t>有效改善</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77" w:hRule="atLeast"/>
          <w:jc w:val="center"/>
        </w:trPr>
        <w:tc>
          <w:tcPr>
            <w:tcW w:w="1332" w:type="dxa"/>
            <w:vMerge w:val="continue"/>
            <w:vAlign w:val="center"/>
          </w:tcPr>
          <w:p>
            <w:pPr>
              <w:rPr>
                <w:rFonts w:ascii="宋体"/>
                <w:sz w:val="18"/>
                <w:szCs w:val="18"/>
              </w:rPr>
            </w:pPr>
          </w:p>
        </w:tc>
        <w:tc>
          <w:tcPr>
            <w:tcW w:w="1332" w:type="dxa"/>
            <w:vAlign w:val="center"/>
          </w:tcPr>
          <w:p>
            <w:pPr>
              <w:adjustRightInd w:val="0"/>
              <w:snapToGrid w:val="0"/>
              <w:jc w:val="center"/>
              <w:rPr>
                <w:rFonts w:ascii="宋体"/>
                <w:sz w:val="18"/>
                <w:szCs w:val="18"/>
              </w:rPr>
            </w:pPr>
            <w:r>
              <w:rPr>
                <w:rFonts w:hint="eastAsia" w:ascii="宋体" w:hAnsi="宋体"/>
                <w:sz w:val="18"/>
                <w:szCs w:val="18"/>
              </w:rPr>
              <w:t>可持续影响</w:t>
            </w:r>
          </w:p>
        </w:tc>
        <w:tc>
          <w:tcPr>
            <w:tcW w:w="2310" w:type="dxa"/>
            <w:vAlign w:val="center"/>
          </w:tcPr>
          <w:p>
            <w:pPr>
              <w:widowControl/>
              <w:adjustRightInd w:val="0"/>
              <w:snapToGrid w:val="0"/>
              <w:rPr>
                <w:rFonts w:ascii="宋体"/>
                <w:sz w:val="18"/>
                <w:szCs w:val="18"/>
              </w:rPr>
            </w:pPr>
            <w:r>
              <w:rPr>
                <w:rFonts w:hint="eastAsia" w:ascii="宋体" w:hAnsi="宋体"/>
                <w:sz w:val="18"/>
                <w:szCs w:val="18"/>
              </w:rPr>
              <w:t>维护生态安全，可持续发展</w:t>
            </w:r>
          </w:p>
        </w:tc>
        <w:tc>
          <w:tcPr>
            <w:tcW w:w="2310" w:type="dxa"/>
            <w:vAlign w:val="center"/>
          </w:tcPr>
          <w:p>
            <w:pPr>
              <w:widowControl/>
              <w:adjustRightInd w:val="0"/>
              <w:snapToGrid w:val="0"/>
              <w:rPr>
                <w:rFonts w:ascii="宋体"/>
                <w:sz w:val="18"/>
                <w:szCs w:val="18"/>
              </w:rPr>
            </w:pPr>
            <w:r>
              <w:rPr>
                <w:rFonts w:hint="eastAsia" w:ascii="宋体" w:hAnsi="宋体"/>
                <w:sz w:val="18"/>
                <w:szCs w:val="18"/>
              </w:rPr>
              <w:t>维护生态安全，可持续发展</w:t>
            </w:r>
          </w:p>
        </w:tc>
        <w:tc>
          <w:tcPr>
            <w:tcW w:w="2942" w:type="dxa"/>
            <w:vAlign w:val="center"/>
          </w:tcPr>
          <w:p>
            <w:pPr>
              <w:widowControl/>
              <w:adjustRightInd w:val="0"/>
              <w:snapToGrid w:val="0"/>
              <w:rPr>
                <w:rFonts w:ascii="宋体"/>
                <w:sz w:val="18"/>
                <w:szCs w:val="18"/>
              </w:rPr>
            </w:pPr>
            <w:r>
              <w:rPr>
                <w:rFonts w:hint="eastAsia" w:ascii="宋体" w:hAnsi="宋体"/>
                <w:sz w:val="18"/>
                <w:szCs w:val="18"/>
              </w:rPr>
              <w:t>维持机关工作正常运转，为区域发展提供建设支撑。</w:t>
            </w:r>
          </w:p>
        </w:tc>
        <w:tc>
          <w:tcPr>
            <w:tcW w:w="840" w:type="dxa"/>
            <w:vAlign w:val="center"/>
          </w:tcPr>
          <w:p>
            <w:pPr>
              <w:widowControl/>
              <w:adjustRightInd w:val="0"/>
              <w:snapToGrid w:val="0"/>
              <w:jc w:val="center"/>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jc w:val="center"/>
              <w:rPr>
                <w:rFonts w:ascii="宋体"/>
                <w:sz w:val="18"/>
                <w:szCs w:val="18"/>
              </w:rPr>
            </w:pPr>
          </w:p>
        </w:tc>
        <w:tc>
          <w:tcPr>
            <w:tcW w:w="943" w:type="dxa"/>
            <w:vAlign w:val="center"/>
          </w:tcPr>
          <w:p>
            <w:pPr>
              <w:widowControl/>
              <w:adjustRightInd w:val="0"/>
              <w:snapToGrid w:val="0"/>
              <w:jc w:val="center"/>
              <w:rPr>
                <w:rFonts w:ascii="宋体"/>
                <w:sz w:val="18"/>
                <w:szCs w:val="18"/>
              </w:rPr>
            </w:pPr>
            <w:r>
              <w:rPr>
                <w:rFonts w:hint="eastAsia" w:ascii="宋体" w:hAnsi="宋体"/>
                <w:sz w:val="18"/>
                <w:szCs w:val="18"/>
              </w:rPr>
              <w:t>有效改善</w:t>
            </w:r>
          </w:p>
        </w:tc>
        <w:tc>
          <w:tcPr>
            <w:tcW w:w="1926" w:type="dxa"/>
            <w:vAlign w:val="center"/>
          </w:tcPr>
          <w:p>
            <w:pPr>
              <w:widowControl/>
              <w:adjustRightInd w:val="0"/>
              <w:snapToGrid w:val="0"/>
              <w:rPr>
                <w:rFonts w:ascii="宋体"/>
                <w:sz w:val="18"/>
                <w:szCs w:val="18"/>
              </w:rPr>
            </w:pPr>
            <w:r>
              <w:rPr>
                <w:rFonts w:hint="eastAsia" w:ascii="宋体" w:hAnsi="宋体"/>
                <w:sz w:val="18"/>
                <w:szCs w:val="18"/>
              </w:rPr>
              <w:t>本单位长期规划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75" w:hRule="atLeast"/>
          <w:jc w:val="center"/>
        </w:trPr>
        <w:tc>
          <w:tcPr>
            <w:tcW w:w="1332" w:type="dxa"/>
            <w:vMerge w:val="continue"/>
            <w:vAlign w:val="center"/>
          </w:tcPr>
          <w:p>
            <w:pPr>
              <w:rPr>
                <w:rFonts w:ascii="宋体"/>
                <w:sz w:val="18"/>
                <w:szCs w:val="18"/>
              </w:rPr>
            </w:pPr>
          </w:p>
        </w:tc>
        <w:tc>
          <w:tcPr>
            <w:tcW w:w="1332" w:type="dxa"/>
            <w:vAlign w:val="center"/>
          </w:tcPr>
          <w:p>
            <w:pPr>
              <w:widowControl/>
              <w:adjustRightInd w:val="0"/>
              <w:snapToGrid w:val="0"/>
              <w:jc w:val="center"/>
              <w:rPr>
                <w:rFonts w:ascii="宋体"/>
                <w:sz w:val="18"/>
                <w:szCs w:val="18"/>
              </w:rPr>
            </w:pPr>
            <w:r>
              <w:rPr>
                <w:rFonts w:hint="eastAsia" w:ascii="宋体" w:hAnsi="宋体"/>
                <w:sz w:val="18"/>
                <w:szCs w:val="18"/>
              </w:rPr>
              <w:t>满意度</w:t>
            </w:r>
          </w:p>
        </w:tc>
        <w:tc>
          <w:tcPr>
            <w:tcW w:w="2310" w:type="dxa"/>
            <w:vAlign w:val="center"/>
          </w:tcPr>
          <w:p>
            <w:pPr>
              <w:widowControl/>
              <w:adjustRightInd w:val="0"/>
              <w:snapToGrid w:val="0"/>
              <w:rPr>
                <w:rFonts w:ascii="宋体"/>
                <w:sz w:val="18"/>
                <w:szCs w:val="18"/>
              </w:rPr>
            </w:pPr>
            <w:r>
              <w:rPr>
                <w:rFonts w:hint="eastAsia" w:ascii="宋体" w:hAnsi="宋体"/>
                <w:sz w:val="18"/>
                <w:szCs w:val="18"/>
              </w:rPr>
              <w:t>项目单位满意度</w:t>
            </w:r>
          </w:p>
        </w:tc>
        <w:tc>
          <w:tcPr>
            <w:tcW w:w="2310" w:type="dxa"/>
            <w:vAlign w:val="center"/>
          </w:tcPr>
          <w:p>
            <w:pPr>
              <w:widowControl/>
              <w:adjustRightInd w:val="0"/>
              <w:snapToGrid w:val="0"/>
              <w:rPr>
                <w:rFonts w:ascii="宋体"/>
                <w:sz w:val="18"/>
                <w:szCs w:val="18"/>
              </w:rPr>
            </w:pPr>
            <w:r>
              <w:rPr>
                <w:rFonts w:hint="eastAsia" w:ascii="宋体" w:hAnsi="宋体"/>
                <w:sz w:val="18"/>
                <w:szCs w:val="18"/>
              </w:rPr>
              <w:t>项目单位满意度</w:t>
            </w:r>
          </w:p>
        </w:tc>
        <w:tc>
          <w:tcPr>
            <w:tcW w:w="2942" w:type="dxa"/>
            <w:vAlign w:val="center"/>
          </w:tcPr>
          <w:p>
            <w:pPr>
              <w:widowControl/>
              <w:adjustRightInd w:val="0"/>
              <w:snapToGrid w:val="0"/>
              <w:rPr>
                <w:rFonts w:ascii="宋体"/>
                <w:sz w:val="18"/>
                <w:szCs w:val="18"/>
              </w:rPr>
            </w:pPr>
            <w:r>
              <w:rPr>
                <w:rFonts w:hint="eastAsia" w:ascii="宋体" w:hAnsi="宋体"/>
                <w:sz w:val="18"/>
                <w:szCs w:val="18"/>
              </w:rPr>
              <w:t>本部门对项目承担单位承担项目工作的调查和编制工作的满意度。</w:t>
            </w:r>
          </w:p>
        </w:tc>
        <w:tc>
          <w:tcPr>
            <w:tcW w:w="840" w:type="dxa"/>
            <w:vAlign w:val="center"/>
          </w:tcPr>
          <w:p>
            <w:pPr>
              <w:widowControl/>
              <w:adjustRightInd w:val="0"/>
              <w:snapToGrid w:val="0"/>
              <w:rPr>
                <w:rFonts w:ascii="宋体"/>
                <w:sz w:val="18"/>
                <w:szCs w:val="18"/>
              </w:rPr>
            </w:pPr>
            <w:r>
              <w:rPr>
                <w:rFonts w:hint="eastAsia" w:ascii="宋体" w:hAnsi="宋体"/>
                <w:sz w:val="18"/>
                <w:szCs w:val="18"/>
              </w:rPr>
              <w:t>文字描述</w:t>
            </w:r>
          </w:p>
        </w:tc>
        <w:tc>
          <w:tcPr>
            <w:tcW w:w="735" w:type="dxa"/>
            <w:vAlign w:val="center"/>
          </w:tcPr>
          <w:p>
            <w:pPr>
              <w:widowControl/>
              <w:adjustRightInd w:val="0"/>
              <w:snapToGrid w:val="0"/>
              <w:rPr>
                <w:rFonts w:ascii="宋体"/>
                <w:sz w:val="18"/>
                <w:szCs w:val="18"/>
              </w:rPr>
            </w:pPr>
          </w:p>
        </w:tc>
        <w:tc>
          <w:tcPr>
            <w:tcW w:w="943" w:type="dxa"/>
            <w:vAlign w:val="center"/>
          </w:tcPr>
          <w:p>
            <w:pPr>
              <w:widowControl/>
              <w:adjustRightInd w:val="0"/>
              <w:snapToGrid w:val="0"/>
              <w:rPr>
                <w:rFonts w:ascii="宋体"/>
                <w:sz w:val="18"/>
                <w:szCs w:val="18"/>
              </w:rPr>
            </w:pPr>
            <w:r>
              <w:rPr>
                <w:rFonts w:hint="eastAsia" w:ascii="宋体" w:hAnsi="宋体"/>
                <w:sz w:val="18"/>
                <w:szCs w:val="18"/>
              </w:rPr>
              <w:t>切实增强</w:t>
            </w:r>
          </w:p>
        </w:tc>
        <w:tc>
          <w:tcPr>
            <w:tcW w:w="1926" w:type="dxa"/>
            <w:vAlign w:val="center"/>
          </w:tcPr>
          <w:p>
            <w:pPr>
              <w:widowControl/>
              <w:adjustRightInd w:val="0"/>
              <w:snapToGrid w:val="0"/>
              <w:rPr>
                <w:rFonts w:ascii="宋体"/>
                <w:sz w:val="18"/>
                <w:szCs w:val="18"/>
              </w:rPr>
            </w:pPr>
            <w:r>
              <w:rPr>
                <w:rFonts w:hint="eastAsia" w:ascii="宋体" w:hAnsi="宋体"/>
                <w:sz w:val="18"/>
                <w:szCs w:val="18"/>
              </w:rPr>
              <w:t>根据项目实际情况确定</w:t>
            </w:r>
          </w:p>
        </w:tc>
      </w:tr>
    </w:tbl>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2023年省级林业改革发展补助资金（村庄绿化提升村）-上级</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2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3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829"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通过该项目，精准开展8个村庄绿化提升建设，进一步增加村庄森林资源总量，提升生态建设质量，有效改善人居生态环境。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33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198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村庄林木绿化率</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考察2023年村庄林木绿化率</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30%</w:t>
            </w:r>
          </w:p>
        </w:tc>
        <w:tc>
          <w:tcPr>
            <w:tcW w:w="233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198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足额发放率</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按奖补标准足额发放</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33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198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完成及时性</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按照计划完成资金拨付</w:t>
            </w:r>
          </w:p>
        </w:tc>
        <w:tc>
          <w:tcPr>
            <w:tcW w:w="1843" w:type="dxa"/>
            <w:shd w:val="clear" w:color="auto" w:fill="auto"/>
            <w:vAlign w:val="center"/>
          </w:tcPr>
          <w:p>
            <w:pPr>
              <w:spacing w:line="584"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5月底前完成</w:t>
            </w:r>
          </w:p>
        </w:tc>
        <w:tc>
          <w:tcPr>
            <w:tcW w:w="233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198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成本控制</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成本控制在预算额度范围内</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16万元</w:t>
            </w:r>
          </w:p>
        </w:tc>
        <w:tc>
          <w:tcPr>
            <w:tcW w:w="233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198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提高群众积极性</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考察是否提高李群众积极性</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提高</w:t>
            </w:r>
          </w:p>
        </w:tc>
        <w:tc>
          <w:tcPr>
            <w:tcW w:w="233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生态效益指标</w:t>
            </w:r>
          </w:p>
        </w:tc>
        <w:tc>
          <w:tcPr>
            <w:tcW w:w="198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人居生态环境</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人居生态环境整治效果</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明显</w:t>
            </w:r>
          </w:p>
        </w:tc>
        <w:tc>
          <w:tcPr>
            <w:tcW w:w="233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可持续影响指标</w:t>
            </w:r>
          </w:p>
        </w:tc>
        <w:tc>
          <w:tcPr>
            <w:tcW w:w="198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生态可持续影响</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生态效益发挥</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明显</w:t>
            </w:r>
          </w:p>
        </w:tc>
        <w:tc>
          <w:tcPr>
            <w:tcW w:w="233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198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群众满意度</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考察群众的满意程度</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80%</w:t>
            </w:r>
          </w:p>
        </w:tc>
        <w:tc>
          <w:tcPr>
            <w:tcW w:w="233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根据项目实际情况确定</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2023年省级林业改革发展补助资金（林草湿综合监测）-上级</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1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4"/>
        <w:gridCol w:w="1581"/>
        <w:gridCol w:w="2060"/>
        <w:gridCol w:w="5072"/>
        <w:gridCol w:w="1950"/>
        <w:gridCol w:w="20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2" w:hRule="atLeast"/>
          <w:tblHeader/>
          <w:jc w:val="center"/>
        </w:trPr>
        <w:tc>
          <w:tcPr>
            <w:tcW w:w="1434" w:type="dxa"/>
            <w:shd w:val="clear" w:color="auto" w:fill="auto"/>
            <w:vAlign w:val="center"/>
          </w:tcPr>
          <w:p>
            <w:pPr>
              <w:spacing w:line="584"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绩效目标</w:t>
            </w:r>
          </w:p>
        </w:tc>
        <w:tc>
          <w:tcPr>
            <w:tcW w:w="12709" w:type="dxa"/>
            <w:gridSpan w:val="5"/>
            <w:shd w:val="clear" w:color="auto" w:fill="auto"/>
            <w:vAlign w:val="center"/>
          </w:tcPr>
          <w:p>
            <w:pPr>
              <w:spacing w:line="584" w:lineRule="exact"/>
              <w:rPr>
                <w:rFonts w:ascii="Times New Roman" w:hAnsi="Times New Roman" w:eastAsia="仿宋_GB2312" w:cs="Times New Roman"/>
                <w:b/>
                <w:sz w:val="18"/>
                <w:szCs w:val="18"/>
              </w:rPr>
            </w:pPr>
            <w:r>
              <w:rPr>
                <w:rFonts w:hint="eastAsia" w:ascii="Times New Roman" w:hAnsi="Times New Roman" w:eastAsia="仿宋_GB2312" w:cs="Times New Roman"/>
                <w:b/>
                <w:sz w:val="18"/>
                <w:szCs w:val="18"/>
              </w:rPr>
              <w:t>林草湿综合监测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34" w:type="dxa"/>
            <w:shd w:val="clear" w:color="auto" w:fill="auto"/>
            <w:vAlign w:val="center"/>
          </w:tcPr>
          <w:p>
            <w:pPr>
              <w:spacing w:line="584"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一级指标</w:t>
            </w:r>
          </w:p>
        </w:tc>
        <w:tc>
          <w:tcPr>
            <w:tcW w:w="1581" w:type="dxa"/>
            <w:shd w:val="clear" w:color="auto" w:fill="auto"/>
            <w:vAlign w:val="center"/>
          </w:tcPr>
          <w:p>
            <w:pPr>
              <w:spacing w:line="584"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二级指标</w:t>
            </w:r>
          </w:p>
        </w:tc>
        <w:tc>
          <w:tcPr>
            <w:tcW w:w="2060" w:type="dxa"/>
            <w:shd w:val="clear" w:color="auto" w:fill="auto"/>
            <w:vAlign w:val="center"/>
          </w:tcPr>
          <w:p>
            <w:pPr>
              <w:spacing w:line="584"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三级指标</w:t>
            </w:r>
          </w:p>
        </w:tc>
        <w:tc>
          <w:tcPr>
            <w:tcW w:w="5072" w:type="dxa"/>
            <w:shd w:val="clear" w:color="auto" w:fill="auto"/>
            <w:vAlign w:val="center"/>
          </w:tcPr>
          <w:p>
            <w:pPr>
              <w:spacing w:line="584"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绩效指标描述</w:t>
            </w:r>
          </w:p>
        </w:tc>
        <w:tc>
          <w:tcPr>
            <w:tcW w:w="1950" w:type="dxa"/>
            <w:shd w:val="clear" w:color="auto" w:fill="auto"/>
            <w:vAlign w:val="center"/>
          </w:tcPr>
          <w:p>
            <w:pPr>
              <w:spacing w:line="584"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指标值</w:t>
            </w:r>
          </w:p>
        </w:tc>
        <w:tc>
          <w:tcPr>
            <w:tcW w:w="2046" w:type="dxa"/>
            <w:shd w:val="clear" w:color="auto" w:fill="auto"/>
            <w:vAlign w:val="center"/>
          </w:tcPr>
          <w:p>
            <w:pPr>
              <w:spacing w:line="584" w:lineRule="exact"/>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6" w:hRule="atLeast"/>
          <w:jc w:val="center"/>
        </w:trPr>
        <w:tc>
          <w:tcPr>
            <w:tcW w:w="1434" w:type="dxa"/>
            <w:vMerge w:val="restart"/>
            <w:shd w:val="clear" w:color="auto" w:fill="auto"/>
            <w:vAlign w:val="center"/>
          </w:tcPr>
          <w:p>
            <w:pPr>
              <w:spacing w:line="584"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产出指标</w:t>
            </w:r>
          </w:p>
        </w:tc>
        <w:tc>
          <w:tcPr>
            <w:tcW w:w="15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数量指标</w:t>
            </w:r>
          </w:p>
        </w:tc>
        <w:tc>
          <w:tcPr>
            <w:tcW w:w="20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监测图斑调查完成数量</w:t>
            </w:r>
          </w:p>
        </w:tc>
        <w:tc>
          <w:tcPr>
            <w:tcW w:w="50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调查完成数量=实际完成调查的图斑个数</w:t>
            </w:r>
          </w:p>
        </w:tc>
        <w:tc>
          <w:tcPr>
            <w:tcW w:w="1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rPr>
              <w:t>≥</w:t>
            </w:r>
            <w:r>
              <w:rPr>
                <w:rFonts w:hint="eastAsia" w:ascii="Times New Roman" w:hAnsi="Times New Roman" w:eastAsia="仿宋_GB2312" w:cs="Times New Roman"/>
                <w:sz w:val="18"/>
                <w:szCs w:val="18"/>
                <w:lang w:val="en-US" w:eastAsia="zh-CN"/>
              </w:rPr>
              <w:t>250个</w:t>
            </w:r>
          </w:p>
        </w:tc>
        <w:tc>
          <w:tcPr>
            <w:tcW w:w="2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9" w:hRule="atLeast"/>
          <w:jc w:val="center"/>
        </w:trPr>
        <w:tc>
          <w:tcPr>
            <w:tcW w:w="1434" w:type="dxa"/>
            <w:vMerge w:val="continue"/>
            <w:shd w:val="clear" w:color="auto" w:fill="auto"/>
            <w:vAlign w:val="center"/>
          </w:tcPr>
          <w:p>
            <w:pPr>
              <w:spacing w:line="584" w:lineRule="exact"/>
              <w:jc w:val="center"/>
              <w:rPr>
                <w:rFonts w:ascii="Times New Roman" w:hAnsi="Times New Roman" w:eastAsia="仿宋_GB2312" w:cs="Times New Roman"/>
                <w:sz w:val="18"/>
                <w:szCs w:val="18"/>
              </w:rPr>
            </w:pPr>
          </w:p>
        </w:tc>
        <w:tc>
          <w:tcPr>
            <w:tcW w:w="15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数量指标</w:t>
            </w:r>
          </w:p>
        </w:tc>
        <w:tc>
          <w:tcPr>
            <w:tcW w:w="20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样地调查完成数量</w:t>
            </w:r>
          </w:p>
        </w:tc>
        <w:tc>
          <w:tcPr>
            <w:tcW w:w="50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调查完成数量=实际完成调查样地个数</w:t>
            </w:r>
          </w:p>
        </w:tc>
        <w:tc>
          <w:tcPr>
            <w:tcW w:w="1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rPr>
              <w:t>≥</w:t>
            </w:r>
            <w:r>
              <w:rPr>
                <w:rFonts w:hint="eastAsia" w:ascii="Times New Roman" w:hAnsi="Times New Roman" w:eastAsia="仿宋_GB2312" w:cs="Times New Roman"/>
                <w:sz w:val="18"/>
                <w:szCs w:val="18"/>
                <w:lang w:val="en-US" w:eastAsia="zh-CN"/>
              </w:rPr>
              <w:t>3个</w:t>
            </w:r>
          </w:p>
        </w:tc>
        <w:tc>
          <w:tcPr>
            <w:tcW w:w="2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shd w:val="clear" w:color="auto" w:fill="auto"/>
            <w:vAlign w:val="center"/>
          </w:tcPr>
          <w:p>
            <w:pPr>
              <w:spacing w:line="584" w:lineRule="exact"/>
              <w:jc w:val="center"/>
              <w:rPr>
                <w:rFonts w:ascii="Times New Roman" w:hAnsi="Times New Roman" w:eastAsia="仿宋_GB2312" w:cs="Times New Roman"/>
                <w:sz w:val="18"/>
                <w:szCs w:val="18"/>
              </w:rPr>
            </w:pPr>
          </w:p>
        </w:tc>
        <w:tc>
          <w:tcPr>
            <w:tcW w:w="15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质量指标</w:t>
            </w:r>
          </w:p>
        </w:tc>
        <w:tc>
          <w:tcPr>
            <w:tcW w:w="20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监测图斑调查准确率</w:t>
            </w:r>
          </w:p>
        </w:tc>
        <w:tc>
          <w:tcPr>
            <w:tcW w:w="50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调查准确率=（调查结果正确图斑数/下发图斑总数）×100%</w:t>
            </w:r>
          </w:p>
        </w:tc>
        <w:tc>
          <w:tcPr>
            <w:tcW w:w="1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100%</w:t>
            </w:r>
          </w:p>
        </w:tc>
        <w:tc>
          <w:tcPr>
            <w:tcW w:w="2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5" w:hRule="atLeast"/>
          <w:jc w:val="center"/>
        </w:trPr>
        <w:tc>
          <w:tcPr>
            <w:tcW w:w="1434" w:type="dxa"/>
            <w:vMerge w:val="continue"/>
            <w:shd w:val="clear" w:color="auto" w:fill="auto"/>
            <w:vAlign w:val="center"/>
          </w:tcPr>
          <w:p>
            <w:pPr>
              <w:spacing w:line="584" w:lineRule="exact"/>
              <w:jc w:val="center"/>
              <w:rPr>
                <w:rFonts w:ascii="Times New Roman" w:hAnsi="Times New Roman" w:eastAsia="仿宋_GB2312" w:cs="Times New Roman"/>
                <w:sz w:val="18"/>
                <w:szCs w:val="18"/>
              </w:rPr>
            </w:pPr>
          </w:p>
        </w:tc>
        <w:tc>
          <w:tcPr>
            <w:tcW w:w="15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时效指标</w:t>
            </w:r>
          </w:p>
        </w:tc>
        <w:tc>
          <w:tcPr>
            <w:tcW w:w="20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提前完成天数</w:t>
            </w:r>
          </w:p>
        </w:tc>
        <w:tc>
          <w:tcPr>
            <w:tcW w:w="50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提前完成天数=计划完成时间-实际完成时间。</w:t>
            </w:r>
          </w:p>
        </w:tc>
        <w:tc>
          <w:tcPr>
            <w:tcW w:w="1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rPr>
              <w:t>≥</w:t>
            </w:r>
            <w:r>
              <w:rPr>
                <w:rFonts w:hint="eastAsia" w:ascii="Times New Roman" w:hAnsi="Times New Roman" w:eastAsia="仿宋_GB2312" w:cs="Times New Roman"/>
                <w:sz w:val="18"/>
                <w:szCs w:val="18"/>
                <w:lang w:val="en-US" w:eastAsia="zh-CN"/>
              </w:rPr>
              <w:t>10天</w:t>
            </w:r>
          </w:p>
        </w:tc>
        <w:tc>
          <w:tcPr>
            <w:tcW w:w="2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shd w:val="clear" w:color="auto" w:fill="auto"/>
            <w:vAlign w:val="center"/>
          </w:tcPr>
          <w:p>
            <w:pPr>
              <w:spacing w:line="584" w:lineRule="exact"/>
              <w:jc w:val="center"/>
              <w:rPr>
                <w:rFonts w:ascii="Times New Roman" w:hAnsi="Times New Roman" w:eastAsia="仿宋_GB2312" w:cs="Times New Roman"/>
                <w:sz w:val="18"/>
                <w:szCs w:val="18"/>
              </w:rPr>
            </w:pPr>
          </w:p>
        </w:tc>
        <w:tc>
          <w:tcPr>
            <w:tcW w:w="15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成本指标</w:t>
            </w:r>
          </w:p>
        </w:tc>
        <w:tc>
          <w:tcPr>
            <w:tcW w:w="20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成本控制数</w:t>
            </w:r>
          </w:p>
        </w:tc>
        <w:tc>
          <w:tcPr>
            <w:tcW w:w="50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成本控制数=计划成本-实际成本</w:t>
            </w:r>
          </w:p>
        </w:tc>
        <w:tc>
          <w:tcPr>
            <w:tcW w:w="1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rPr>
              <w:t>≥</w:t>
            </w:r>
            <w:r>
              <w:rPr>
                <w:rFonts w:hint="eastAsia" w:ascii="Times New Roman" w:hAnsi="Times New Roman" w:eastAsia="仿宋_GB2312" w:cs="Times New Roman"/>
                <w:sz w:val="18"/>
                <w:szCs w:val="18"/>
                <w:lang w:val="en-US" w:eastAsia="zh-CN"/>
              </w:rPr>
              <w:t>0.75万元</w:t>
            </w:r>
          </w:p>
        </w:tc>
        <w:tc>
          <w:tcPr>
            <w:tcW w:w="2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0" w:hRule="atLeast"/>
          <w:jc w:val="center"/>
        </w:trPr>
        <w:tc>
          <w:tcPr>
            <w:tcW w:w="1434" w:type="dxa"/>
            <w:vMerge w:val="restart"/>
            <w:shd w:val="clear" w:color="auto" w:fill="auto"/>
            <w:vAlign w:val="center"/>
          </w:tcPr>
          <w:p>
            <w:pPr>
              <w:spacing w:line="584"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效果指标</w:t>
            </w:r>
          </w:p>
        </w:tc>
        <w:tc>
          <w:tcPr>
            <w:tcW w:w="15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社会效益指标</w:t>
            </w:r>
          </w:p>
        </w:tc>
        <w:tc>
          <w:tcPr>
            <w:tcW w:w="20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促进社会经济发展</w:t>
            </w:r>
          </w:p>
        </w:tc>
        <w:tc>
          <w:tcPr>
            <w:tcW w:w="50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提高林业资源资产安全性、完整性、有效性。</w:t>
            </w:r>
          </w:p>
        </w:tc>
        <w:tc>
          <w:tcPr>
            <w:tcW w:w="1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eastAsia="zh-CN"/>
              </w:rPr>
              <w:t>根据项目实际情况确定</w:t>
            </w:r>
          </w:p>
        </w:tc>
        <w:tc>
          <w:tcPr>
            <w:tcW w:w="2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shd w:val="clear" w:color="auto" w:fill="auto"/>
            <w:vAlign w:val="center"/>
          </w:tcPr>
          <w:p>
            <w:pPr>
              <w:spacing w:line="584" w:lineRule="exact"/>
              <w:jc w:val="center"/>
              <w:rPr>
                <w:rFonts w:ascii="Times New Roman" w:hAnsi="Times New Roman" w:eastAsia="仿宋_GB2312" w:cs="Times New Roman"/>
                <w:sz w:val="18"/>
                <w:szCs w:val="18"/>
              </w:rPr>
            </w:pPr>
          </w:p>
        </w:tc>
        <w:tc>
          <w:tcPr>
            <w:tcW w:w="15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经济效益指标</w:t>
            </w:r>
          </w:p>
        </w:tc>
        <w:tc>
          <w:tcPr>
            <w:tcW w:w="20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促进社会经济发展</w:t>
            </w:r>
          </w:p>
        </w:tc>
        <w:tc>
          <w:tcPr>
            <w:tcW w:w="50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掌握森林、草原、湿地资源现状和变化情况，有利于林业及其他行业的经营发展。</w:t>
            </w:r>
          </w:p>
        </w:tc>
        <w:tc>
          <w:tcPr>
            <w:tcW w:w="1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eastAsia="zh-CN"/>
              </w:rPr>
              <w:t>根据项目实际情况确定</w:t>
            </w:r>
          </w:p>
        </w:tc>
        <w:tc>
          <w:tcPr>
            <w:tcW w:w="2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shd w:val="clear" w:color="auto" w:fill="auto"/>
            <w:vAlign w:val="center"/>
          </w:tcPr>
          <w:p>
            <w:pPr>
              <w:spacing w:line="584" w:lineRule="exact"/>
              <w:jc w:val="center"/>
              <w:rPr>
                <w:rFonts w:ascii="Times New Roman" w:hAnsi="Times New Roman" w:eastAsia="仿宋_GB2312" w:cs="Times New Roman"/>
                <w:sz w:val="18"/>
                <w:szCs w:val="18"/>
              </w:rPr>
            </w:pPr>
          </w:p>
        </w:tc>
        <w:tc>
          <w:tcPr>
            <w:tcW w:w="15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生态效益指标</w:t>
            </w:r>
          </w:p>
        </w:tc>
        <w:tc>
          <w:tcPr>
            <w:tcW w:w="20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促进环境保护</w:t>
            </w:r>
          </w:p>
        </w:tc>
        <w:tc>
          <w:tcPr>
            <w:tcW w:w="50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森林、草原、湿地对当地环境影响很大。保护现有林地资源，是当地生态建设的重要工作。</w:t>
            </w:r>
          </w:p>
        </w:tc>
        <w:tc>
          <w:tcPr>
            <w:tcW w:w="1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eastAsia="zh-CN"/>
              </w:rPr>
              <w:t>根据项目实际情况确定</w:t>
            </w:r>
          </w:p>
        </w:tc>
        <w:tc>
          <w:tcPr>
            <w:tcW w:w="2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shd w:val="clear" w:color="auto" w:fill="auto"/>
            <w:vAlign w:val="center"/>
          </w:tcPr>
          <w:p>
            <w:pPr>
              <w:spacing w:line="584" w:lineRule="exact"/>
              <w:jc w:val="center"/>
              <w:rPr>
                <w:rFonts w:ascii="Times New Roman" w:hAnsi="Times New Roman" w:eastAsia="仿宋_GB2312" w:cs="Times New Roman"/>
                <w:sz w:val="18"/>
                <w:szCs w:val="18"/>
              </w:rPr>
            </w:pPr>
          </w:p>
        </w:tc>
        <w:tc>
          <w:tcPr>
            <w:tcW w:w="15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可持续影响指标</w:t>
            </w:r>
          </w:p>
        </w:tc>
        <w:tc>
          <w:tcPr>
            <w:tcW w:w="20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增强林地动态监管水平</w:t>
            </w:r>
          </w:p>
        </w:tc>
        <w:tc>
          <w:tcPr>
            <w:tcW w:w="50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对森林、草原、湿地生态系统保护修复、监督管理、林长制考核、实施碳达峰中和战略、实现林业草原国家公园“三位一体”高质量融合发展</w:t>
            </w:r>
          </w:p>
        </w:tc>
        <w:tc>
          <w:tcPr>
            <w:tcW w:w="1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100%</w:t>
            </w:r>
          </w:p>
        </w:tc>
        <w:tc>
          <w:tcPr>
            <w:tcW w:w="2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shd w:val="clear" w:color="auto" w:fill="auto"/>
            <w:vAlign w:val="center"/>
          </w:tcPr>
          <w:p>
            <w:pPr>
              <w:spacing w:line="584"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满意度指标</w:t>
            </w:r>
          </w:p>
        </w:tc>
        <w:tc>
          <w:tcPr>
            <w:tcW w:w="15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服务对象满意度指标</w:t>
            </w:r>
          </w:p>
        </w:tc>
        <w:tc>
          <w:tcPr>
            <w:tcW w:w="20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群众满意度</w:t>
            </w:r>
          </w:p>
        </w:tc>
        <w:tc>
          <w:tcPr>
            <w:tcW w:w="507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群众对林草湿监测的满意率</w:t>
            </w:r>
          </w:p>
        </w:tc>
        <w:tc>
          <w:tcPr>
            <w:tcW w:w="1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90%</w:t>
            </w:r>
          </w:p>
        </w:tc>
        <w:tc>
          <w:tcPr>
            <w:tcW w:w="2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根据项目实际情况确定</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2023年省级林业改革发展补助资金（森林植被恢复费）-上级</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0"/>
        <w:gridCol w:w="2332"/>
        <w:gridCol w:w="1963"/>
        <w:gridCol w:w="3599"/>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892"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sz w:val="21"/>
                <w:szCs w:val="21"/>
              </w:rPr>
              <w:t>森林植被恢复费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3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6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9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332" w:type="dxa"/>
            <w:shd w:val="clear" w:color="auto" w:fill="auto"/>
            <w:vAlign w:val="center"/>
          </w:tcPr>
          <w:p>
            <w:pPr>
              <w:spacing w:line="584"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196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奖补面积</w:t>
            </w:r>
          </w:p>
        </w:tc>
        <w:tc>
          <w:tcPr>
            <w:tcW w:w="3599"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考察对2023年造林进行补助的面积数</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100亩</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sz w:val="18"/>
                <w:szCs w:val="18"/>
                <w:lang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3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196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足额发放率</w:t>
            </w:r>
          </w:p>
        </w:tc>
        <w:tc>
          <w:tcPr>
            <w:tcW w:w="3599"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按奖补标准足额发放</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sz w:val="18"/>
                <w:szCs w:val="18"/>
                <w:lang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3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196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完成及时性</w:t>
            </w:r>
          </w:p>
        </w:tc>
        <w:tc>
          <w:tcPr>
            <w:tcW w:w="3599"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按照计划完成资金拨付</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12月底前完成</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sz w:val="18"/>
                <w:szCs w:val="18"/>
                <w:lang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3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196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成本控制</w:t>
            </w:r>
          </w:p>
        </w:tc>
        <w:tc>
          <w:tcPr>
            <w:tcW w:w="3599"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成本控制在预算额度范围内</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30万元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sz w:val="18"/>
                <w:szCs w:val="18"/>
                <w:lang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33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196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提高林农积极性</w:t>
            </w:r>
          </w:p>
        </w:tc>
        <w:tc>
          <w:tcPr>
            <w:tcW w:w="3599" w:type="dxa"/>
            <w:shd w:val="clear" w:color="auto" w:fill="auto"/>
            <w:vAlign w:val="center"/>
          </w:tcPr>
          <w:p>
            <w:pPr>
              <w:tabs>
                <w:tab w:val="left" w:pos="1086"/>
              </w:tabs>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考察是否提高了林农积极性</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提高</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sz w:val="18"/>
                <w:szCs w:val="18"/>
                <w:lang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3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生态效益指标</w:t>
            </w:r>
          </w:p>
        </w:tc>
        <w:tc>
          <w:tcPr>
            <w:tcW w:w="196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面积完成率</w:t>
            </w:r>
          </w:p>
        </w:tc>
        <w:tc>
          <w:tcPr>
            <w:tcW w:w="3599"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异地造林、恢复森林植被面积完成率</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sz w:val="18"/>
                <w:szCs w:val="18"/>
                <w:lang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33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可持续影响指标</w:t>
            </w:r>
          </w:p>
        </w:tc>
        <w:tc>
          <w:tcPr>
            <w:tcW w:w="196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生态可持续影响</w:t>
            </w:r>
          </w:p>
        </w:tc>
        <w:tc>
          <w:tcPr>
            <w:tcW w:w="3599"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生态效益发挥</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明显</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sz w:val="18"/>
                <w:szCs w:val="18"/>
                <w:lang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7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332"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196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林农满意度</w:t>
            </w:r>
          </w:p>
        </w:tc>
        <w:tc>
          <w:tcPr>
            <w:tcW w:w="3599"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考察林农的满意程度</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80%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sz w:val="18"/>
                <w:szCs w:val="18"/>
                <w:lang w:eastAsia="zh-CN"/>
              </w:rPr>
              <w:t>根据项目实际情况确定</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2023年省级林业改革发展补助资金（省级森林乡村奖补）-上级</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9"/>
        <w:tblW w:w="142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3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829"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sz w:val="21"/>
                <w:szCs w:val="21"/>
              </w:rPr>
              <w:t>省级森林乡村奖补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33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198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村庄林木绿化率</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考察2023年村庄林木绿化率</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30%</w:t>
            </w:r>
          </w:p>
        </w:tc>
        <w:tc>
          <w:tcPr>
            <w:tcW w:w="233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198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足额发放率</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按奖补标准足额发放</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33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198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完成及时性</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按照计划完成资金拨付</w:t>
            </w:r>
          </w:p>
        </w:tc>
        <w:tc>
          <w:tcPr>
            <w:tcW w:w="1843" w:type="dxa"/>
            <w:shd w:val="clear" w:color="auto" w:fill="auto"/>
            <w:vAlign w:val="center"/>
          </w:tcPr>
          <w:p>
            <w:pPr>
              <w:spacing w:line="584"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5月底前完成</w:t>
            </w:r>
          </w:p>
        </w:tc>
        <w:tc>
          <w:tcPr>
            <w:tcW w:w="233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198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成本控制</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成本控制在预算额度范围内</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20万元</w:t>
            </w:r>
          </w:p>
        </w:tc>
        <w:tc>
          <w:tcPr>
            <w:tcW w:w="233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198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提高群众积极性</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考察是否提高李群众积极性</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提高</w:t>
            </w:r>
          </w:p>
        </w:tc>
        <w:tc>
          <w:tcPr>
            <w:tcW w:w="233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生态效益指标</w:t>
            </w:r>
          </w:p>
        </w:tc>
        <w:tc>
          <w:tcPr>
            <w:tcW w:w="198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人居生态环境</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人居生态环境整治效果</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明显</w:t>
            </w:r>
          </w:p>
        </w:tc>
        <w:tc>
          <w:tcPr>
            <w:tcW w:w="233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可持续影响指标</w:t>
            </w:r>
          </w:p>
        </w:tc>
        <w:tc>
          <w:tcPr>
            <w:tcW w:w="198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生态可持续影响</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生态效益发挥</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明显</w:t>
            </w:r>
          </w:p>
        </w:tc>
        <w:tc>
          <w:tcPr>
            <w:tcW w:w="233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198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群众满意度</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考察群众的满意程度</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80%</w:t>
            </w:r>
          </w:p>
        </w:tc>
        <w:tc>
          <w:tcPr>
            <w:tcW w:w="2331"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根据项目实际情况确定</w:t>
            </w:r>
          </w:p>
        </w:tc>
      </w:tr>
    </w:tbl>
    <w:p>
      <w:pPr>
        <w:spacing w:line="584" w:lineRule="exact"/>
        <w:ind w:firstLine="420" w:firstLineChars="200"/>
        <w:jc w:val="center"/>
        <w:rPr>
          <w:rFonts w:ascii="Times New Roman" w:hAnsi="Times New Roman" w:eastAsia="仿宋_GB2312" w:cs="Times New Roman"/>
        </w:rPr>
      </w:pPr>
    </w:p>
    <w:p>
      <w:pPr>
        <w:numPr>
          <w:ilvl w:val="0"/>
          <w:numId w:val="2"/>
        </w:num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林业有害生物防治资金-上级</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p>
      <w:pPr>
        <w:numPr>
          <w:ilvl w:val="0"/>
          <w:numId w:val="0"/>
        </w:numPr>
        <w:spacing w:line="584" w:lineRule="exact"/>
        <w:jc w:val="left"/>
        <w:outlineLvl w:val="1"/>
        <w:rPr>
          <w:rFonts w:ascii="Times New Roman" w:hAnsi="Times New Roman" w:eastAsia="仿宋_GB2312" w:cs="Times New Roman"/>
          <w:sz w:val="28"/>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6"/>
        <w:gridCol w:w="1841"/>
        <w:gridCol w:w="1705"/>
        <w:gridCol w:w="4732"/>
        <w:gridCol w:w="2209"/>
        <w:gridCol w:w="17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06"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Times New Roman" w:hAnsi="Times New Roman" w:eastAsia="仿宋_GB2312" w:cs="Times New Roman"/>
                <w:b w:val="0"/>
                <w:bCs/>
                <w:lang w:eastAsia="zh-CN"/>
              </w:rPr>
              <w:t>用于林业有害生物防治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4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7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2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71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6" w:type="dxa"/>
            <w:vMerge w:val="restart"/>
            <w:shd w:val="clear" w:color="auto" w:fill="auto"/>
            <w:vAlign w:val="center"/>
          </w:tcPr>
          <w:p>
            <w:pPr>
              <w:spacing w:line="584"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产出指标</w:t>
            </w:r>
          </w:p>
        </w:tc>
        <w:tc>
          <w:tcPr>
            <w:tcW w:w="1841"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数量指标</w:t>
            </w:r>
          </w:p>
        </w:tc>
        <w:tc>
          <w:tcPr>
            <w:tcW w:w="1705"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实际完成率</w:t>
            </w:r>
          </w:p>
        </w:tc>
        <w:tc>
          <w:tcPr>
            <w:tcW w:w="4732"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根据林业有害生物2023年实际发生面积确定</w:t>
            </w:r>
          </w:p>
        </w:tc>
        <w:tc>
          <w:tcPr>
            <w:tcW w:w="2209" w:type="dxa"/>
            <w:shd w:val="clear" w:color="auto" w:fill="auto"/>
            <w:vAlign w:val="center"/>
          </w:tcPr>
          <w:p>
            <w:pPr>
              <w:spacing w:line="584" w:lineRule="exact"/>
              <w:jc w:val="left"/>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eastAsia="zh-CN"/>
              </w:rPr>
              <w:t>计划防治作业</w:t>
            </w:r>
            <w:r>
              <w:rPr>
                <w:rFonts w:hint="eastAsia" w:ascii="Times New Roman" w:hAnsi="Times New Roman" w:eastAsia="仿宋_GB2312" w:cs="Times New Roman"/>
                <w:sz w:val="18"/>
                <w:szCs w:val="18"/>
                <w:lang w:val="en-US" w:eastAsia="zh-CN"/>
              </w:rPr>
              <w:t>8.3万亩</w:t>
            </w:r>
          </w:p>
        </w:tc>
        <w:tc>
          <w:tcPr>
            <w:tcW w:w="1719"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实际勘查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6" w:type="dxa"/>
            <w:vMerge w:val="continue"/>
            <w:shd w:val="clear" w:color="auto" w:fill="auto"/>
            <w:vAlign w:val="center"/>
          </w:tcPr>
          <w:p>
            <w:pPr>
              <w:spacing w:line="584" w:lineRule="exact"/>
              <w:jc w:val="center"/>
              <w:rPr>
                <w:rFonts w:ascii="Times New Roman" w:hAnsi="Times New Roman" w:eastAsia="仿宋_GB2312" w:cs="Times New Roman"/>
                <w:sz w:val="18"/>
                <w:szCs w:val="18"/>
              </w:rPr>
            </w:pPr>
          </w:p>
        </w:tc>
        <w:tc>
          <w:tcPr>
            <w:tcW w:w="1841"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质量指标</w:t>
            </w:r>
          </w:p>
        </w:tc>
        <w:tc>
          <w:tcPr>
            <w:tcW w:w="1705"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防治效果</w:t>
            </w:r>
          </w:p>
        </w:tc>
        <w:tc>
          <w:tcPr>
            <w:tcW w:w="4732"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有害生物成灾率控制在0.4%以下</w:t>
            </w:r>
          </w:p>
        </w:tc>
        <w:tc>
          <w:tcPr>
            <w:tcW w:w="2209" w:type="dxa"/>
            <w:shd w:val="clear" w:color="auto" w:fill="auto"/>
            <w:vAlign w:val="center"/>
          </w:tcPr>
          <w:p>
            <w:pPr>
              <w:spacing w:line="584" w:lineRule="exact"/>
              <w:jc w:val="left"/>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rPr>
              <w:t>≤</w:t>
            </w:r>
            <w:r>
              <w:rPr>
                <w:rFonts w:hint="eastAsia" w:ascii="Times New Roman" w:hAnsi="Times New Roman" w:eastAsia="仿宋_GB2312" w:cs="Times New Roman"/>
                <w:sz w:val="18"/>
                <w:szCs w:val="18"/>
                <w:lang w:val="en-US" w:eastAsia="zh-CN"/>
              </w:rPr>
              <w:t>4%</w:t>
            </w:r>
          </w:p>
        </w:tc>
        <w:tc>
          <w:tcPr>
            <w:tcW w:w="1719"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6" w:type="dxa"/>
            <w:vMerge w:val="continue"/>
            <w:shd w:val="clear" w:color="auto" w:fill="auto"/>
            <w:vAlign w:val="center"/>
          </w:tcPr>
          <w:p>
            <w:pPr>
              <w:spacing w:line="584" w:lineRule="exact"/>
              <w:jc w:val="center"/>
              <w:rPr>
                <w:rFonts w:ascii="Times New Roman" w:hAnsi="Times New Roman" w:eastAsia="仿宋_GB2312" w:cs="Times New Roman"/>
                <w:sz w:val="18"/>
                <w:szCs w:val="18"/>
              </w:rPr>
            </w:pPr>
          </w:p>
        </w:tc>
        <w:tc>
          <w:tcPr>
            <w:tcW w:w="1841"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时效指标</w:t>
            </w:r>
          </w:p>
        </w:tc>
        <w:tc>
          <w:tcPr>
            <w:tcW w:w="1705"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完成及时率</w:t>
            </w:r>
          </w:p>
        </w:tc>
        <w:tc>
          <w:tcPr>
            <w:tcW w:w="47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林业有害生物防治时期根据不同有害生物发生的时期而防治，防治时期从4月份开始至10月份结束。</w:t>
            </w:r>
          </w:p>
        </w:tc>
        <w:tc>
          <w:tcPr>
            <w:tcW w:w="2209" w:type="dxa"/>
            <w:shd w:val="clear" w:color="auto" w:fill="auto"/>
            <w:vAlign w:val="center"/>
          </w:tcPr>
          <w:p>
            <w:pPr>
              <w:spacing w:line="584" w:lineRule="exact"/>
              <w:jc w:val="left"/>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6月</w:t>
            </w:r>
          </w:p>
        </w:tc>
        <w:tc>
          <w:tcPr>
            <w:tcW w:w="1719"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6" w:type="dxa"/>
            <w:vMerge w:val="continue"/>
            <w:shd w:val="clear" w:color="auto" w:fill="auto"/>
            <w:vAlign w:val="center"/>
          </w:tcPr>
          <w:p>
            <w:pPr>
              <w:spacing w:line="584" w:lineRule="exact"/>
              <w:jc w:val="center"/>
              <w:rPr>
                <w:rFonts w:ascii="Times New Roman" w:hAnsi="Times New Roman" w:eastAsia="仿宋_GB2312" w:cs="Times New Roman"/>
                <w:sz w:val="18"/>
                <w:szCs w:val="18"/>
              </w:rPr>
            </w:pPr>
          </w:p>
        </w:tc>
        <w:tc>
          <w:tcPr>
            <w:tcW w:w="1841"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成本指标</w:t>
            </w:r>
          </w:p>
        </w:tc>
        <w:tc>
          <w:tcPr>
            <w:tcW w:w="1705"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预算投资</w:t>
            </w:r>
          </w:p>
        </w:tc>
        <w:tc>
          <w:tcPr>
            <w:tcW w:w="4732"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不超过2023年预算</w:t>
            </w:r>
            <w:r>
              <w:rPr>
                <w:rFonts w:hint="eastAsia" w:ascii="Times New Roman" w:hAnsi="Times New Roman" w:eastAsia="仿宋_GB2312" w:cs="Times New Roman"/>
                <w:sz w:val="18"/>
                <w:szCs w:val="18"/>
                <w:lang w:val="en-US" w:eastAsia="zh-CN"/>
              </w:rPr>
              <w:t>10</w:t>
            </w:r>
            <w:r>
              <w:rPr>
                <w:rFonts w:hint="eastAsia" w:ascii="Times New Roman" w:hAnsi="Times New Roman" w:eastAsia="仿宋_GB2312" w:cs="Times New Roman"/>
                <w:sz w:val="18"/>
                <w:szCs w:val="18"/>
              </w:rPr>
              <w:t>万元</w:t>
            </w:r>
          </w:p>
        </w:tc>
        <w:tc>
          <w:tcPr>
            <w:tcW w:w="2209" w:type="dxa"/>
            <w:shd w:val="clear" w:color="auto" w:fill="auto"/>
            <w:vAlign w:val="center"/>
          </w:tcPr>
          <w:p>
            <w:pPr>
              <w:spacing w:line="584" w:lineRule="exact"/>
              <w:jc w:val="left"/>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10万元</w:t>
            </w:r>
          </w:p>
        </w:tc>
        <w:tc>
          <w:tcPr>
            <w:tcW w:w="1719"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6" w:type="dxa"/>
            <w:vMerge w:val="restart"/>
            <w:shd w:val="clear" w:color="auto" w:fill="auto"/>
            <w:vAlign w:val="center"/>
          </w:tcPr>
          <w:p>
            <w:pPr>
              <w:spacing w:line="584"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效果指标</w:t>
            </w:r>
          </w:p>
        </w:tc>
        <w:tc>
          <w:tcPr>
            <w:tcW w:w="1841"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社会效益指标</w:t>
            </w:r>
          </w:p>
        </w:tc>
        <w:tc>
          <w:tcPr>
            <w:tcW w:w="1705"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增加就业</w:t>
            </w:r>
          </w:p>
        </w:tc>
        <w:tc>
          <w:tcPr>
            <w:tcW w:w="4732"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可带动防治专业化组织和个人，提高就业</w:t>
            </w:r>
          </w:p>
        </w:tc>
        <w:tc>
          <w:tcPr>
            <w:tcW w:w="2209"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效果显著</w:t>
            </w:r>
          </w:p>
        </w:tc>
        <w:tc>
          <w:tcPr>
            <w:tcW w:w="1719"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6" w:type="dxa"/>
            <w:vMerge w:val="continue"/>
            <w:shd w:val="clear" w:color="auto" w:fill="auto"/>
            <w:vAlign w:val="center"/>
          </w:tcPr>
          <w:p>
            <w:pPr>
              <w:spacing w:line="584" w:lineRule="exact"/>
              <w:jc w:val="center"/>
              <w:rPr>
                <w:rFonts w:ascii="Times New Roman" w:hAnsi="Times New Roman" w:eastAsia="仿宋_GB2312" w:cs="Times New Roman"/>
                <w:sz w:val="18"/>
                <w:szCs w:val="18"/>
              </w:rPr>
            </w:pPr>
          </w:p>
        </w:tc>
        <w:tc>
          <w:tcPr>
            <w:tcW w:w="1841"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经济效益指标</w:t>
            </w:r>
          </w:p>
        </w:tc>
        <w:tc>
          <w:tcPr>
            <w:tcW w:w="1705"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增加经济收益</w:t>
            </w:r>
          </w:p>
        </w:tc>
        <w:tc>
          <w:tcPr>
            <w:tcW w:w="4732"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通过防治，使树木长势优良，提高树木价格。</w:t>
            </w:r>
          </w:p>
        </w:tc>
        <w:tc>
          <w:tcPr>
            <w:tcW w:w="2209"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效果显著</w:t>
            </w:r>
          </w:p>
        </w:tc>
        <w:tc>
          <w:tcPr>
            <w:tcW w:w="1719"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6" w:type="dxa"/>
            <w:vMerge w:val="continue"/>
            <w:shd w:val="clear" w:color="auto" w:fill="auto"/>
            <w:vAlign w:val="center"/>
          </w:tcPr>
          <w:p>
            <w:pPr>
              <w:spacing w:line="584" w:lineRule="exact"/>
              <w:jc w:val="center"/>
              <w:rPr>
                <w:rFonts w:ascii="Times New Roman" w:hAnsi="Times New Roman" w:eastAsia="仿宋_GB2312" w:cs="Times New Roman"/>
                <w:sz w:val="18"/>
                <w:szCs w:val="18"/>
              </w:rPr>
            </w:pPr>
          </w:p>
        </w:tc>
        <w:tc>
          <w:tcPr>
            <w:tcW w:w="1841"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生态效益指标</w:t>
            </w:r>
          </w:p>
        </w:tc>
        <w:tc>
          <w:tcPr>
            <w:tcW w:w="1705"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改善生态环境</w:t>
            </w:r>
          </w:p>
        </w:tc>
        <w:tc>
          <w:tcPr>
            <w:tcW w:w="4732"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促进生态和谐发展</w:t>
            </w:r>
          </w:p>
        </w:tc>
        <w:tc>
          <w:tcPr>
            <w:tcW w:w="2209"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效果显著</w:t>
            </w:r>
          </w:p>
        </w:tc>
        <w:tc>
          <w:tcPr>
            <w:tcW w:w="1719"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6" w:type="dxa"/>
            <w:vMerge w:val="continue"/>
            <w:shd w:val="clear" w:color="auto" w:fill="auto"/>
            <w:vAlign w:val="center"/>
          </w:tcPr>
          <w:p>
            <w:pPr>
              <w:spacing w:line="584" w:lineRule="exact"/>
              <w:jc w:val="center"/>
              <w:rPr>
                <w:rFonts w:ascii="Times New Roman" w:hAnsi="Times New Roman" w:eastAsia="仿宋_GB2312" w:cs="Times New Roman"/>
                <w:sz w:val="18"/>
                <w:szCs w:val="18"/>
              </w:rPr>
            </w:pPr>
          </w:p>
        </w:tc>
        <w:tc>
          <w:tcPr>
            <w:tcW w:w="1841"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可持续影响指标</w:t>
            </w:r>
          </w:p>
        </w:tc>
        <w:tc>
          <w:tcPr>
            <w:tcW w:w="1705"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可持续影响目标</w:t>
            </w:r>
          </w:p>
        </w:tc>
        <w:tc>
          <w:tcPr>
            <w:tcW w:w="4732"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发挥森林生态功能</w:t>
            </w:r>
          </w:p>
        </w:tc>
        <w:tc>
          <w:tcPr>
            <w:tcW w:w="2209"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效果显著</w:t>
            </w:r>
          </w:p>
        </w:tc>
        <w:tc>
          <w:tcPr>
            <w:tcW w:w="1719"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6" w:type="dxa"/>
            <w:shd w:val="clear" w:color="auto" w:fill="auto"/>
            <w:vAlign w:val="center"/>
          </w:tcPr>
          <w:p>
            <w:pPr>
              <w:spacing w:line="584"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满意度指标</w:t>
            </w:r>
          </w:p>
        </w:tc>
        <w:tc>
          <w:tcPr>
            <w:tcW w:w="1841"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服务对象满意度指标</w:t>
            </w:r>
          </w:p>
        </w:tc>
        <w:tc>
          <w:tcPr>
            <w:tcW w:w="1705"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服务对象满意度</w:t>
            </w:r>
          </w:p>
        </w:tc>
        <w:tc>
          <w:tcPr>
            <w:tcW w:w="4732"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通过对无主树和四旁树的防治，逐步提高了群众满意度</w:t>
            </w:r>
          </w:p>
        </w:tc>
        <w:tc>
          <w:tcPr>
            <w:tcW w:w="2209" w:type="dxa"/>
            <w:shd w:val="clear" w:color="auto" w:fill="auto"/>
            <w:vAlign w:val="center"/>
          </w:tcPr>
          <w:p>
            <w:pPr>
              <w:spacing w:line="584" w:lineRule="exac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lang w:eastAsia="zh-CN"/>
              </w:rPr>
              <w:t>效果显著</w:t>
            </w:r>
          </w:p>
        </w:tc>
        <w:tc>
          <w:tcPr>
            <w:tcW w:w="1719" w:type="dxa"/>
            <w:shd w:val="clear" w:color="auto" w:fill="auto"/>
            <w:vAlign w:val="center"/>
          </w:tcPr>
          <w:p>
            <w:pPr>
              <w:spacing w:line="584" w:lineRule="exact"/>
              <w:jc w:val="left"/>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实际情况</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r>
        <w:rPr>
          <w:rFonts w:hint="eastAsia" w:ascii="Times New Roman" w:hAnsi="Times New Roman" w:eastAsia="仿宋_GB2312" w:cs="Times New Roman"/>
          <w:sz w:val="32"/>
          <w:szCs w:val="24"/>
          <w:lang w:eastAsia="zh-CN"/>
        </w:rPr>
        <w:t>，故以空表列示</w:t>
      </w:r>
      <w:r>
        <w:rPr>
          <w:rFonts w:ascii="Times New Roman" w:hAnsi="Times New Roman" w:eastAsia="仿宋_GB2312" w:cs="Times New Roman"/>
          <w:sz w:val="32"/>
          <w:szCs w:val="24"/>
        </w:rPr>
        <w:t>。</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eastAsia="zh-CN"/>
        </w:rPr>
        <w:t>大城县自然资源和规划局</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政府采购金额（当年部门预算安排资金）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w:t>
            </w:r>
            <w:bookmarkStart w:id="2" w:name="_GoBack"/>
            <w:bookmarkEnd w:id="2"/>
            <w:r>
              <w:t>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大城县自然资源和规划局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657.90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9.95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大城县自然资源和规划局</w:t>
            </w:r>
          </w:p>
        </w:tc>
        <w:tc>
          <w:tcPr>
            <w:tcW w:w="5103" w:type="dxa"/>
            <w:tcBorders>
              <w:top w:val="nil"/>
              <w:left w:val="nil"/>
              <w:bottom w:val="nil"/>
              <w:right w:val="nil"/>
            </w:tcBorders>
            <w:shd w:val="clear" w:color="auto" w:fill="auto"/>
            <w:noWrap/>
            <w:vAlign w:val="center"/>
          </w:tcPr>
          <w:p>
            <w:pPr>
              <w:widowControl/>
              <w:spacing w:line="584" w:lineRule="exact"/>
              <w:ind w:firstLine="1980" w:firstLineChars="9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657.90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7331.97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495.01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7331.97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495.01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7.13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155.76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panose1 w:val="02000000000000000000"/>
    <w:charset w:val="86"/>
    <w:family w:val="roman"/>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EF251"/>
    <w:multiLevelType w:val="singleLevel"/>
    <w:tmpl w:val="A48EF251"/>
    <w:lvl w:ilvl="0" w:tentative="0">
      <w:start w:val="5"/>
      <w:numFmt w:val="decimal"/>
      <w:lvlText w:val="%1."/>
      <w:lvlJc w:val="left"/>
      <w:pPr>
        <w:tabs>
          <w:tab w:val="left" w:pos="312"/>
        </w:tabs>
      </w:pPr>
    </w:lvl>
  </w:abstractNum>
  <w:abstractNum w:abstractNumId="1">
    <w:nsid w:val="A667775D"/>
    <w:multiLevelType w:val="singleLevel"/>
    <w:tmpl w:val="A667775D"/>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YwMDcwZWRjNTgwODVhZTVhMDVmMTIyMDVhMWZiMjk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247556A"/>
    <w:rsid w:val="07660093"/>
    <w:rsid w:val="0A2C39C3"/>
    <w:rsid w:val="0B1A6FCA"/>
    <w:rsid w:val="13E306DA"/>
    <w:rsid w:val="145C7344"/>
    <w:rsid w:val="15453B8B"/>
    <w:rsid w:val="15CA22E2"/>
    <w:rsid w:val="178C3CF3"/>
    <w:rsid w:val="18A80C32"/>
    <w:rsid w:val="1AD67034"/>
    <w:rsid w:val="1C502F39"/>
    <w:rsid w:val="20515ADA"/>
    <w:rsid w:val="21B72D1C"/>
    <w:rsid w:val="26214A83"/>
    <w:rsid w:val="268C6F6D"/>
    <w:rsid w:val="26FF4872"/>
    <w:rsid w:val="28377363"/>
    <w:rsid w:val="2CA62D0A"/>
    <w:rsid w:val="2DAA7369"/>
    <w:rsid w:val="2E9D2BA5"/>
    <w:rsid w:val="2FA91CBA"/>
    <w:rsid w:val="30872E52"/>
    <w:rsid w:val="32B11FB2"/>
    <w:rsid w:val="367070C2"/>
    <w:rsid w:val="36C95F72"/>
    <w:rsid w:val="373659D4"/>
    <w:rsid w:val="3E0A5E11"/>
    <w:rsid w:val="3E8B454E"/>
    <w:rsid w:val="3F281CA4"/>
    <w:rsid w:val="3F655022"/>
    <w:rsid w:val="3F9C76FA"/>
    <w:rsid w:val="42DE4EC8"/>
    <w:rsid w:val="42F93762"/>
    <w:rsid w:val="449F47B6"/>
    <w:rsid w:val="451A36CC"/>
    <w:rsid w:val="48427933"/>
    <w:rsid w:val="490C0347"/>
    <w:rsid w:val="4D9F6990"/>
    <w:rsid w:val="4E766497"/>
    <w:rsid w:val="5080549C"/>
    <w:rsid w:val="55DD6EED"/>
    <w:rsid w:val="57E040E2"/>
    <w:rsid w:val="59202066"/>
    <w:rsid w:val="5E0F4187"/>
    <w:rsid w:val="5E3E0DA2"/>
    <w:rsid w:val="66C51CB7"/>
    <w:rsid w:val="687D1153"/>
    <w:rsid w:val="69194288"/>
    <w:rsid w:val="6B1D22BB"/>
    <w:rsid w:val="6BD10E4A"/>
    <w:rsid w:val="6D6F091A"/>
    <w:rsid w:val="6DAA54AF"/>
    <w:rsid w:val="6E5D4C17"/>
    <w:rsid w:val="6F541B76"/>
    <w:rsid w:val="71E7368C"/>
    <w:rsid w:val="78F04A53"/>
    <w:rsid w:val="790C1713"/>
    <w:rsid w:val="7BDC361F"/>
    <w:rsid w:val="7D555CEB"/>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paragraph" w:styleId="8">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4"/>
    <w:qFormat/>
    <w:uiPriority w:val="99"/>
    <w:rPr>
      <w:rFonts w:ascii="Times New Roman" w:hAnsi="Times New Roman" w:eastAsia="宋体" w:cs="Times New Roman"/>
      <w:sz w:val="18"/>
      <w:szCs w:val="18"/>
    </w:rPr>
  </w:style>
  <w:style w:type="character" w:customStyle="1" w:styleId="13">
    <w:name w:val="页脚 Char"/>
    <w:basedOn w:val="10"/>
    <w:link w:val="3"/>
    <w:qFormat/>
    <w:uiPriority w:val="99"/>
    <w:rPr>
      <w:rFonts w:ascii="Times New Roman" w:hAnsi="Times New Roman" w:eastAsia="宋体" w:cs="Times New Roman"/>
      <w:sz w:val="18"/>
      <w:szCs w:val="18"/>
    </w:rPr>
  </w:style>
  <w:style w:type="character" w:customStyle="1" w:styleId="14">
    <w:name w:val="批注框文本 Char"/>
    <w:basedOn w:val="10"/>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6"/>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插入文本样式-插入职责分类绩效目标文件"/>
    <w:basedOn w:val="1"/>
    <w:qFormat/>
    <w:uiPriority w:val="99"/>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5">
    <w:name w:val="插入文本样式-插入实现年度发展规划目标的保障措施文件"/>
    <w:basedOn w:val="1"/>
    <w:qFormat/>
    <w:uiPriority w:val="99"/>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10169</Words>
  <Characters>10536</Characters>
  <Lines>35</Lines>
  <Paragraphs>10</Paragraphs>
  <TotalTime>3</TotalTime>
  <ScaleCrop>false</ScaleCrop>
  <LinksUpToDate>false</LinksUpToDate>
  <CharactersWithSpaces>10691</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2023-03-31T00:31:00Z</cp:lastPrinted>
  <dcterms:modified xsi:type="dcterms:W3CDTF">2023-12-28T01:36:43Z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E0DCD2FAFD4C4EC78104898D7A030BBD</vt:lpwstr>
  </property>
</Properties>
</file>