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大城县权村镇人民政府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大城县权村镇人民政府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权村</w:t>
      </w:r>
      <w:r>
        <w:rPr>
          <w:rFonts w:hint="eastAsia" w:ascii="仿宋_GB2312" w:hAnsi="仿宋_GB2312" w:eastAsia="仿宋_GB2312" w:cs="仿宋_GB2312"/>
          <w:sz w:val="32"/>
          <w:szCs w:val="32"/>
        </w:rPr>
        <w:t>镇党委、人大、政府主要职责：</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（二）讨论和决定镇经济建设、政治建设、文化建设、社会建设、生态文明建设和党的建设以及乡村振兴中的重大问题。</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（三）组织召开本级人民代表大会，充分行使重大事项决定权、监督权和任免权，做好人大代表工作，联系选民、反映群众意见和要求。</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（七）按照干部管理权限，负责对干部的教育、培训、选拔、考核和监督工作；协助管理上级有关部门驻镇单位的干部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做好人才服务工作。</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widowControl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w:t>
      </w:r>
      <w:r>
        <w:rPr>
          <w:rFonts w:hint="eastAsia" w:ascii="仿宋_GB2312" w:hAnsi="仿宋_GB2312" w:eastAsia="仿宋_GB2312" w:cs="仿宋_GB2312"/>
          <w:sz w:val="32"/>
          <w:szCs w:val="32"/>
          <w:lang w:val="en-US" w:eastAsia="zh-CN"/>
        </w:rPr>
        <w:t>婚姻</w:t>
      </w:r>
      <w:r>
        <w:rPr>
          <w:rFonts w:hint="eastAsia" w:ascii="仿宋_GB2312" w:hAnsi="仿宋_GB2312" w:eastAsia="仿宋_GB2312" w:cs="仿宋_GB2312"/>
          <w:sz w:val="32"/>
          <w:szCs w:val="32"/>
        </w:rPr>
        <w:t>自由等各项权利。</w:t>
      </w:r>
    </w:p>
    <w:p>
      <w:pPr>
        <w:widowControl w:val="0"/>
        <w:adjustRightInd/>
        <w:snapToGrid/>
        <w:spacing w:line="560" w:lineRule="exact"/>
        <w:ind w:left="0" w:leftChars="0" w:right="0" w:firstLine="640" w:firstLineChars="200"/>
        <w:jc w:val="both"/>
        <w:textAlignment w:val="auto"/>
        <w:outlineLvl w:val="9"/>
        <w:rPr>
          <w:rFonts w:ascii="Times New Roman" w:hAnsi="Times New Roman" w:eastAsia="楷体_GB2312" w:cs="Times New Roman"/>
          <w:b/>
          <w:sz w:val="32"/>
          <w:szCs w:val="32"/>
        </w:rPr>
      </w:pPr>
      <w:r>
        <w:rPr>
          <w:rFonts w:hint="eastAsia" w:ascii="仿宋_GB2312" w:hAnsi="仿宋_GB2312" w:eastAsia="仿宋_GB2312" w:cs="仿宋_GB2312"/>
          <w:sz w:val="32"/>
          <w:szCs w:val="32"/>
        </w:rPr>
        <w:t>（十）承办上级党委、人大、政府交办的其他事项。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127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035"/>
        <w:gridCol w:w="1785"/>
        <w:gridCol w:w="1830"/>
        <w:gridCol w:w="40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5035" w:type="dxa"/>
            <w:vMerge w:val="restart"/>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单位名称</w:t>
            </w:r>
          </w:p>
        </w:tc>
        <w:tc>
          <w:tcPr>
            <w:tcW w:w="1785" w:type="dxa"/>
            <w:vMerge w:val="restart"/>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单位性质</w:t>
            </w:r>
          </w:p>
        </w:tc>
        <w:tc>
          <w:tcPr>
            <w:tcW w:w="1830" w:type="dxa"/>
            <w:vMerge w:val="restart"/>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单位规格</w:t>
            </w:r>
          </w:p>
        </w:tc>
        <w:tc>
          <w:tcPr>
            <w:tcW w:w="4089" w:type="dxa"/>
            <w:vMerge w:val="restart"/>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5035" w:type="dxa"/>
            <w:vMerge w:val="continue"/>
            <w:vAlign w:val="center"/>
          </w:tcPr>
          <w:p>
            <w:pPr>
              <w:rPr>
                <w:sz w:val="21"/>
                <w:szCs w:val="22"/>
              </w:rPr>
            </w:pPr>
          </w:p>
        </w:tc>
        <w:tc>
          <w:tcPr>
            <w:tcW w:w="1785" w:type="dxa"/>
            <w:vMerge w:val="continue"/>
            <w:vAlign w:val="center"/>
          </w:tcPr>
          <w:p>
            <w:pPr>
              <w:rPr>
                <w:sz w:val="21"/>
                <w:szCs w:val="22"/>
              </w:rPr>
            </w:pPr>
          </w:p>
        </w:tc>
        <w:tc>
          <w:tcPr>
            <w:tcW w:w="1830" w:type="dxa"/>
            <w:vMerge w:val="continue"/>
            <w:vAlign w:val="center"/>
          </w:tcPr>
          <w:p>
            <w:pPr>
              <w:rPr>
                <w:sz w:val="21"/>
                <w:szCs w:val="22"/>
              </w:rPr>
            </w:pPr>
          </w:p>
        </w:tc>
        <w:tc>
          <w:tcPr>
            <w:tcW w:w="4089" w:type="dxa"/>
            <w:vMerge w:val="continue"/>
            <w:vAlign w:val="center"/>
          </w:tcPr>
          <w:p>
            <w:pPr>
              <w:rPr>
                <w:sz w:val="21"/>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035" w:type="dxa"/>
            <w:vAlign w:val="center"/>
          </w:tcPr>
          <w:p>
            <w:pPr>
              <w:spacing w:line="584" w:lineRule="exact"/>
              <w:jc w:val="center"/>
              <w:rPr>
                <w:rFonts w:hint="eastAsia" w:ascii="Times New Roman" w:hAnsi="Times New Roman" w:eastAsia="仿宋_GB2312" w:cs="Times New Roman"/>
                <w:b w:val="0"/>
                <w:bCs w:val="0"/>
                <w:sz w:val="20"/>
                <w:szCs w:val="21"/>
                <w:lang w:eastAsia="zh-CN"/>
              </w:rPr>
            </w:pPr>
            <w:r>
              <w:rPr>
                <w:rFonts w:hint="eastAsia" w:ascii="楷体_GB2312" w:hAnsi="楷体_GB2312" w:eastAsia="楷体_GB2312" w:cs="楷体_GB2312"/>
                <w:b w:val="0"/>
                <w:bCs w:val="0"/>
                <w:sz w:val="28"/>
                <w:szCs w:val="28"/>
                <w:lang w:eastAsia="zh-CN"/>
              </w:rPr>
              <w:t>大城县权村镇人民政府（本级）</w:t>
            </w:r>
          </w:p>
        </w:tc>
        <w:tc>
          <w:tcPr>
            <w:tcW w:w="1785" w:type="dxa"/>
            <w:vAlign w:val="center"/>
          </w:tcPr>
          <w:p>
            <w:pPr>
              <w:spacing w:line="584" w:lineRule="exact"/>
              <w:jc w:val="center"/>
              <w:rPr>
                <w:rFonts w:hint="eastAsia" w:ascii="Times New Roman" w:hAnsi="Times New Roman" w:eastAsia="仿宋_GB2312" w:cs="Times New Roman"/>
                <w:b w:val="0"/>
                <w:bCs/>
                <w:sz w:val="28"/>
                <w:szCs w:val="32"/>
                <w:lang w:eastAsia="zh-CN"/>
              </w:rPr>
            </w:pPr>
            <w:r>
              <w:rPr>
                <w:rFonts w:hint="eastAsia" w:ascii="Times New Roman" w:hAnsi="Times New Roman" w:eastAsia="仿宋_GB2312" w:cs="Times New Roman"/>
                <w:b w:val="0"/>
                <w:bCs/>
                <w:sz w:val="28"/>
                <w:szCs w:val="32"/>
                <w:lang w:eastAsia="zh-CN"/>
              </w:rPr>
              <w:t>行政</w:t>
            </w:r>
          </w:p>
        </w:tc>
        <w:tc>
          <w:tcPr>
            <w:tcW w:w="1830" w:type="dxa"/>
            <w:vAlign w:val="center"/>
          </w:tcPr>
          <w:p>
            <w:pPr>
              <w:spacing w:line="584" w:lineRule="exact"/>
              <w:jc w:val="center"/>
              <w:rPr>
                <w:rFonts w:hint="eastAsia" w:ascii="Times New Roman" w:hAnsi="Times New Roman" w:eastAsia="仿宋_GB2312" w:cs="Times New Roman"/>
                <w:b w:val="0"/>
                <w:bCs/>
                <w:sz w:val="28"/>
                <w:szCs w:val="32"/>
                <w:lang w:eastAsia="zh-CN"/>
              </w:rPr>
            </w:pPr>
            <w:r>
              <w:rPr>
                <w:rFonts w:hint="eastAsia" w:ascii="Times New Roman" w:hAnsi="Times New Roman" w:eastAsia="仿宋_GB2312" w:cs="Times New Roman"/>
                <w:b w:val="0"/>
                <w:bCs/>
                <w:sz w:val="28"/>
                <w:szCs w:val="32"/>
                <w:lang w:eastAsia="zh-CN"/>
              </w:rPr>
              <w:t>正科级</w:t>
            </w:r>
          </w:p>
        </w:tc>
        <w:tc>
          <w:tcPr>
            <w:tcW w:w="4089" w:type="dxa"/>
            <w:vAlign w:val="center"/>
          </w:tcPr>
          <w:p>
            <w:pPr>
              <w:spacing w:line="584" w:lineRule="exact"/>
              <w:jc w:val="center"/>
              <w:rPr>
                <w:rFonts w:ascii="Times New Roman" w:hAnsi="Times New Roman" w:eastAsia="仿宋_GB2312" w:cs="Times New Roman"/>
                <w:b/>
                <w:color w:val="auto"/>
                <w:sz w:val="21"/>
                <w:szCs w:val="22"/>
              </w:rPr>
            </w:pPr>
            <w:r>
              <w:rPr>
                <w:rFonts w:ascii="Times New Roman" w:hAnsi="Times New Roman" w:eastAsia="仿宋" w:cs="Times New Roman"/>
                <w:color w:val="auto"/>
                <w:sz w:val="32"/>
                <w:szCs w:val="32"/>
              </w:rPr>
              <w:t>财政拨款（行政）</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权村镇人民政府</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1110.15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1069.14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40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1.01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我镇</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1110.15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1006.54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885.35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121.19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103.61</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农村环境治理、安监、环保</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1110.15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lang w:eastAsia="zh-CN"/>
        </w:rPr>
        <w:t>少</w:t>
      </w:r>
      <w:r>
        <w:rPr>
          <w:rFonts w:hint="eastAsia" w:ascii="Times New Roman" w:hAnsi="Times New Roman" w:eastAsia="仿宋_GB2312" w:cs="Times New Roman"/>
          <w:sz w:val="32"/>
          <w:szCs w:val="32"/>
          <w:highlight w:val="none"/>
          <w:lang w:val="en-US" w:eastAsia="zh-CN"/>
        </w:rPr>
        <w:t>192.01</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18.49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210.05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三砖厂大坑治理、信访维稳</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121.19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0.8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0.8</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2021年相比持平</w:t>
      </w:r>
      <w:r>
        <w:rPr>
          <w:rFonts w:ascii="Times New Roman" w:hAnsi="Times New Roman" w:eastAsia="仿宋_GB2312" w:cs="Times New Roman"/>
          <w:sz w:val="32"/>
          <w:szCs w:val="32"/>
          <w:highlight w:val="none"/>
        </w:rPr>
        <w:t>，公务用车运维费减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0.8</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2021年持平</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lang w:eastAsia="zh-CN"/>
        </w:rPr>
        <w:t>无增减变化</w:t>
      </w:r>
      <w:r>
        <w:rPr>
          <w:rFonts w:ascii="Times New Roman" w:hAnsi="Times New Roman" w:eastAsia="仿宋_GB2312" w:cs="Times New Roman"/>
          <w:color w:val="auto"/>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2022年，是</w:t>
      </w:r>
      <w:r>
        <w:rPr>
          <w:rFonts w:hint="eastAsia" w:ascii="Times New Roman" w:hAnsi="Times New Roman" w:eastAsia="仿宋_GB2312" w:cs="Times New Roman"/>
          <w:kern w:val="2"/>
          <w:sz w:val="32"/>
          <w:szCs w:val="32"/>
          <w:lang w:val="en-US" w:eastAsia="zh-CN" w:bidi="ar-SA"/>
        </w:rPr>
        <w:t>党的二十大</w:t>
      </w:r>
      <w:r>
        <w:rPr>
          <w:rFonts w:ascii="Times New Roman" w:hAnsi="Times New Roman" w:eastAsia="仿宋_GB2312" w:cs="Times New Roman"/>
          <w:kern w:val="2"/>
          <w:sz w:val="32"/>
          <w:szCs w:val="32"/>
          <w:lang w:val="en-US" w:eastAsia="zh-CN" w:bidi="ar-SA"/>
        </w:rPr>
        <w:t>之年，是</w:t>
      </w:r>
      <w:r>
        <w:rPr>
          <w:rFonts w:hint="eastAsia" w:ascii="Times New Roman" w:hAnsi="Times New Roman" w:eastAsia="仿宋_GB2312" w:cs="Times New Roman"/>
          <w:kern w:val="2"/>
          <w:sz w:val="32"/>
          <w:szCs w:val="32"/>
          <w:lang w:val="en-US" w:eastAsia="zh-CN" w:bidi="ar-SA"/>
        </w:rPr>
        <w:t>贯彻省第十次党代会精神的开局之年</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也是落实市第十一次党代会决策部署，推动经济总量过万亿、实现弯道超车的支撑之年、关键之年</w:t>
      </w:r>
      <w:r>
        <w:rPr>
          <w:rFonts w:ascii="Times New Roman" w:hAnsi="Times New Roman" w:eastAsia="仿宋_GB2312" w:cs="Times New Roman"/>
          <w:kern w:val="2"/>
          <w:sz w:val="32"/>
          <w:szCs w:val="32"/>
          <w:lang w:val="en-US" w:eastAsia="zh-CN" w:bidi="ar-SA"/>
        </w:rPr>
        <w:t>。权村镇将全面贯彻党的十九大和十九届二中、三中、四中全会精神，牢固树立“四个意识”，坚定“四个自信”，坚决</w:t>
      </w:r>
      <w:r>
        <w:rPr>
          <w:rFonts w:hint="eastAsia" w:ascii="Times New Roman" w:hAnsi="Times New Roman" w:eastAsia="仿宋_GB2312" w:cs="Times New Roman"/>
          <w:kern w:val="2"/>
          <w:sz w:val="32"/>
          <w:szCs w:val="32"/>
          <w:lang w:val="en-US" w:eastAsia="zh-CN" w:bidi="ar-SA"/>
        </w:rPr>
        <w:t>做到</w:t>
      </w:r>
      <w:bookmarkStart w:id="3" w:name="_GoBack"/>
      <w:bookmarkEnd w:id="3"/>
      <w:r>
        <w:rPr>
          <w:rFonts w:ascii="Times New Roman" w:hAnsi="Times New Roman" w:eastAsia="仿宋_GB2312" w:cs="Times New Roman"/>
          <w:kern w:val="2"/>
          <w:sz w:val="32"/>
          <w:szCs w:val="32"/>
          <w:lang w:val="en-US" w:eastAsia="zh-CN" w:bidi="ar-SA"/>
        </w:rPr>
        <w:t>“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tabs>
          <w:tab w:val="left" w:pos="6792"/>
        </w:tabs>
        <w:spacing w:line="584" w:lineRule="exact"/>
        <w:ind w:firstLine="643" w:firstLineChars="200"/>
        <w:rPr>
          <w:rFonts w:hint="eastAsia" w:ascii="楷体_GB2312" w:eastAsia="楷体_GB2312" w:cs="Times New Roman"/>
          <w:b/>
          <w:color w:val="auto"/>
          <w:sz w:val="32"/>
          <w:szCs w:val="32"/>
          <w:lang w:eastAsia="zh-CN"/>
        </w:rPr>
      </w:pPr>
      <w:r>
        <w:rPr>
          <w:rFonts w:hint="eastAsia" w:ascii="楷体_GB2312" w:eastAsia="楷体_GB2312" w:cs="Times New Roman"/>
          <w:b/>
          <w:sz w:val="32"/>
          <w:szCs w:val="32"/>
        </w:rPr>
        <w:t>（二）分项绩效目标</w:t>
      </w:r>
      <w:r>
        <w:rPr>
          <w:rFonts w:hint="eastAsia" w:ascii="楷体_GB2312" w:eastAsia="楷体_GB2312" w:cs="Times New Roman"/>
          <w:b/>
          <w:sz w:val="32"/>
          <w:szCs w:val="32"/>
          <w:lang w:eastAsia="zh-CN"/>
        </w:rPr>
        <w:tab/>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08"/>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1、</w:t>
      </w:r>
      <w:r>
        <w:rPr>
          <w:rFonts w:hint="eastAsia" w:ascii="仿宋" w:hAnsi="仿宋" w:eastAsia="仿宋" w:cs="仿宋"/>
          <w:b/>
          <w:sz w:val="32"/>
          <w:szCs w:val="32"/>
          <w:lang w:eastAsia="zh-CN"/>
        </w:rPr>
        <w:t>通过开展安全生产工作，发现安全隐患，减少事故发生。</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0" w:firstLine="640"/>
        <w:rPr>
          <w:rFonts w:hint="eastAsia" w:ascii="仿宋" w:hAnsi="仿宋" w:eastAsia="仿宋" w:cs="仿宋"/>
          <w:b w:val="0"/>
          <w:color w:val="000000"/>
          <w:sz w:val="32"/>
          <w:szCs w:val="32"/>
          <w:lang w:eastAsia="zh-CN"/>
        </w:rPr>
      </w:pPr>
      <w:r>
        <w:rPr>
          <w:rFonts w:hint="eastAsia" w:ascii="仿宋" w:hAnsi="仿宋" w:eastAsia="仿宋" w:cs="仿宋"/>
          <w:sz w:val="32"/>
          <w:szCs w:val="32"/>
          <w:lang w:eastAsia="zh-CN"/>
        </w:rPr>
        <w:t>绩效目标：</w:t>
      </w:r>
      <w:r>
        <w:rPr>
          <w:rFonts w:hint="eastAsia" w:ascii="仿宋" w:hAnsi="仿宋" w:eastAsia="仿宋" w:cs="仿宋"/>
          <w:b w:val="0"/>
          <w:sz w:val="32"/>
          <w:szCs w:val="32"/>
          <w:lang w:eastAsia="zh-CN"/>
        </w:rPr>
        <w:t xml:space="preserve"> </w:t>
      </w:r>
      <w:r>
        <w:rPr>
          <w:rFonts w:hint="eastAsia" w:ascii="仿宋" w:hAnsi="仿宋" w:eastAsia="仿宋" w:cs="仿宋"/>
          <w:b w:val="0"/>
          <w:color w:val="000000"/>
          <w:sz w:val="32"/>
          <w:szCs w:val="32"/>
          <w:lang w:eastAsia="zh-CN"/>
        </w:rPr>
        <w:t>通过开展安全生产巡查、宣传等工作，及时处理安全生产事故，提高辖区内企业安全生产意识，实现创造一个安全生产生活环境的目标。</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0" w:firstLine="640"/>
        <w:rPr>
          <w:rFonts w:hint="eastAsia" w:ascii="仿宋" w:hAnsi="仿宋" w:eastAsia="仿宋" w:cs="仿宋"/>
          <w:b w:val="0"/>
          <w:sz w:val="32"/>
          <w:szCs w:val="32"/>
          <w:lang w:eastAsia="zh-CN"/>
        </w:rPr>
      </w:pPr>
      <w:r>
        <w:rPr>
          <w:rFonts w:hint="eastAsia" w:ascii="仿宋" w:hAnsi="仿宋" w:eastAsia="仿宋" w:cs="仿宋"/>
          <w:sz w:val="32"/>
          <w:szCs w:val="32"/>
          <w:lang w:eastAsia="zh-CN"/>
        </w:rPr>
        <w:t>绩效指标：</w:t>
      </w:r>
      <w:r>
        <w:rPr>
          <w:rFonts w:hint="eastAsia" w:ascii="仿宋" w:hAnsi="仿宋" w:eastAsia="仿宋" w:cs="仿宋"/>
          <w:b w:val="0"/>
          <w:sz w:val="32"/>
          <w:szCs w:val="32"/>
          <w:lang w:eastAsia="zh-CN"/>
        </w:rPr>
        <w:t>通过开展安全生产巡查，每年不低于48次，及时发现处理安全生产隐患，使事故处理及时率达到95%以上；开展宣传法律法规工作，提高辖区内企业安全生产意识，实现健全安监制度，隐患整改率不低于95%，创造一个安全生产生活环境的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val="en-US" w:eastAsia="zh-CN"/>
        </w:rPr>
        <w:t>2、</w:t>
      </w:r>
      <w:r>
        <w:rPr>
          <w:rFonts w:hint="eastAsia" w:ascii="仿宋" w:hAnsi="仿宋" w:eastAsia="仿宋" w:cs="仿宋"/>
          <w:b/>
          <w:sz w:val="32"/>
          <w:szCs w:val="32"/>
          <w:lang w:eastAsia="zh-CN"/>
        </w:rPr>
        <w:t>通过开展农村环境治理工作，提升农村居民生活质量。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color w:val="000000"/>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color w:val="000000"/>
          <w:sz w:val="32"/>
          <w:szCs w:val="32"/>
          <w:lang w:eastAsia="zh-CN"/>
        </w:rPr>
        <w:t>通过项目的开展使我镇垃圾及时有效处理，环境质量达到明显改善，建立农村环境整治长效管理机制，实现群众得到满意效果目标。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绩效指标：</w:t>
      </w:r>
      <w:r>
        <w:rPr>
          <w:rFonts w:hint="eastAsia" w:ascii="仿宋" w:hAnsi="仿宋" w:eastAsia="仿宋" w:cs="仿宋"/>
          <w:sz w:val="32"/>
          <w:szCs w:val="32"/>
          <w:lang w:eastAsia="zh-CN"/>
        </w:rPr>
        <w:t>通过对我镇22个村街进行摸底排查，开展农村环境整治工作，使我镇垃圾及时有效处理，发现一处，整理一处，不留死角，实现我镇环境质量明显改善，建立农村环境整治长效管理机制，打造绿色宜居乡村。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val="en-US" w:eastAsia="zh-CN"/>
        </w:rPr>
        <w:t>3、</w:t>
      </w:r>
      <w:r>
        <w:rPr>
          <w:rFonts w:hint="eastAsia" w:ascii="仿宋" w:hAnsi="仿宋" w:eastAsia="仿宋" w:cs="仿宋"/>
          <w:b/>
          <w:sz w:val="32"/>
          <w:szCs w:val="32"/>
          <w:lang w:eastAsia="zh-CN"/>
        </w:rPr>
        <w:t>通过开展妇联工作，加强妇联基层组织建设。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sz w:val="32"/>
          <w:szCs w:val="32"/>
          <w:lang w:eastAsia="zh-CN"/>
        </w:rPr>
        <w:t>逐渐填补妇联基层组织建设空白点，实现妇女工作精细化，全面提升基层妇联组织建设规范化水平，进一步加强基层妇女组织建设，充分地发挥基层妇女组织的作用，推动我镇妇女工作和妇女事业的更好发展。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360" w:lineRule="auto"/>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r>
        <w:rPr>
          <w:rFonts w:hint="eastAsia" w:ascii="仿宋" w:hAnsi="仿宋" w:eastAsia="仿宋" w:cs="仿宋"/>
          <w:b/>
          <w:sz w:val="32"/>
          <w:szCs w:val="32"/>
          <w:lang w:eastAsia="zh-CN"/>
        </w:rPr>
        <w:t>绩效指标：</w:t>
      </w:r>
      <w:r>
        <w:rPr>
          <w:rFonts w:hint="eastAsia" w:ascii="仿宋" w:hAnsi="仿宋" w:eastAsia="仿宋" w:cs="仿宋"/>
          <w:sz w:val="32"/>
          <w:szCs w:val="32"/>
          <w:lang w:eastAsia="zh-CN"/>
        </w:rPr>
        <w:t>通过举办相关妇联培训及评选活动，确保镇区内妇女之家建设数量不低于10个，提升妇联工作水平，加强后备干部建设，推动我镇妇女工作和妇女事业的更好发展。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val="en-US" w:eastAsia="zh-CN"/>
        </w:rPr>
        <w:t>4、</w:t>
      </w:r>
      <w:r>
        <w:rPr>
          <w:rFonts w:hint="eastAsia" w:ascii="仿宋" w:hAnsi="仿宋" w:eastAsia="仿宋" w:cs="仿宋"/>
          <w:b/>
          <w:sz w:val="32"/>
          <w:szCs w:val="32"/>
          <w:lang w:eastAsia="zh-CN"/>
        </w:rPr>
        <w:t>通过开展环保工作，实现环保形势稳步提升。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sz w:val="32"/>
          <w:szCs w:val="32"/>
          <w:lang w:eastAsia="zh-CN"/>
        </w:rPr>
        <w:t>通过开展环保工作，组织工作专班，深入到各企业进行排查摸底，督促企业落实主体责任，加强大气、水体、机动车污染防治;加强企业经营单位固体废弃物、重金属等重点污染治理的防治工作；增强群众的环保意识，遏制少数散乱污经营户，提升全镇企业经营安全、规范有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绩效指标：</w:t>
      </w:r>
      <w:r>
        <w:rPr>
          <w:rFonts w:hint="eastAsia" w:ascii="仿宋" w:hAnsi="仿宋" w:eastAsia="仿宋" w:cs="仿宋"/>
          <w:sz w:val="32"/>
          <w:szCs w:val="32"/>
          <w:lang w:eastAsia="zh-CN"/>
        </w:rPr>
        <w:t>通过检查企业生产，全年巡查次数不低于80次，最大限度地发现、纠正、督促企业消除各类违法排污，工业固体废物处置率大于90%，预防和减少环境污染，全年优良天气数量增加，优良天数增长率不低于25%，实现乡镇环保形势持续稳定好转。</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val="en-US" w:eastAsia="zh-CN"/>
        </w:rPr>
        <w:t>5、</w:t>
      </w:r>
      <w:r>
        <w:rPr>
          <w:rFonts w:hint="eastAsia" w:ascii="仿宋" w:hAnsi="仿宋" w:eastAsia="仿宋" w:cs="仿宋"/>
          <w:b/>
          <w:sz w:val="32"/>
          <w:szCs w:val="32"/>
          <w:lang w:eastAsia="zh-CN"/>
        </w:rPr>
        <w:t>通过开展基层党建带团建工作，带动团组织建设。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sz w:val="32"/>
          <w:szCs w:val="32"/>
          <w:lang w:eastAsia="zh-CN"/>
        </w:rPr>
        <w:t>把握党建团建工作重点，切实将党建带团建纳入党建工作总体规划，在抓好党组织建设的同时，加强对团组织的领导，提升党组织坚强的凝聚力和战斗力，带动团组织建设，增强团组织的生机和活力，形成了“党建带团建、团建促党建”的良好局面。</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绩效指标：</w:t>
      </w:r>
      <w:r>
        <w:rPr>
          <w:rFonts w:hint="eastAsia" w:ascii="仿宋" w:hAnsi="仿宋" w:eastAsia="仿宋" w:cs="仿宋"/>
          <w:sz w:val="32"/>
          <w:szCs w:val="32"/>
          <w:lang w:eastAsia="zh-CN"/>
        </w:rPr>
        <w:t>通过及时开展多种形式的党性教育活动和业务培训活动，活动次数不低于12次，参加人数不低于20人，按照绩效考核标准对党建团建工作进行考核，提高党建团建工作水平，建立长效机制，推动建立广泛覆盖、富有活力的基层组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val="en-US" w:eastAsia="zh-CN"/>
        </w:rPr>
        <w:t>6、</w:t>
      </w:r>
      <w:r>
        <w:rPr>
          <w:rFonts w:hint="eastAsia" w:ascii="仿宋" w:hAnsi="仿宋" w:eastAsia="仿宋" w:cs="仿宋"/>
          <w:b/>
          <w:sz w:val="32"/>
          <w:szCs w:val="32"/>
          <w:lang w:eastAsia="zh-CN"/>
        </w:rPr>
        <w:t>通过开展贫困户帮扶工作，提高贫困户生活质量。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sz w:val="32"/>
          <w:szCs w:val="32"/>
          <w:lang w:eastAsia="zh-CN"/>
        </w:rPr>
        <w:t>通过实施建档立卡贫困户帮扶项目，改善贫困户在日常生活，解决实际困难，最终实现贫困户不愁吃、不愁穿、保障子女义务教育、基本医疗、保障住房目标。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绩效指标：</w:t>
      </w:r>
      <w:r>
        <w:rPr>
          <w:rFonts w:hint="eastAsia" w:ascii="仿宋" w:hAnsi="仿宋" w:eastAsia="仿宋" w:cs="仿宋"/>
          <w:sz w:val="32"/>
          <w:szCs w:val="32"/>
          <w:lang w:eastAsia="zh-CN"/>
        </w:rPr>
        <w:t>通过对18户建档立卡贫困户及时有效发放慰问资金，全年慰问金金额不低于2000元，建立长效机制，使贫困户生活质量有效提高，实现贫困户家庭收入有效增长，使贫困户对政府扶贫工作达到满意，提升贫困户家庭幸福感。</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7、</w:t>
      </w:r>
      <w:r>
        <w:rPr>
          <w:rFonts w:hint="eastAsia" w:ascii="仿宋" w:hAnsi="仿宋" w:eastAsia="仿宋" w:cs="仿宋"/>
          <w:b/>
          <w:sz w:val="32"/>
          <w:szCs w:val="32"/>
          <w:lang w:eastAsia="zh-CN"/>
        </w:rPr>
        <w:t>通过开展退役军人服务工作，切实维护退役军人合法利益。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sz w:val="32"/>
          <w:szCs w:val="32"/>
          <w:lang w:eastAsia="zh-CN"/>
        </w:rPr>
        <w:t>切实维护好退役军人合法权益，成立退役军人服务站，保证机构、人员、经费，切实把广大退役军人工作和生活保障好，激励他们为改革发展和社会稳定作出积极贡献。</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绩效指标：</w:t>
      </w:r>
      <w:r>
        <w:rPr>
          <w:rFonts w:hint="eastAsia" w:ascii="仿宋" w:hAnsi="仿宋" w:eastAsia="仿宋" w:cs="仿宋"/>
          <w:sz w:val="32"/>
          <w:szCs w:val="32"/>
          <w:lang w:eastAsia="zh-CN"/>
        </w:rPr>
        <w:t>通过建立健全退役军人服务站，保证机构工作经费不低于3万元，确保慰问金及时发放，全面做好就业、创业、扶持、走访慰问、帮扶解困、信访接待、权益保障等工作不低于50人次，努力做到全覆盖，实现有机构、有编制、有人员、有经费、有保障，建立长效机制，切实维护好退役军人合法利益。</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8、</w:t>
      </w:r>
      <w:r>
        <w:rPr>
          <w:rFonts w:hint="eastAsia" w:ascii="仿宋" w:hAnsi="仿宋" w:eastAsia="仿宋" w:cs="仿宋"/>
          <w:b/>
          <w:sz w:val="32"/>
          <w:szCs w:val="32"/>
          <w:lang w:eastAsia="zh-CN"/>
        </w:rPr>
        <w:t>通过开展坑塘污水治理，提高人民健康水平</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color w:val="000000"/>
          <w:sz w:val="32"/>
          <w:szCs w:val="32"/>
          <w:lang w:eastAsia="zh-CN"/>
        </w:rPr>
        <w:t>通过对三砖厂坑塘和烟村干渠污水的治理，达到（GB8978-1996）中一级标准，改善当地环境，提高人民健康水平，最终保障社会可持续发展。</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eastAsia="zh-CN"/>
        </w:rPr>
        <w:t>绩效指标：</w:t>
      </w:r>
      <w:r>
        <w:rPr>
          <w:rFonts w:hint="eastAsia" w:ascii="仿宋" w:hAnsi="仿宋" w:eastAsia="仿宋" w:cs="仿宋"/>
          <w:color w:val="000000"/>
          <w:sz w:val="32"/>
          <w:szCs w:val="32"/>
          <w:lang w:eastAsia="zh-CN"/>
        </w:rPr>
        <w:t>通过项目的开展完成68万m³坑塘污水的治理，实现水生态环境明显改善，提高人民健康水平。</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9、</w:t>
      </w:r>
      <w:r>
        <w:rPr>
          <w:rFonts w:hint="eastAsia" w:ascii="仿宋" w:hAnsi="仿宋" w:eastAsia="仿宋" w:cs="仿宋"/>
          <w:b/>
          <w:sz w:val="32"/>
          <w:szCs w:val="32"/>
          <w:lang w:eastAsia="zh-CN"/>
        </w:rPr>
        <w:t>通过开展荣庆污水处理厂维护，</w:t>
      </w:r>
      <w:r>
        <w:rPr>
          <w:rFonts w:hint="eastAsia" w:ascii="仿宋" w:hAnsi="仿宋" w:eastAsia="仿宋" w:cs="仿宋"/>
          <w:b/>
          <w:color w:val="000000"/>
          <w:sz w:val="32"/>
          <w:szCs w:val="32"/>
          <w:lang w:eastAsia="zh-CN"/>
        </w:rPr>
        <w:t>达到污水处理厂设备正常运转。</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color w:val="000000"/>
          <w:sz w:val="32"/>
          <w:szCs w:val="32"/>
          <w:lang w:eastAsia="zh-CN"/>
        </w:rPr>
        <w:t>通过项目的开展使我镇垃圾及时有效处理，环境质量达到明显改善，建立农村环境整治长效管理机制，实现群众得到满意效果目标。</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color w:val="000000"/>
          <w:sz w:val="32"/>
          <w:szCs w:val="32"/>
          <w:lang w:eastAsia="zh-CN"/>
        </w:rPr>
      </w:pPr>
      <w:r>
        <w:rPr>
          <w:rFonts w:hint="eastAsia" w:ascii="仿宋" w:hAnsi="仿宋" w:eastAsia="仿宋" w:cs="仿宋"/>
          <w:b/>
          <w:sz w:val="32"/>
          <w:szCs w:val="32"/>
          <w:lang w:eastAsia="zh-CN"/>
        </w:rPr>
        <w:t>绩效指标：</w:t>
      </w:r>
      <w:r>
        <w:rPr>
          <w:rFonts w:hint="eastAsia" w:ascii="仿宋" w:hAnsi="仿宋" w:eastAsia="仿宋" w:cs="仿宋"/>
          <w:color w:val="000000"/>
          <w:sz w:val="32"/>
          <w:szCs w:val="32"/>
          <w:lang w:eastAsia="zh-CN"/>
        </w:rPr>
        <w:t>通过对荣庆污水处理厂的日常管理及维护，每季度不低于4次对设备进行维护，使污水处理厂设备能够正常运转，提升生态环境。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10、</w:t>
      </w:r>
      <w:r>
        <w:rPr>
          <w:rFonts w:hint="eastAsia" w:ascii="仿宋" w:hAnsi="仿宋" w:eastAsia="仿宋" w:cs="仿宋"/>
          <w:b/>
          <w:sz w:val="32"/>
          <w:szCs w:val="32"/>
          <w:lang w:eastAsia="zh-CN"/>
        </w:rPr>
        <w:t>通过创建人大代表联络站，方便代表联系群众，拉近代表与群众的距离，提升辖区社会稳定水平。</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sz w:val="32"/>
          <w:szCs w:val="32"/>
          <w:lang w:eastAsia="zh-CN"/>
        </w:rPr>
        <w:t>通过联系辖区内的人民代表大会代表、组织代表开展活动，使人大工作正常运行, 为群众解决了大量最关心、最直接、最现实的问题的同时，进一步拉近了人大代表和群众之间的距离，有效促进了基层社会的和谐稳定。</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绩效指标：</w:t>
      </w:r>
      <w:r>
        <w:rPr>
          <w:rFonts w:hint="eastAsia" w:ascii="仿宋" w:hAnsi="仿宋" w:eastAsia="仿宋" w:cs="仿宋"/>
          <w:sz w:val="32"/>
          <w:szCs w:val="32"/>
          <w:lang w:eastAsia="zh-CN"/>
        </w:rPr>
        <w:t>通过按期举办代表接待日活动和代表小组活动，人达代表参与率达到90%，选民覆盖率100%，提高人民满意度。</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11、</w:t>
      </w:r>
      <w:r>
        <w:rPr>
          <w:rFonts w:hint="eastAsia" w:ascii="仿宋" w:hAnsi="仿宋" w:eastAsia="仿宋" w:cs="仿宋"/>
          <w:b/>
          <w:sz w:val="32"/>
          <w:szCs w:val="32"/>
          <w:lang w:eastAsia="zh-CN"/>
        </w:rPr>
        <w:t>通过开展乡镇武装部武装工作，进一步扎实推进镇村武装工作，全面提升基层武装工作建设水平。</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sz w:val="32"/>
          <w:szCs w:val="32"/>
          <w:lang w:eastAsia="zh-CN"/>
        </w:rPr>
        <w:t>绩效目标：</w:t>
      </w:r>
      <w:r>
        <w:rPr>
          <w:rFonts w:hint="eastAsia" w:ascii="仿宋" w:hAnsi="仿宋" w:eastAsia="仿宋" w:cs="仿宋"/>
          <w:sz w:val="32"/>
          <w:szCs w:val="32"/>
          <w:lang w:eastAsia="zh-CN"/>
        </w:rPr>
        <w:t>通过组织开展国防教育，增强适龄青年依法参加民兵预备役部队组织、履行国防义务的自觉性。规范民兵整组，调整和改进民兵组织建设。有序做好兵役登记，扎实抓好年度征兵工作重点抓好征兵工作。加强村级民兵连营部规范化建设，严格抓好民兵军事训练，全面提高应急迎战能力建设</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sz w:val="32"/>
          <w:szCs w:val="32"/>
          <w:lang w:eastAsia="zh-CN"/>
        </w:rPr>
      </w:pPr>
      <w:r>
        <w:rPr>
          <w:rFonts w:hint="eastAsia" w:ascii="仿宋" w:hAnsi="仿宋" w:eastAsia="仿宋" w:cs="仿宋"/>
          <w:b/>
          <w:bCs/>
          <w:sz w:val="32"/>
          <w:szCs w:val="32"/>
          <w:lang w:eastAsia="zh-CN"/>
        </w:rPr>
        <w:t>绩效指标：</w:t>
      </w:r>
      <w:r>
        <w:rPr>
          <w:rFonts w:hint="eastAsia" w:ascii="仿宋" w:hAnsi="仿宋" w:eastAsia="仿宋" w:cs="仿宋"/>
          <w:sz w:val="32"/>
          <w:szCs w:val="32"/>
          <w:lang w:eastAsia="zh-CN"/>
        </w:rPr>
        <w:t>通过开展乡镇武装部武装工作，确保民兵训练人数，在规定时间内完成符合上级部门训练要求的训练工作。提高国防宣传、征兵工作知晓率。</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12.</w:t>
      </w:r>
      <w:r>
        <w:rPr>
          <w:rFonts w:hint="eastAsia" w:ascii="仿宋" w:hAnsi="仿宋" w:eastAsia="仿宋" w:cs="仿宋"/>
          <w:b/>
          <w:sz w:val="32"/>
          <w:szCs w:val="32"/>
          <w:lang w:eastAsia="zh-CN"/>
        </w:rPr>
        <w:t>通过开展文化站免费开放工作</w:t>
      </w:r>
      <w:r>
        <w:rPr>
          <w:rFonts w:hint="eastAsia" w:ascii="仿宋" w:hAnsi="仿宋" w:eastAsia="仿宋" w:cs="仿宋"/>
          <w:b/>
          <w:sz w:val="32"/>
          <w:szCs w:val="32"/>
          <w:lang w:val="en-US" w:eastAsia="zh-CN"/>
        </w:rPr>
        <w:t>促进群众文化事业发展，面向公众提供各类科普文化知识，提高群众基本文化素质</w:t>
      </w:r>
      <w:r>
        <w:rPr>
          <w:rFonts w:hint="eastAsia" w:ascii="仿宋" w:hAnsi="仿宋" w:eastAsia="仿宋" w:cs="仿宋"/>
          <w:b/>
          <w:sz w:val="32"/>
          <w:szCs w:val="32"/>
          <w:lang w:eastAsia="zh-CN"/>
        </w:rPr>
        <w:t>。</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eastAsia" w:ascii="仿宋_GB2312" w:hAnsi="仿宋_GB2312" w:eastAsia="仿宋_GB2312" w:cs="仿宋_GB2312"/>
          <w:sz w:val="32"/>
          <w:szCs w:val="32"/>
          <w:lang w:val="en-US" w:eastAsia="zh-CN"/>
        </w:rPr>
      </w:pPr>
      <w:r>
        <w:rPr>
          <w:rFonts w:hint="eastAsia" w:ascii="仿宋" w:hAnsi="仿宋" w:eastAsia="仿宋" w:cs="仿宋"/>
          <w:b/>
          <w:sz w:val="32"/>
          <w:szCs w:val="32"/>
          <w:lang w:eastAsia="zh-CN"/>
        </w:rPr>
        <w:t>绩效目标：</w:t>
      </w:r>
      <w:r>
        <w:rPr>
          <w:rFonts w:hint="eastAsia" w:ascii="仿宋" w:hAnsi="仿宋" w:eastAsia="仿宋" w:cs="仿宋"/>
          <w:b w:val="0"/>
          <w:bCs/>
          <w:sz w:val="32"/>
          <w:szCs w:val="32"/>
          <w:lang w:eastAsia="zh-CN"/>
        </w:rPr>
        <w:t>通过开展文化站免费开放工作</w:t>
      </w:r>
      <w:r>
        <w:rPr>
          <w:rFonts w:hint="eastAsia" w:ascii="仿宋_GB2312" w:hAnsi="仿宋_GB2312" w:eastAsia="仿宋_GB2312" w:cs="仿宋_GB2312"/>
          <w:sz w:val="32"/>
          <w:szCs w:val="32"/>
          <w:lang w:eastAsia="zh-CN"/>
        </w:rPr>
        <w:t>一是开展</w:t>
      </w:r>
      <w:r>
        <w:rPr>
          <w:rFonts w:hint="eastAsia" w:ascii="仿宋_GB2312" w:hAnsi="仿宋_GB2312" w:eastAsia="仿宋_GB2312" w:cs="仿宋_GB2312"/>
          <w:sz w:val="32"/>
          <w:szCs w:val="32"/>
          <w:lang w:val="en-US" w:eastAsia="zh-CN"/>
        </w:rPr>
        <w:t>文化站组织公益性群众文化活动，举办公益性讲座和展览宣传；二是面向公众提供各类科普文化知识，丰富群众生活，提高群众基本文化素质，促进群众文化事业发展</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hint="default" w:ascii="仿宋" w:hAnsi="仿宋" w:eastAsia="仿宋" w:cs="仿宋"/>
          <w:sz w:val="32"/>
          <w:szCs w:val="32"/>
          <w:lang w:val="en-US" w:eastAsia="zh-CN"/>
        </w:rPr>
      </w:pPr>
      <w:r>
        <w:rPr>
          <w:rFonts w:hint="eastAsia" w:ascii="仿宋" w:hAnsi="仿宋" w:eastAsia="仿宋" w:cs="仿宋"/>
          <w:b/>
          <w:bCs/>
          <w:sz w:val="32"/>
          <w:szCs w:val="32"/>
          <w:lang w:eastAsia="zh-CN"/>
        </w:rPr>
        <w:t>绩效指标：</w:t>
      </w:r>
      <w:r>
        <w:rPr>
          <w:rFonts w:hint="eastAsia" w:ascii="仿宋" w:hAnsi="仿宋" w:eastAsia="仿宋" w:cs="仿宋"/>
          <w:sz w:val="32"/>
          <w:szCs w:val="32"/>
          <w:lang w:eastAsia="zh-CN"/>
        </w:rPr>
        <w:t>通过开展文化站免费开放工作</w:t>
      </w:r>
      <w:r>
        <w:rPr>
          <w:rFonts w:hint="eastAsia" w:ascii="仿宋_GB2312" w:hAnsi="仿宋_GB2312" w:eastAsia="仿宋_GB2312" w:cs="仿宋_GB2312"/>
          <w:sz w:val="32"/>
          <w:szCs w:val="32"/>
          <w:lang w:eastAsia="zh-CN"/>
        </w:rPr>
        <w:t>下一步改进措施拓宽活动宣传渠道，创新丰富文化活动形式，群众参与率达到</w:t>
      </w:r>
      <w:r>
        <w:rPr>
          <w:rFonts w:hint="eastAsia" w:ascii="仿宋_GB2312" w:hAnsi="仿宋_GB2312" w:eastAsia="仿宋_GB2312" w:cs="仿宋_GB2312"/>
          <w:sz w:val="32"/>
          <w:szCs w:val="32"/>
          <w:lang w:val="en-US" w:eastAsia="zh-CN"/>
        </w:rPr>
        <w:t>95%以上，</w:t>
      </w:r>
      <w:r>
        <w:rPr>
          <w:rFonts w:hint="eastAsia" w:ascii="仿宋_GB2312" w:hAnsi="仿宋_GB2312" w:eastAsia="仿宋_GB2312" w:cs="仿宋_GB2312"/>
          <w:sz w:val="32"/>
          <w:szCs w:val="32"/>
          <w:lang w:eastAsia="zh-CN"/>
        </w:rPr>
        <w:t>激发公众参与的积极性。</w:t>
      </w:r>
    </w:p>
    <w:p>
      <w:pPr>
        <w:spacing w:line="584" w:lineRule="exact"/>
        <w:rPr>
          <w:rFonts w:hint="eastAsia" w:ascii="仿宋" w:hAnsi="仿宋" w:eastAsia="仿宋" w:cs="仿宋"/>
          <w:b/>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（三）工作保障措施</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120"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完善制度建设</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120"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制定完善预算绩效管理制度、资金管理办法、工作保障制度等，为全年预算绩效目标的实现奠定制度基础。</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加强支出管理</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通过优化支出结构、编细编实预算、加快履行政府采购手续、尽快启动项目、及时支付资金、6月底前细化代编预算、按规定及时下达资金等多种措施，确保支出进度达标。</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after="120" w:line="360" w:lineRule="auto"/>
        <w:ind w:leftChars="200" w:firstLine="321" w:firstLineChars="100"/>
        <w:jc w:val="left"/>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加强绩效运行监控</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after="120"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按要求开展绩效运行监控，发现问题及时采取措施，确保绩效目标如期保质实现。</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leftChars="200" w:firstLine="321" w:firstLineChars="100"/>
        <w:jc w:val="left"/>
        <w:rPr>
          <w:rFonts w:hint="eastAsia" w:ascii="仿宋" w:hAnsi="仿宋" w:eastAsia="仿宋" w:cs="仿宋"/>
          <w:b/>
          <w:sz w:val="32"/>
          <w:szCs w:val="32"/>
        </w:rPr>
      </w:pPr>
      <w:r>
        <w:rPr>
          <w:rFonts w:hint="eastAsia" w:ascii="仿宋" w:hAnsi="仿宋" w:eastAsia="仿宋" w:cs="仿宋"/>
          <w:b/>
          <w:sz w:val="32"/>
          <w:szCs w:val="32"/>
          <w:lang w:val="en-US" w:eastAsia="zh-CN"/>
        </w:rPr>
        <w:t>4、</w:t>
      </w:r>
      <w:r>
        <w:rPr>
          <w:rFonts w:hint="eastAsia" w:ascii="仿宋" w:hAnsi="仿宋" w:eastAsia="仿宋" w:cs="仿宋"/>
          <w:b/>
          <w:sz w:val="32"/>
          <w:szCs w:val="32"/>
        </w:rPr>
        <w:t>做好绩效自评</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按要求开展上年度部门预算绩效自评和重点评价工作，对评价中发现的问题及时整改，调整优化支出结构， 提高财政资金使用效益。</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23" w:after="120" w:line="360" w:lineRule="auto"/>
        <w:ind w:leftChars="200" w:firstLine="321" w:firstLineChars="100"/>
        <w:jc w:val="left"/>
        <w:rPr>
          <w:rFonts w:hint="eastAsia" w:ascii="仿宋" w:hAnsi="仿宋" w:eastAsia="仿宋" w:cs="仿宋"/>
          <w:b/>
          <w:sz w:val="32"/>
          <w:szCs w:val="32"/>
        </w:rPr>
      </w:pPr>
      <w:r>
        <w:rPr>
          <w:rFonts w:hint="eastAsia" w:ascii="仿宋" w:hAnsi="仿宋" w:eastAsia="仿宋" w:cs="仿宋"/>
          <w:b/>
          <w:sz w:val="32"/>
          <w:szCs w:val="32"/>
          <w:lang w:val="en-US" w:eastAsia="zh-CN"/>
        </w:rPr>
        <w:t>5、</w:t>
      </w:r>
      <w:r>
        <w:rPr>
          <w:rFonts w:hint="eastAsia" w:ascii="仿宋" w:hAnsi="仿宋" w:eastAsia="仿宋" w:cs="仿宋"/>
          <w:b/>
          <w:sz w:val="32"/>
          <w:szCs w:val="32"/>
        </w:rPr>
        <w:t>规范财务资产管理</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23" w:after="120" w:line="360" w:lineRule="auto"/>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完善财务管理制度，严格审批程序，加强固定资产登记、使用和报废处置管理，做到支出合理，物尽其用。</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after="120" w:line="360" w:lineRule="auto"/>
        <w:ind w:leftChars="200" w:firstLine="321" w:firstLineChars="100"/>
        <w:jc w:val="left"/>
        <w:rPr>
          <w:rFonts w:hint="eastAsia" w:ascii="仿宋" w:hAnsi="仿宋" w:eastAsia="仿宋" w:cs="仿宋"/>
          <w:b/>
          <w:sz w:val="32"/>
          <w:szCs w:val="32"/>
        </w:rPr>
      </w:pPr>
      <w:r>
        <w:rPr>
          <w:rFonts w:hint="eastAsia" w:ascii="仿宋" w:hAnsi="仿宋" w:eastAsia="仿宋" w:cs="仿宋"/>
          <w:b/>
          <w:sz w:val="32"/>
          <w:szCs w:val="32"/>
          <w:lang w:val="en-US" w:eastAsia="zh-CN"/>
        </w:rPr>
        <w:t>6、</w:t>
      </w:r>
      <w:r>
        <w:rPr>
          <w:rFonts w:hint="eastAsia" w:ascii="仿宋" w:hAnsi="仿宋" w:eastAsia="仿宋" w:cs="仿宋"/>
          <w:b/>
          <w:sz w:val="32"/>
          <w:szCs w:val="32"/>
        </w:rPr>
        <w:t>加强内部监督</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after="120" w:line="360" w:lineRule="auto"/>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ind w:leftChars="200" w:firstLine="321" w:firstLineChars="100"/>
        <w:rPr>
          <w:rFonts w:hint="eastAsia" w:ascii="仿宋" w:hAnsi="仿宋" w:eastAsia="仿宋" w:cs="仿宋"/>
          <w:b/>
          <w:sz w:val="32"/>
          <w:szCs w:val="32"/>
        </w:rPr>
      </w:pPr>
      <w:r>
        <w:rPr>
          <w:rFonts w:hint="eastAsia" w:ascii="仿宋" w:hAnsi="仿宋" w:eastAsia="仿宋" w:cs="仿宋"/>
          <w:b/>
          <w:sz w:val="32"/>
          <w:szCs w:val="32"/>
          <w:lang w:val="en-US" w:eastAsia="zh-CN"/>
        </w:rPr>
        <w:t>7、</w:t>
      </w:r>
      <w:r>
        <w:rPr>
          <w:rFonts w:hint="eastAsia" w:ascii="仿宋" w:hAnsi="仿宋" w:eastAsia="仿宋" w:cs="仿宋"/>
          <w:b/>
          <w:sz w:val="32"/>
          <w:szCs w:val="32"/>
        </w:rPr>
        <w:t>加强宣传培训调研等</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加强人员培训，提高本部门职工业务素质；加强调研，提出优化财政资金配置、提高资金使用效益的意见；加大宣传力度，强化预算绩效管理意识，促进预算绩 效管理水平进一步提升。</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rPr>
          <w:rFonts w:hint="eastAsia" w:ascii="仿宋" w:hAnsi="仿宋" w:eastAsia="仿宋" w:cs="仿宋"/>
          <w:color w:val="000000"/>
          <w:sz w:val="32"/>
          <w:szCs w:val="32"/>
        </w:rPr>
      </w:pP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rPr>
          <w:rFonts w:hint="eastAsia" w:ascii="仿宋" w:hAnsi="仿宋" w:eastAsia="仿宋" w:cs="仿宋"/>
          <w:color w:val="000000"/>
          <w:sz w:val="32"/>
          <w:szCs w:val="32"/>
        </w:rPr>
      </w:pP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rPr>
          <w:rFonts w:hint="eastAsia" w:ascii="仿宋" w:hAnsi="仿宋" w:eastAsia="仿宋" w:cs="仿宋"/>
          <w:color w:val="000000"/>
          <w:sz w:val="32"/>
          <w:szCs w:val="32"/>
        </w:rPr>
      </w:pP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rPr>
          <w:rFonts w:hint="eastAsia" w:ascii="仿宋" w:hAnsi="仿宋" w:eastAsia="仿宋" w:cs="仿宋"/>
          <w:color w:val="000000"/>
          <w:sz w:val="32"/>
          <w:szCs w:val="32"/>
        </w:rPr>
      </w:pP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9"/>
        <w:tblW w:w="13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35"/>
        <w:gridCol w:w="1234"/>
        <w:gridCol w:w="1400"/>
        <w:gridCol w:w="2309"/>
        <w:gridCol w:w="2475"/>
        <w:gridCol w:w="1020"/>
        <w:gridCol w:w="825"/>
        <w:gridCol w:w="1365"/>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6" w:hRule="atLeast"/>
          <w:tblHeader/>
          <w:jc w:val="center"/>
        </w:trPr>
        <w:tc>
          <w:tcPr>
            <w:tcW w:w="8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2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4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30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47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321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02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5" w:hRule="atLeast"/>
          <w:tblHeader/>
          <w:jc w:val="center"/>
        </w:trPr>
        <w:tc>
          <w:tcPr>
            <w:tcW w:w="835" w:type="dxa"/>
            <w:vMerge w:val="continue"/>
            <w:tcBorders>
              <w:tl2br w:val="nil"/>
              <w:tr2bl w:val="nil"/>
            </w:tcBorders>
            <w:vAlign w:val="center"/>
          </w:tcPr>
          <w:p/>
        </w:tc>
        <w:tc>
          <w:tcPr>
            <w:tcW w:w="1234" w:type="dxa"/>
            <w:vMerge w:val="continue"/>
            <w:tcBorders>
              <w:tl2br w:val="nil"/>
              <w:tr2bl w:val="nil"/>
            </w:tcBorders>
            <w:vAlign w:val="center"/>
          </w:tcPr>
          <w:p/>
        </w:tc>
        <w:tc>
          <w:tcPr>
            <w:tcW w:w="1400" w:type="dxa"/>
            <w:vMerge w:val="continue"/>
            <w:tcBorders>
              <w:tl2br w:val="nil"/>
              <w:tr2bl w:val="nil"/>
            </w:tcBorders>
            <w:vAlign w:val="center"/>
          </w:tcPr>
          <w:p/>
        </w:tc>
        <w:tc>
          <w:tcPr>
            <w:tcW w:w="2309" w:type="dxa"/>
            <w:vMerge w:val="continue"/>
            <w:tcBorders>
              <w:tl2br w:val="nil"/>
              <w:tr2bl w:val="nil"/>
            </w:tcBorders>
            <w:vAlign w:val="center"/>
          </w:tcPr>
          <w:p/>
        </w:tc>
        <w:tc>
          <w:tcPr>
            <w:tcW w:w="2475" w:type="dxa"/>
            <w:vMerge w:val="continue"/>
            <w:tcBorders>
              <w:tl2br w:val="nil"/>
              <w:tr2bl w:val="nil"/>
            </w:tcBorders>
            <w:vAlign w:val="center"/>
          </w:tcPr>
          <w:p/>
        </w:tc>
        <w:tc>
          <w:tcPr>
            <w:tcW w:w="102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2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36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02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0" w:hRule="atLeast"/>
          <w:jc w:val="center"/>
        </w:trPr>
        <w:tc>
          <w:tcPr>
            <w:tcW w:w="835" w:type="dxa"/>
            <w:vMerge w:val="restart"/>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部门产出</w:t>
            </w: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人员经费发放</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按单位职工人数发放</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人员经费保障人数包括在职人数及离退休人数</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文字描述</w:t>
            </w:r>
          </w:p>
        </w:tc>
        <w:tc>
          <w:tcPr>
            <w:tcW w:w="825" w:type="dxa"/>
            <w:tcBorders>
              <w:tl2br w:val="nil"/>
              <w:tr2bl w:val="nil"/>
            </w:tcBorders>
            <w:vAlign w:val="top"/>
          </w:tcPr>
          <w:p>
            <w:pPr>
              <w:jc w:val="left"/>
              <w:rPr>
                <w:rFonts w:hint="eastAsia" w:ascii="宋体" w:hAnsi="宋体" w:eastAsia="宋体" w:cs="宋体"/>
                <w:sz w:val="18"/>
                <w:szCs w:val="18"/>
              </w:rPr>
            </w:pP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按照单位实际存在人数发放</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按单位职工实际人数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0"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经费发放的精准性</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人员工资精准发放</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工资福利等发放人员范围的精准性</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82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100</w:t>
            </w: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按照实际情况精准发放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0"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质量</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保障各项日常办公需要</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及时保障各项日常办公需要</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及时保障各项日常办公需要</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82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100</w:t>
            </w: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及时保障各项日常办公需要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7"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时效</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项目经费保障及时性</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按项目进度及时拨付项目资金</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项目经费拨付的及时性</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文字描述</w:t>
            </w:r>
          </w:p>
        </w:tc>
        <w:tc>
          <w:tcPr>
            <w:tcW w:w="825" w:type="dxa"/>
            <w:tcBorders>
              <w:tl2br w:val="nil"/>
              <w:tr2bl w:val="nil"/>
            </w:tcBorders>
            <w:vAlign w:val="top"/>
          </w:tcPr>
          <w:p>
            <w:pPr>
              <w:jc w:val="left"/>
              <w:rPr>
                <w:rFonts w:hint="eastAsia" w:ascii="宋体" w:hAnsi="宋体" w:eastAsia="宋体" w:cs="宋体"/>
                <w:sz w:val="18"/>
                <w:szCs w:val="18"/>
              </w:rPr>
            </w:pP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按项目进度及时拨付资金</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按项目进度及时拨付资金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0"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预算资金成本控制</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合理安排预算资金支出</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按照预算安排，合理安排资金支付</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82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100</w:t>
            </w: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万元</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合理安排预算资金支出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1" w:hRule="atLeast"/>
          <w:jc w:val="center"/>
        </w:trPr>
        <w:tc>
          <w:tcPr>
            <w:tcW w:w="835" w:type="dxa"/>
            <w:vMerge w:val="restart"/>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部门效果</w:t>
            </w: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社会稳定水平</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政府工作开展利于社会稳定水平的提高</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政府工作对于社会稳定的影响</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文字描述</w:t>
            </w:r>
          </w:p>
        </w:tc>
        <w:tc>
          <w:tcPr>
            <w:tcW w:w="825" w:type="dxa"/>
            <w:tcBorders>
              <w:tl2br w:val="nil"/>
              <w:tr2bl w:val="nil"/>
            </w:tcBorders>
            <w:vAlign w:val="top"/>
          </w:tcPr>
          <w:p>
            <w:pPr>
              <w:jc w:val="left"/>
              <w:rPr>
                <w:rFonts w:hint="eastAsia" w:ascii="宋体" w:hAnsi="宋体" w:eastAsia="宋体" w:cs="宋体"/>
                <w:sz w:val="18"/>
                <w:szCs w:val="18"/>
              </w:rPr>
            </w:pP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政府工作开展利于社会稳定水平的提高</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政府工作开展利于社会稳定水平的提高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1"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加强工作人员归属感</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通过按时按标准发放工资福利，增强人员的归属感</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通过按时按标准发放工资福利，增强人员的归属感</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文字描述</w:t>
            </w:r>
          </w:p>
        </w:tc>
        <w:tc>
          <w:tcPr>
            <w:tcW w:w="825" w:type="dxa"/>
            <w:tcBorders>
              <w:tl2br w:val="nil"/>
              <w:tr2bl w:val="nil"/>
            </w:tcBorders>
            <w:vAlign w:val="top"/>
          </w:tcPr>
          <w:p>
            <w:pPr>
              <w:jc w:val="left"/>
              <w:rPr>
                <w:rFonts w:hint="eastAsia" w:ascii="宋体" w:hAnsi="宋体" w:eastAsia="宋体" w:cs="宋体"/>
                <w:sz w:val="18"/>
                <w:szCs w:val="18"/>
              </w:rPr>
            </w:pP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增强干部职工归属感</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增强干部职工归属感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1"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生态</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镇区生态环境显著提升</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有利于镇区生态环境显著提升</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镇区生态环境改善提升</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文字描述</w:t>
            </w:r>
          </w:p>
        </w:tc>
        <w:tc>
          <w:tcPr>
            <w:tcW w:w="825" w:type="dxa"/>
            <w:tcBorders>
              <w:tl2br w:val="nil"/>
              <w:tr2bl w:val="nil"/>
            </w:tcBorders>
            <w:vAlign w:val="top"/>
          </w:tcPr>
          <w:p>
            <w:pPr>
              <w:jc w:val="left"/>
              <w:rPr>
                <w:rFonts w:hint="eastAsia" w:ascii="宋体" w:hAnsi="宋体" w:eastAsia="宋体" w:cs="宋体"/>
                <w:sz w:val="18"/>
                <w:szCs w:val="18"/>
              </w:rPr>
            </w:pP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显著提升</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有利于镇区生态环境显著提升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70" w:hRule="atLeast"/>
          <w:jc w:val="center"/>
        </w:trPr>
        <w:tc>
          <w:tcPr>
            <w:tcW w:w="835" w:type="dxa"/>
            <w:vMerge w:val="continue"/>
            <w:tcBorders>
              <w:tl2br w:val="nil"/>
              <w:tr2bl w:val="nil"/>
            </w:tcBorders>
            <w:vAlign w:val="center"/>
          </w:tcPr>
          <w:p>
            <w:pPr>
              <w:rPr>
                <w:rFonts w:hint="eastAsia" w:ascii="宋体" w:hAnsi="宋体" w:eastAsia="宋体" w:cs="宋体"/>
                <w:sz w:val="18"/>
                <w:szCs w:val="18"/>
              </w:rPr>
            </w:pPr>
          </w:p>
        </w:tc>
        <w:tc>
          <w:tcPr>
            <w:tcW w:w="12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140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群众满意度</w:t>
            </w:r>
          </w:p>
        </w:tc>
        <w:tc>
          <w:tcPr>
            <w:tcW w:w="2309"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提高社会公众对政府工作的满意度</w:t>
            </w:r>
          </w:p>
        </w:tc>
        <w:tc>
          <w:tcPr>
            <w:tcW w:w="247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社会公众对政府工作的满意度</w:t>
            </w:r>
          </w:p>
        </w:tc>
        <w:tc>
          <w:tcPr>
            <w:tcW w:w="1020"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82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90</w:t>
            </w:r>
          </w:p>
        </w:tc>
        <w:tc>
          <w:tcPr>
            <w:tcW w:w="1365"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w:t>
            </w:r>
          </w:p>
        </w:tc>
        <w:tc>
          <w:tcPr>
            <w:tcW w:w="2028" w:type="dxa"/>
            <w:tcBorders>
              <w:tl2br w:val="nil"/>
              <w:tr2bl w:val="nil"/>
            </w:tcBorders>
            <w:vAlign w:val="top"/>
          </w:tcPr>
          <w:p>
            <w:pPr>
              <w:widowControl/>
              <w:jc w:val="left"/>
              <w:textAlignment w:val="top"/>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rPr>
              <w:t>提高社会公众对政府工作的满意度</w:t>
            </w:r>
          </w:p>
        </w:tc>
      </w:tr>
    </w:tbl>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安监经费</w:t>
      </w:r>
      <w:r>
        <w:rPr>
          <w:rFonts w:ascii="Times New Roman" w:hAnsi="Times New Roman" w:eastAsia="仿宋_GB2312" w:cs="Times New Roman"/>
          <w:sz w:val="28"/>
        </w:rPr>
        <w:t>绩效目标表</w:t>
      </w:r>
      <w:bookmarkStart w:id="0" w:name="_Toc29799657"/>
      <w:bookmarkEnd w:id="0"/>
    </w:p>
    <w:tbl>
      <w:tblPr>
        <w:tblStyle w:val="9"/>
        <w:tblW w:w="145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44"/>
        <w:gridCol w:w="1665"/>
        <w:gridCol w:w="3555"/>
        <w:gridCol w:w="1357"/>
        <w:gridCol w:w="1062"/>
        <w:gridCol w:w="1871"/>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66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13102522P00899410001M</w:t>
            </w:r>
            <w:r>
              <w:rPr>
                <w:rFonts w:hint="eastAsia" w:ascii="宋体" w:hAnsi="宋体" w:cs="宋体"/>
                <w:i w:val="0"/>
                <w:iCs w:val="0"/>
                <w:color w:val="000000"/>
                <w:sz w:val="18"/>
                <w:szCs w:val="18"/>
                <w:u w:val="none"/>
                <w:lang w:val="en-US" w:eastAsia="zh-CN"/>
              </w:rPr>
              <w:t xml:space="preserve">         </w:t>
            </w:r>
            <w:r>
              <w:rPr>
                <w:rFonts w:hint="eastAsia" w:ascii="宋体" w:hAnsi="宋体" w:eastAsia="宋体" w:cs="宋体"/>
                <w:i w:val="0"/>
                <w:iCs w:val="0"/>
                <w:color w:val="000000"/>
                <w:sz w:val="18"/>
                <w:szCs w:val="18"/>
                <w:u w:val="none"/>
              </w:rPr>
              <w:t>2022年安监经费</w:t>
            </w:r>
          </w:p>
        </w:tc>
        <w:tc>
          <w:tcPr>
            <w:tcW w:w="24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76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664"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3750"/>
              </w:tabs>
              <w:jc w:val="both"/>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大城县权村镇人民政府</w:t>
            </w:r>
            <w:r>
              <w:rPr>
                <w:rFonts w:hint="eastAsia" w:ascii="宋体" w:hAnsi="宋体" w:eastAsia="宋体" w:cs="宋体"/>
                <w:i w:val="0"/>
                <w:iCs w:val="0"/>
                <w:color w:val="000000"/>
                <w:sz w:val="18"/>
                <w:szCs w:val="18"/>
                <w:u w:val="none"/>
              </w:rPr>
              <w:t>本级</w:t>
            </w:r>
          </w:p>
        </w:tc>
        <w:tc>
          <w:tcPr>
            <w:tcW w:w="24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76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84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lang w:eastAsia="zh-CN"/>
              </w:rPr>
            </w:pPr>
            <w:r>
              <w:rPr>
                <w:rFonts w:hint="eastAsia"/>
                <w:sz w:val="18"/>
                <w:szCs w:val="20"/>
              </w:rPr>
              <w:t>每年都安排安监项目资金，对辖区内企业进行安全生产巡查，进行食品药品安全巡查、宣传安全生产及日常生活中的应注意的安全问题，及时处理发生的安全事故，保证辖区内安全生产及日常生活的安全。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2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p>
        </w:tc>
        <w:tc>
          <w:tcPr>
            <w:tcW w:w="3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p>
        </w:tc>
        <w:tc>
          <w:tcPr>
            <w:tcW w:w="42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40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安监办通过巡查及时处理镇区存在的安全生产隐患，年度巡查次数不少48次，实现镇区内企业安全生产意识、安全生产验收达标率、</w:t>
            </w:r>
          </w:p>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安全隐患整改率的提高,达到主管部门整体要求，项目经费控制在10万元，建立安全监管长效工作机制，创造一个安全生产生活环境。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4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5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2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8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8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44"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巡查次数</w:t>
            </w:r>
          </w:p>
        </w:tc>
        <w:tc>
          <w:tcPr>
            <w:tcW w:w="355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反映年度巡查次数</w:t>
            </w:r>
          </w:p>
        </w:tc>
        <w:tc>
          <w:tcPr>
            <w:tcW w:w="135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48</w:t>
            </w:r>
          </w:p>
        </w:tc>
        <w:tc>
          <w:tcPr>
            <w:tcW w:w="187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次</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安全生产标准达标率</w:t>
            </w:r>
          </w:p>
        </w:tc>
        <w:tc>
          <w:tcPr>
            <w:tcW w:w="355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反映达标的安全生产企业的比率</w:t>
            </w:r>
          </w:p>
        </w:tc>
        <w:tc>
          <w:tcPr>
            <w:tcW w:w="135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100</w:t>
            </w:r>
          </w:p>
        </w:tc>
        <w:tc>
          <w:tcPr>
            <w:tcW w:w="187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事故处理及时率</w:t>
            </w:r>
          </w:p>
        </w:tc>
        <w:tc>
          <w:tcPr>
            <w:tcW w:w="355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反映事故处理及时率</w:t>
            </w:r>
          </w:p>
        </w:tc>
        <w:tc>
          <w:tcPr>
            <w:tcW w:w="135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100</w:t>
            </w:r>
          </w:p>
        </w:tc>
        <w:tc>
          <w:tcPr>
            <w:tcW w:w="187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预算控制数</w:t>
            </w:r>
          </w:p>
        </w:tc>
        <w:tc>
          <w:tcPr>
            <w:tcW w:w="355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预算控制总量不超过预算金额</w:t>
            </w:r>
          </w:p>
        </w:tc>
        <w:tc>
          <w:tcPr>
            <w:tcW w:w="135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10</w:t>
            </w:r>
          </w:p>
        </w:tc>
        <w:tc>
          <w:tcPr>
            <w:tcW w:w="187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万元</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44"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生产经营单位安全隐患整改率</w:t>
            </w:r>
          </w:p>
        </w:tc>
        <w:tc>
          <w:tcPr>
            <w:tcW w:w="355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已整改隐患占执法发现隐患总数的比率</w:t>
            </w:r>
          </w:p>
        </w:tc>
        <w:tc>
          <w:tcPr>
            <w:tcW w:w="135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95</w:t>
            </w:r>
          </w:p>
        </w:tc>
        <w:tc>
          <w:tcPr>
            <w:tcW w:w="187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长期影响性</w:t>
            </w:r>
          </w:p>
        </w:tc>
        <w:tc>
          <w:tcPr>
            <w:tcW w:w="355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反映企业安全生产行为是否长期改善</w:t>
            </w:r>
          </w:p>
        </w:tc>
        <w:tc>
          <w:tcPr>
            <w:tcW w:w="135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87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改善</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回头看工作考核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44"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群众满意度</w:t>
            </w:r>
          </w:p>
        </w:tc>
        <w:tc>
          <w:tcPr>
            <w:tcW w:w="355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反映群众满意度</w:t>
            </w:r>
          </w:p>
        </w:tc>
        <w:tc>
          <w:tcPr>
            <w:tcW w:w="135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90</w:t>
            </w:r>
          </w:p>
        </w:tc>
        <w:tc>
          <w:tcPr>
            <w:tcW w:w="187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22"/>
                <w:szCs w:val="22"/>
                <w:u w:val="none"/>
                <w:lang w:val="en-US" w:eastAsia="zh-CN"/>
              </w:rPr>
              <w:t>实际调查</w:t>
            </w:r>
          </w:p>
        </w:tc>
      </w:tr>
    </w:tbl>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妇联基层组织建设经费</w:t>
      </w:r>
      <w:r>
        <w:rPr>
          <w:rFonts w:ascii="Times New Roman" w:hAnsi="Times New Roman" w:eastAsia="仿宋_GB2312" w:cs="Times New Roman"/>
          <w:sz w:val="28"/>
        </w:rPr>
        <w:t>绩效目标表</w:t>
      </w:r>
    </w:p>
    <w:tbl>
      <w:tblPr>
        <w:tblStyle w:val="9"/>
        <w:tblW w:w="1459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44"/>
        <w:gridCol w:w="1695"/>
        <w:gridCol w:w="3740"/>
        <w:gridCol w:w="1150"/>
        <w:gridCol w:w="1065"/>
        <w:gridCol w:w="1890"/>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13102522P00899710001N</w:t>
            </w:r>
            <w:r>
              <w:rPr>
                <w:rFonts w:hint="eastAsia" w:ascii="宋体" w:hAnsi="宋体" w:cs="宋体"/>
                <w:i w:val="0"/>
                <w:iCs w:val="0"/>
                <w:color w:val="000000"/>
                <w:sz w:val="18"/>
                <w:szCs w:val="18"/>
                <w:u w:val="none"/>
                <w:lang w:val="en-US" w:eastAsia="zh-CN"/>
              </w:rPr>
              <w:t xml:space="preserve">   2022年妇联基层组织建设经费</w:t>
            </w:r>
          </w:p>
        </w:tc>
        <w:tc>
          <w:tcPr>
            <w:tcW w:w="2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3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r>
              <w:rPr>
                <w:rFonts w:hint="eastAsia"/>
                <w:sz w:val="18"/>
                <w:szCs w:val="20"/>
              </w:rPr>
              <w:t>立足镇区内妇联基层组织建设现有基础和整体布局，整合全镇各个单位、各个组织的资源，将妇联的组织工作向全镇域延伸，探索多种形式、各种特色的组织模式，形成全镇域的女性共同参与、开放互助、全面覆盖的妇联组织建设和妇女工作新格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41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195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49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加快镇内妇女之家建设，尽量不少于10个，通过按期开展相关妇联培训、“春蕾计划”等工作，提升妇女干部谋划工作、服务发展的能力。项目经费控制在1万元。进一步加强基层妇女组织建设，充分地发挥基层妇女组织的作用，推动妇女工作和妇女事业的更好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4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镇区内妇女之家的数量</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反映镇区内妇女之家的数量</w:t>
            </w:r>
          </w:p>
        </w:tc>
        <w:tc>
          <w:tcPr>
            <w:tcW w:w="11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个</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开展活动质量达标率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反映开展活动质量达标率</w:t>
            </w:r>
          </w:p>
        </w:tc>
        <w:tc>
          <w:tcPr>
            <w:tcW w:w="11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培训计划按期完成情况</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反映培训计划按期完成情况</w:t>
            </w:r>
          </w:p>
        </w:tc>
        <w:tc>
          <w:tcPr>
            <w:tcW w:w="11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项目经费控制量</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反映项目经费控制量情况</w:t>
            </w:r>
          </w:p>
        </w:tc>
        <w:tc>
          <w:tcPr>
            <w:tcW w:w="11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对社会的影响情况</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反映社会对妇女能力评价的影响情况</w:t>
            </w:r>
          </w:p>
        </w:tc>
        <w:tc>
          <w:tcPr>
            <w:tcW w:w="11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妇女后备干部队伍建设</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反映妇女后备干部队伍建设情况</w:t>
            </w:r>
          </w:p>
        </w:tc>
        <w:tc>
          <w:tcPr>
            <w:tcW w:w="11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公众满意度</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调查中公众满意数占总调查人数的比例</w:t>
            </w:r>
          </w:p>
        </w:tc>
        <w:tc>
          <w:tcPr>
            <w:tcW w:w="11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bl>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3.环保经费</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2280"/>
        <w:gridCol w:w="3140"/>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13102522P00899510001B</w:t>
            </w:r>
            <w:r>
              <w:rPr>
                <w:rFonts w:hint="eastAsia" w:ascii="宋体" w:hAnsi="宋体" w:cs="宋体"/>
                <w:i w:val="0"/>
                <w:iCs w:val="0"/>
                <w:color w:val="000000"/>
                <w:sz w:val="18"/>
                <w:szCs w:val="18"/>
                <w:u w:val="none"/>
                <w:lang w:val="en-US" w:eastAsia="zh-CN"/>
              </w:rPr>
              <w:t xml:space="preserve">   2022年环保经费</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r>
              <w:rPr>
                <w:rFonts w:hint="eastAsia"/>
                <w:sz w:val="18"/>
                <w:szCs w:val="20"/>
              </w:rPr>
              <w:t>2018年开始，每年都有安排环保工作，主要负责辖区内进行环保宣传、巡查，雇佣机械、人工，对散乱污等不符合政策的企业进行清理，加强大气、水体、机动车污染防治，主要开展企业经营单位固体废弃物、重金属等重点污染治理的防治工作；增强群众的环保意识，确保环保工作正常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7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7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3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按期及时检查企业生产，对工业固体废物处置率达到90%以上，最大限度地发现、纠正、督促企业消除各类违法排污，预防和减少环境污染，实现全年优良天气数量增加，遏制少数散乱污经营户，项目经费控制在10万元。促进乡镇环保形势持续稳定好转，使全镇企业经营安全、规范有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2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2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工业固体废物处置率</w:t>
            </w:r>
          </w:p>
        </w:tc>
        <w:tc>
          <w:tcPr>
            <w:tcW w:w="31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反映处置及综合利用的工业固体废物的比率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巡查企业合格率</w:t>
            </w:r>
          </w:p>
        </w:tc>
        <w:tc>
          <w:tcPr>
            <w:tcW w:w="31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反映巡查企业中合格企业的比率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95</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工作目标按计划完成情况</w:t>
            </w:r>
          </w:p>
        </w:tc>
        <w:tc>
          <w:tcPr>
            <w:tcW w:w="31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反映工作目标按计划的完成情况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项目预算经费控制量</w:t>
            </w:r>
          </w:p>
        </w:tc>
        <w:tc>
          <w:tcPr>
            <w:tcW w:w="31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反映项目经费控制量情况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10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受益人口数</w:t>
            </w:r>
          </w:p>
        </w:tc>
        <w:tc>
          <w:tcPr>
            <w:tcW w:w="31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反映受益人口数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4.3</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万人</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全年优良天气数量增长率</w:t>
            </w:r>
          </w:p>
        </w:tc>
        <w:tc>
          <w:tcPr>
            <w:tcW w:w="31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全年优良天气数量较去年的增长率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30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环保设施使用年限</w:t>
            </w:r>
          </w:p>
        </w:tc>
        <w:tc>
          <w:tcPr>
            <w:tcW w:w="31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反映相关环保设施使用年限</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6</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1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bl>
    <w:p>
      <w:pPr>
        <w:numPr>
          <w:ilvl w:val="0"/>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基层党建团建工作经费</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680"/>
        <w:gridCol w:w="3740"/>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13102522P00899810001C</w:t>
            </w:r>
            <w:r>
              <w:rPr>
                <w:rFonts w:hint="eastAsia" w:ascii="宋体" w:hAnsi="宋体" w:cs="宋体"/>
                <w:i w:val="0"/>
                <w:iCs w:val="0"/>
                <w:color w:val="000000"/>
                <w:sz w:val="18"/>
                <w:szCs w:val="18"/>
                <w:u w:val="none"/>
                <w:lang w:val="en-US" w:eastAsia="zh-CN"/>
              </w:rPr>
              <w:t xml:space="preserve">   2022年基层党建团建工作经费</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r>
              <w:rPr>
                <w:rFonts w:hint="eastAsia"/>
                <w:sz w:val="18"/>
                <w:szCs w:val="20"/>
              </w:rPr>
              <w:t>基层当建团建工作主要是以带团干部队伍建设为关键，已带基层组织建设为基础，通过定期开展教育与培训工作，注重青年人才的培养使用，重视对党员的综合素质以及道德素养提升，推动建立广泛覆盖、富有活力的基层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开展多种形式的党性教育活动和业务培训活动，不少于12次，及时按照绩效考核标准对党建团建工作进行考核，争取100%合格率，实现党建团建工作水平提高和富有活力的基层组织的广泛建立覆盖。项目经费控制在2万元。实现党建团建工作水平提高和富有活力的基层组织的广泛建立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开展党性教育次数</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反映本年度开展党性教育的次数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12</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次</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党建团建工作考核合格率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反映党建团建工作考核合格率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党建团建活动的完成及时率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反映党建团建活动的完成及时率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项目经费控制情况</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反映项目经费控制情况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2</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党建团建工作社会影响</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反映群众对党建团建工作的评价</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党团后备干部建设</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反映党团后备干部队伍建设情况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良好</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公众满意度</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调查中公众满意数占总调查人数的比例</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95</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hint="eastAsia" w:ascii="Times New Roman" w:hAnsi="Times New Roman" w:eastAsia="仿宋_GB2312" w:cs="Times New Roman"/>
          <w:sz w:val="28"/>
        </w:rPr>
        <w:t>建档立卡脱贫户生产生活补助金</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680"/>
        <w:gridCol w:w="3740"/>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13102522P008999100012</w:t>
            </w:r>
            <w:r>
              <w:rPr>
                <w:rFonts w:hint="eastAsia" w:ascii="宋体" w:hAnsi="宋体" w:cs="宋体"/>
                <w:i w:val="0"/>
                <w:iCs w:val="0"/>
                <w:color w:val="000000"/>
                <w:sz w:val="18"/>
                <w:szCs w:val="18"/>
                <w:u w:val="none"/>
                <w:lang w:val="en-US" w:eastAsia="zh-CN"/>
              </w:rPr>
              <w:t xml:space="preserve">       2022年</w:t>
            </w:r>
            <w:r>
              <w:rPr>
                <w:rFonts w:hint="eastAsia" w:ascii="宋体" w:hAnsi="宋体" w:eastAsia="宋体" w:cs="宋体"/>
                <w:i w:val="0"/>
                <w:iCs w:val="0"/>
                <w:color w:val="000000"/>
                <w:sz w:val="18"/>
                <w:szCs w:val="18"/>
                <w:u w:val="none"/>
              </w:rPr>
              <w:t>建档立卡脱贫户生产生活补助金</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r>
              <w:rPr>
                <w:rFonts w:hint="eastAsia"/>
                <w:sz w:val="18"/>
                <w:szCs w:val="20"/>
              </w:rPr>
              <w:t>该项目主要用于解决贫困户日常生活问题，权村镇建档立卡贫困户总共18户，按照每个贫困户2000元标准，用于贫困户帮扶慰问，改善贫困户日常生活条件。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75%</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通过对镇区内18户建档立卡贫困户按照2000元标准及时有效发放帮扶资金，有效改善贫困户日常生活，实现贫困户不愁吃、不愁穿，保障子女义务教育、基本医疗和住房目标，最终实现贫困稳定退出。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扶助户数</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年度内享受帮扶政策户数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18</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户</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生活质量达标率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反映生活质量达标率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扶助资金到位率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实际到位扶助资金的比率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贫困户慰问金发放标准</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反映贫困户慰问金发放标准</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元/人</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扶贫帮扶工作对镇区社会安定情况的影响</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扶贫帮扶工作对镇区社会安定情况的影响</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有利于镇区稳定</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扶贫帮扶是否长期满足贫困户的需求</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反映扶贫帮扶是否能够长期满足贫困户的需求</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满足</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被扶贫帮扶对象满意度</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反映被扶贫帮扶对象满意度</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bl>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rPr>
        <w:t>农村环境整治经费</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920"/>
        <w:gridCol w:w="3500"/>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13102522P008996100011</w:t>
            </w:r>
            <w:r>
              <w:rPr>
                <w:rFonts w:hint="eastAsia" w:ascii="宋体" w:hAnsi="宋体" w:cs="宋体"/>
                <w:i w:val="0"/>
                <w:iCs w:val="0"/>
                <w:color w:val="000000"/>
                <w:sz w:val="18"/>
                <w:szCs w:val="18"/>
                <w:u w:val="none"/>
                <w:lang w:val="en-US" w:eastAsia="zh-CN"/>
              </w:rPr>
              <w:t xml:space="preserve">   2022年农村环境整治经费</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r>
              <w:rPr>
                <w:rFonts w:hint="eastAsia"/>
                <w:sz w:val="18"/>
                <w:szCs w:val="20"/>
              </w:rPr>
              <w:t>每年都开展环境治理工作，主要用于对镇区内22个村街及京沪连接线两侧进行环境治理，宣传环境治理政策，保持镇区内环境卫生、整洁,创造良好的人居环境。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3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3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项目的开展增设垃圾处理点数量，保障每个村街垃圾处理点数量不少于1个，使镇区内垃圾及时有效处理，提高群众环境保护意识，使环境质量明显改善，争取环境质量100%达标，持镇区环境卫生、整洁，建立农村环境治理长效管理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9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排查垃圾处理点数量</w:t>
            </w:r>
          </w:p>
        </w:tc>
        <w:tc>
          <w:tcPr>
            <w:tcW w:w="35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反映排查村街垃圾处理点的数量</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22</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个</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环境质量达标率</w:t>
            </w:r>
          </w:p>
        </w:tc>
        <w:tc>
          <w:tcPr>
            <w:tcW w:w="35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反映环境质量达标率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农村环境整治工作完成时间</w:t>
            </w:r>
          </w:p>
        </w:tc>
        <w:tc>
          <w:tcPr>
            <w:tcW w:w="35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反映农村环境整治工作完成时间</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2022年底</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项目预算经费控制量</w:t>
            </w:r>
          </w:p>
        </w:tc>
        <w:tc>
          <w:tcPr>
            <w:tcW w:w="35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反映项目预算成本控制量情况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受益人口数量</w:t>
            </w:r>
          </w:p>
        </w:tc>
        <w:tc>
          <w:tcPr>
            <w:tcW w:w="35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反映受益人口数量</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4.2</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万人</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实际存在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农村环境提升情况</w:t>
            </w:r>
          </w:p>
        </w:tc>
        <w:tc>
          <w:tcPr>
            <w:tcW w:w="35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反映农村环境提升情况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改善</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长期影响性</w:t>
            </w:r>
          </w:p>
        </w:tc>
        <w:tc>
          <w:tcPr>
            <w:tcW w:w="35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反映农村环境整治工作是否长期满足群众需求</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满足</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5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bl>
    <w:p>
      <w:pPr>
        <w:numPr>
          <w:ilvl w:val="0"/>
          <w:numId w:val="0"/>
        </w:numPr>
        <w:ind w:firstLine="560" w:firstLineChars="200"/>
        <w:jc w:val="left"/>
        <w:outlineLvl w:val="1"/>
        <w:rPr>
          <w:rFonts w:hint="eastAsia" w:ascii="Times New Roman" w:hAnsi="Times New Roman" w:eastAsia="仿宋_GB2312" w:cs="Times New Roman"/>
          <w:sz w:val="28"/>
          <w:lang w:val="en-US" w:eastAsia="zh-CN"/>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7.人大代表联络站经费</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950"/>
        <w:gridCol w:w="3470"/>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13102522P00900110001G</w:t>
            </w:r>
            <w:r>
              <w:rPr>
                <w:rFonts w:hint="eastAsia" w:ascii="宋体" w:hAnsi="宋体" w:cs="宋体"/>
                <w:i w:val="0"/>
                <w:iCs w:val="0"/>
                <w:color w:val="000000"/>
                <w:sz w:val="18"/>
                <w:szCs w:val="18"/>
                <w:u w:val="none"/>
                <w:lang w:val="en-US" w:eastAsia="zh-CN"/>
              </w:rPr>
              <w:t xml:space="preserve">    2022年人大代表联络站经费</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sz w:val="18"/>
                <w:szCs w:val="20"/>
              </w:rPr>
              <w:t>大城县权村镇人民政府</w:t>
            </w:r>
            <w:r>
              <w:rPr>
                <w:rFonts w:hint="eastAsia"/>
                <w:sz w:val="18"/>
                <w:szCs w:val="20"/>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sz w:val="18"/>
                <w:szCs w:val="20"/>
              </w:rPr>
              <w:t>通过创建人大代表联络站，方便代表联系群众，拉近代表与群众的距离，提升辖区社会稳定水平</w:t>
            </w:r>
            <w:r>
              <w:rPr>
                <w:rFonts w:hint="eastAsia"/>
                <w:sz w:val="18"/>
                <w:szCs w:val="2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4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4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3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为群众解决了大量最关心、最直接、最现实的问题的同时，进一步拉近了人大代表和群众之间的距离，有效促进了基层社会的和谐稳定</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9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9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联络站建立个数</w:t>
            </w:r>
          </w:p>
        </w:tc>
        <w:tc>
          <w:tcPr>
            <w:tcW w:w="34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反映联络站建立个数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4</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个</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群众对联络站建立的评价</w:t>
            </w:r>
          </w:p>
        </w:tc>
        <w:tc>
          <w:tcPr>
            <w:tcW w:w="34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反映群众对联络站建立的评价</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联络站建立完成的实限</w:t>
            </w:r>
          </w:p>
        </w:tc>
        <w:tc>
          <w:tcPr>
            <w:tcW w:w="34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反映联络站建立完成的实限</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项目经费预算控制量</w:t>
            </w:r>
          </w:p>
        </w:tc>
        <w:tc>
          <w:tcPr>
            <w:tcW w:w="34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反映项目经费预算控制量</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8</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社会稳定水平</w:t>
            </w:r>
          </w:p>
        </w:tc>
        <w:tc>
          <w:tcPr>
            <w:tcW w:w="34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反映社会稳定水平</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显著提升</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代表联系群众工作环境提升情况</w:t>
            </w:r>
          </w:p>
        </w:tc>
        <w:tc>
          <w:tcPr>
            <w:tcW w:w="34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代表联系群众工作环境提升情况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显著提升</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联络站制度健全性</w:t>
            </w:r>
          </w:p>
        </w:tc>
        <w:tc>
          <w:tcPr>
            <w:tcW w:w="34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联络站制度健全性</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健全</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《河北省安全生产监管责任清单》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9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群众满意度</w:t>
            </w:r>
          </w:p>
        </w:tc>
        <w:tc>
          <w:tcPr>
            <w:tcW w:w="34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反映群众满意度</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实际情况</w:t>
            </w:r>
          </w:p>
        </w:tc>
      </w:tr>
    </w:tbl>
    <w:p>
      <w:pPr>
        <w:numPr>
          <w:ilvl w:val="0"/>
          <w:numId w:val="0"/>
        </w:numPr>
        <w:jc w:val="left"/>
        <w:outlineLvl w:val="1"/>
        <w:rPr>
          <w:rFonts w:ascii="Times New Roman" w:hAnsi="Times New Roman" w:eastAsia="仿宋_GB2312" w:cs="Times New Roman"/>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hint="eastAsia" w:ascii="Times New Roman" w:hAnsi="Times New Roman" w:eastAsia="仿宋_GB2312" w:cs="Times New Roman"/>
          <w:sz w:val="28"/>
        </w:rPr>
        <w:t>荣庆污水处理厂日常管理及维护经费</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680"/>
        <w:gridCol w:w="3740"/>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13102522P008993100010</w:t>
            </w:r>
            <w:r>
              <w:rPr>
                <w:rFonts w:hint="eastAsia" w:ascii="宋体" w:hAnsi="宋体" w:cs="宋体"/>
                <w:i w:val="0"/>
                <w:iCs w:val="0"/>
                <w:color w:val="000000"/>
                <w:sz w:val="18"/>
                <w:szCs w:val="18"/>
                <w:u w:val="none"/>
                <w:lang w:val="en-US" w:eastAsia="zh-CN"/>
              </w:rPr>
              <w:t xml:space="preserve">    2022年荣庆污水处理厂日常管理及维护经费</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lang w:eastAsia="zh-CN"/>
              </w:rPr>
            </w:pPr>
            <w:r>
              <w:rPr>
                <w:rFonts w:hint="eastAsia"/>
                <w:sz w:val="18"/>
                <w:szCs w:val="20"/>
              </w:rPr>
              <w:t>自2016年以来开展本项目，主要用于荣庆污水处理厂日常管理及维护，在项目实施过程中，本单位主要负责监督、检查等工作。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75%</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通过权村镇环保所聘请第三方对荣庆污水处理厂的设备每季度维护不少于4次，使污水处理达标率达到100%，使污水处理及时率100%，项目成本不超过2万元，提升群众生态环境健康。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数量指标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季度维护次数</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反映季度维护次数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4</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次</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质量指标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污水处理达标率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反映污水处理达标率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时效指标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污水处理及时率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反映污水处理及时率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成本指标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项目预算控制数</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反映项目预算控制数量不超过预算数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2</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社会效益指标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受益人口数量</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受益人口数量</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4.1</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万人</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生态效益指标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水生态环境提升情况</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反映水生态环境提升情况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5"/>
                <w:szCs w:val="15"/>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改善</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可持续影响指标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长效管理机制</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反映长效管理机制是否健全</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5"/>
                <w:szCs w:val="15"/>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健全</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关于《荣庆污水处理厂日常维修维护》的方案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服务对象满意度指标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群众满意度</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反映群众满意度</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实际调查</w:t>
            </w:r>
          </w:p>
        </w:tc>
      </w:tr>
    </w:tbl>
    <w:p>
      <w:pPr>
        <w:numPr>
          <w:ilvl w:val="0"/>
          <w:numId w:val="0"/>
        </w:numPr>
        <w:jc w:val="left"/>
        <w:outlineLvl w:val="1"/>
        <w:rPr>
          <w:rFonts w:ascii="Times New Roman" w:hAnsi="Times New Roman" w:eastAsia="仿宋_GB2312" w:cs="Times New Roman"/>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hint="eastAsia" w:ascii="Times New Roman" w:hAnsi="Times New Roman" w:eastAsia="仿宋_GB2312" w:cs="Times New Roman"/>
          <w:sz w:val="28"/>
        </w:rPr>
        <w:t>三砖厂大坑、烟村干渠治理资金</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680"/>
        <w:gridCol w:w="3740"/>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13102522P00899210001A</w:t>
            </w:r>
            <w:r>
              <w:rPr>
                <w:rFonts w:hint="eastAsia" w:ascii="宋体" w:hAnsi="宋体" w:cs="宋体"/>
                <w:i w:val="0"/>
                <w:iCs w:val="0"/>
                <w:color w:val="000000"/>
                <w:sz w:val="18"/>
                <w:szCs w:val="18"/>
                <w:u w:val="none"/>
                <w:lang w:val="en-US" w:eastAsia="zh-CN"/>
              </w:rPr>
              <w:t xml:space="preserve">    2022年三砖厂大坑、烟村干渠治理资金</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20"/>
              </w:rPr>
              <w:t>本工程主要是对坑塘和干渠的污水进行治理，权村镇三砖厂坑塘占地400米×270米，深度约5.5米，水量约60万</w:t>
            </w:r>
            <w:r>
              <w:rPr>
                <w:rFonts w:hint="eastAsia"/>
                <w:sz w:val="18"/>
                <w:szCs w:val="20"/>
                <w:lang w:val="en-US" w:eastAsia="zh-CN"/>
              </w:rPr>
              <w:t>m³</w:t>
            </w:r>
            <w:r>
              <w:rPr>
                <w:rFonts w:hint="eastAsia"/>
                <w:sz w:val="18"/>
                <w:szCs w:val="20"/>
              </w:rPr>
              <w:t>，烟村干渠占地2000米×20米，深度约2米，水量约8万</w:t>
            </w:r>
            <w:r>
              <w:rPr>
                <w:rFonts w:hint="eastAsia"/>
                <w:sz w:val="18"/>
                <w:szCs w:val="20"/>
                <w:lang w:val="en-US" w:eastAsia="zh-CN"/>
              </w:rPr>
              <w:t>m³</w:t>
            </w:r>
            <w:r>
              <w:rPr>
                <w:rFonts w:hint="eastAsia"/>
                <w:sz w:val="18"/>
                <w:szCs w:val="2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鉴于2018年项目已验收竣工，2022年由项目负责人发起资金拨付申请，单位按照财政拨付资金情况进行项目结款，保障项目资金及时拨付到位，按期完成工作计划。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数量指标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项目资金拨付笔数</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反映项目资金拨付笔数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1</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笔</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质量指标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资金拨付到位率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反映项目资金拨付到位率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eastAsia"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时效指标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项目完成及时性</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反映项目工作完成及时性</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default" w:ascii="宋体" w:hAnsi="宋体" w:eastAsia="宋体" w:cs="宋体"/>
                <w:i w:val="0"/>
                <w:iCs w:val="0"/>
                <w:color w:val="000000"/>
                <w:sz w:val="15"/>
                <w:szCs w:val="15"/>
                <w:u w:val="none"/>
                <w:lang w:val="en-US"/>
              </w:rPr>
            </w:pPr>
            <w:r>
              <w:rPr>
                <w:rFonts w:hint="eastAsia"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成本指标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项目资金控制量</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反映项目资金控制量</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697.32</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项目合同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生态效益指标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水生态环境改善情况</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反映水生态环境改善情况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both"/>
              <w:rPr>
                <w:rFonts w:hint="eastAsia" w:ascii="宋体" w:hAnsi="宋体" w:eastAsia="宋体" w:cs="宋体"/>
                <w:i w:val="0"/>
                <w:iCs w:val="0"/>
                <w:color w:val="000000"/>
                <w:sz w:val="15"/>
                <w:szCs w:val="15"/>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良好</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可持续影响指标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长期影响性</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反映生态环境改善的长期影响性</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both"/>
              <w:rPr>
                <w:rFonts w:hint="eastAsia" w:ascii="宋体" w:hAnsi="宋体" w:eastAsia="宋体" w:cs="宋体"/>
                <w:i w:val="0"/>
                <w:iCs w:val="0"/>
                <w:color w:val="000000"/>
                <w:sz w:val="15"/>
                <w:szCs w:val="15"/>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良好</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服务对象满意度指标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公众满意度</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调查中公众满意数占总调查人数的比率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实际调查</w:t>
            </w:r>
          </w:p>
        </w:tc>
      </w:tr>
    </w:tbl>
    <w:p>
      <w:pPr>
        <w:numPr>
          <w:ilvl w:val="0"/>
          <w:numId w:val="0"/>
        </w:numPr>
        <w:jc w:val="left"/>
        <w:outlineLvl w:val="1"/>
        <w:rPr>
          <w:rFonts w:ascii="Times New Roman" w:hAnsi="Times New Roman" w:eastAsia="仿宋_GB2312" w:cs="Times New Roman"/>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rPr>
        <w:t>退役军人服务站工作经费</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845"/>
        <w:gridCol w:w="3575"/>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13102522P00900010001T</w:t>
            </w:r>
            <w:r>
              <w:rPr>
                <w:rFonts w:hint="eastAsia" w:ascii="宋体" w:hAnsi="宋体" w:cs="宋体"/>
                <w:i w:val="0"/>
                <w:iCs w:val="0"/>
                <w:color w:val="000000"/>
                <w:sz w:val="18"/>
                <w:szCs w:val="18"/>
                <w:u w:val="none"/>
                <w:lang w:val="en-US" w:eastAsia="zh-CN"/>
              </w:rPr>
              <w:t xml:space="preserve">    2022年退役军人服务站工作经费</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r>
              <w:rPr>
                <w:rFonts w:hint="eastAsia"/>
                <w:sz w:val="18"/>
                <w:szCs w:val="20"/>
              </w:rPr>
              <w:t>专门成立退役军人服务站，全面做好就业创业扶持、走访慰问、帮扶解困、信访接待、涉核人员体检、权益保障等工作，切实把广大退役军人工作和生活保障好，激励他们为改革发展和社会稳定作出积极贡献。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3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退役军人服务站帮扶退役军人次数不少于50次，及时准确的将慰问金发放到位，争取年度重大退役军人投诉事件为0，项目经费控制在3万元，做好就业创业扶持、走访慰问、帮扶解困、信访接待、权益保障等工作，切实维护好退役军人合法利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8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5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8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5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帮扶退役军人次数</w:t>
            </w:r>
          </w:p>
        </w:tc>
        <w:tc>
          <w:tcPr>
            <w:tcW w:w="35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反映帮扶退役军人次数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50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次</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年度重大退役军人投诉事件</w:t>
            </w:r>
          </w:p>
        </w:tc>
        <w:tc>
          <w:tcPr>
            <w:tcW w:w="35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反映年度重大退役军人投诉事件</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0.00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件</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慰问金发放完成及时率</w:t>
            </w:r>
          </w:p>
        </w:tc>
        <w:tc>
          <w:tcPr>
            <w:tcW w:w="35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反映慰问金发放完成及时率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项目经费的控制量</w:t>
            </w:r>
          </w:p>
        </w:tc>
        <w:tc>
          <w:tcPr>
            <w:tcW w:w="35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反映项目经费的控制量</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3</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帮扶退役军人工作对镇区信访工作的影响</w:t>
            </w:r>
          </w:p>
        </w:tc>
        <w:tc>
          <w:tcPr>
            <w:tcW w:w="35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反映帮扶退役军人工作对镇区信访工作的影响</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利于信访稳定</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帮扶工作的长期影响性</w:t>
            </w:r>
          </w:p>
        </w:tc>
        <w:tc>
          <w:tcPr>
            <w:tcW w:w="35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反映帮扶工作能否长期改善退役军人的工作状况</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可以</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冀办发[2019]10号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服务对象满意度</w:t>
            </w:r>
          </w:p>
        </w:tc>
        <w:tc>
          <w:tcPr>
            <w:tcW w:w="35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接受服务的重点人群对提供服务的满意程度</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11.</w:t>
      </w:r>
      <w:r>
        <w:rPr>
          <w:rFonts w:hint="eastAsia" w:ascii="Times New Roman" w:hAnsi="Times New Roman" w:eastAsia="仿宋_GB2312" w:cs="Times New Roman"/>
          <w:sz w:val="28"/>
        </w:rPr>
        <w:t>乡镇武装部武装工作经费</w:t>
      </w:r>
      <w:r>
        <w:rPr>
          <w:rFonts w:ascii="Times New Roman" w:hAnsi="Times New Roman" w:eastAsia="仿宋_GB2312" w:cs="Times New Roman"/>
          <w:sz w:val="28"/>
        </w:rPr>
        <w:t>绩效目标表</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680"/>
        <w:gridCol w:w="3740"/>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13102522P009002100016</w:t>
            </w:r>
            <w:r>
              <w:rPr>
                <w:rFonts w:hint="eastAsia" w:ascii="宋体" w:hAnsi="宋体" w:cs="宋体"/>
                <w:i w:val="0"/>
                <w:iCs w:val="0"/>
                <w:color w:val="000000"/>
                <w:sz w:val="18"/>
                <w:szCs w:val="18"/>
                <w:u w:val="none"/>
                <w:lang w:val="en-US" w:eastAsia="zh-CN"/>
              </w:rPr>
              <w:t xml:space="preserve">    2022年乡镇武装部武装工作经费</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r>
              <w:rPr>
                <w:rFonts w:hint="eastAsia"/>
                <w:sz w:val="18"/>
                <w:szCs w:val="20"/>
              </w:rPr>
              <w:t>全面做好武装部征兵工作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3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全面做好武装部征兵工作，严格把关兵役体检合格率，在辖区内征兵工作良好开展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数量指标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年度内征兵次数</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反映年度内征兵次数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2</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次</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质量指标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兵役体检合格率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反映兵役体检合格率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时效指标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征兵时间及时率</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反映征兵时间及时率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成本指标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项目经费控制量</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反映项目经费控制量</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3</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社会效益指标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征兵对辖区内影响性</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反映征兵对辖区内影响性</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5"/>
                <w:szCs w:val="15"/>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良好</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可持续影响指标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征兵工作长期影响性</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反映征兵工作长期影响性</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5"/>
                <w:szCs w:val="15"/>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良好</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服务对象满意度指标</w:t>
            </w:r>
          </w:p>
        </w:tc>
        <w:tc>
          <w:tcPr>
            <w:tcW w:w="16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参军人员满意度</w:t>
            </w:r>
          </w:p>
        </w:tc>
        <w:tc>
          <w:tcPr>
            <w:tcW w:w="374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参军人员满意度</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实际调查</w:t>
            </w:r>
          </w:p>
        </w:tc>
      </w:tr>
    </w:tbl>
    <w:p>
      <w:pPr>
        <w:numPr>
          <w:ilvl w:val="0"/>
          <w:numId w:val="0"/>
        </w:numPr>
        <w:jc w:val="left"/>
        <w:outlineLvl w:val="1"/>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12.权村镇文化站免费开放专项资金</w:t>
      </w:r>
    </w:p>
    <w:tbl>
      <w:tblPr>
        <w:tblStyle w:val="9"/>
        <w:tblW w:w="146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59"/>
        <w:gridCol w:w="1874"/>
        <w:gridCol w:w="3546"/>
        <w:gridCol w:w="1135"/>
        <w:gridCol w:w="1065"/>
        <w:gridCol w:w="192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sz w:val="18"/>
                <w:szCs w:val="20"/>
                <w:lang w:val="en-US" w:eastAsia="zh-CN"/>
              </w:rPr>
              <w:t xml:space="preserve"> 权村镇文化站免费开放专项资金</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大城县权村镇人民政府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大城县权村镇人民政府</w:t>
            </w:r>
            <w:r>
              <w:rPr>
                <w:rFonts w:hint="eastAsia" w:ascii="宋体" w:hAnsi="宋体" w:cs="宋体"/>
                <w:i w:val="0"/>
                <w:iCs w:val="0"/>
                <w:color w:val="000000"/>
                <w:sz w:val="18"/>
                <w:szCs w:val="18"/>
                <w:u w:val="none"/>
                <w:lang w:eastAsia="zh-CN"/>
              </w:rPr>
              <w:t>本级</w:t>
            </w:r>
          </w:p>
        </w:tc>
        <w:tc>
          <w:tcPr>
            <w:tcW w:w="2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64" w:type="dxa"/>
            <w:gridSpan w:val="7"/>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r>
              <w:rPr>
                <w:rFonts w:hint="eastAsia"/>
                <w:sz w:val="18"/>
                <w:szCs w:val="20"/>
                <w:lang w:val="en-US" w:eastAsia="zh-CN"/>
              </w:rPr>
              <w:t>主要用于文化站组织公益性群众文化活动，举办公益性讲座和展览宣传等方面，促进群众文化事业发展，保障群众基本文化权益，面向公众提供各类科普文化知识，丰富群众生活，提高群众基本文化素质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3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rPr>
            </w:pPr>
          </w:p>
        </w:tc>
        <w:tc>
          <w:tcPr>
            <w:tcW w:w="3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19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sz w:val="18"/>
                <w:szCs w:val="20"/>
                <w:lang w:val="en-US" w:eastAsia="zh-CN"/>
              </w:rPr>
              <w:t>促进群众文化事业发展，保障群众基本文化权益，面向公众提供各类科普文化知识，丰富群众生活，提高群众基本文化素质。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8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5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8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5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数量指标</w:t>
            </w:r>
          </w:p>
        </w:tc>
        <w:tc>
          <w:tcPr>
            <w:tcW w:w="1874" w:type="dxa"/>
            <w:tcBorders>
              <w:top w:val="single" w:color="000000" w:sz="4" w:space="0"/>
              <w:left w:val="single" w:color="000000" w:sz="4" w:space="0"/>
              <w:bottom w:val="single" w:color="000000" w:sz="4" w:space="0"/>
              <w:right w:val="single" w:color="000000" w:sz="4" w:space="0"/>
            </w:tcBorders>
            <w:vAlign w:val="center"/>
          </w:tcPr>
          <w:p>
            <w:pPr>
              <w:rPr>
                <w:rFonts w:hint="eastAsia"/>
                <w:sz w:val="18"/>
                <w:szCs w:val="20"/>
                <w:lang w:val="en-US" w:eastAsia="zh-CN"/>
              </w:rPr>
            </w:pPr>
            <w:r>
              <w:rPr>
                <w:rFonts w:hint="eastAsia"/>
                <w:sz w:val="18"/>
                <w:szCs w:val="20"/>
                <w:lang w:val="en-US" w:eastAsia="zh-CN"/>
              </w:rPr>
              <w:t>年度内组织开展文化活动次数</w:t>
            </w:r>
          </w:p>
        </w:tc>
        <w:tc>
          <w:tcPr>
            <w:tcW w:w="3546" w:type="dxa"/>
            <w:tcBorders>
              <w:top w:val="single" w:color="000000" w:sz="4" w:space="0"/>
              <w:left w:val="single" w:color="000000" w:sz="4" w:space="0"/>
              <w:bottom w:val="single" w:color="000000" w:sz="4" w:space="0"/>
              <w:right w:val="single" w:color="000000" w:sz="4" w:space="0"/>
            </w:tcBorders>
            <w:vAlign w:val="top"/>
          </w:tcPr>
          <w:p>
            <w:pPr>
              <w:rPr>
                <w:rFonts w:hint="eastAsia"/>
                <w:sz w:val="18"/>
                <w:szCs w:val="20"/>
                <w:lang w:val="en-US" w:eastAsia="zh-CN"/>
              </w:rPr>
            </w:pPr>
            <w:r>
              <w:rPr>
                <w:rFonts w:hint="default"/>
                <w:sz w:val="18"/>
                <w:szCs w:val="20"/>
                <w:lang w:val="en-US" w:eastAsia="zh-CN"/>
              </w:rPr>
              <w:t>反映</w:t>
            </w:r>
            <w:r>
              <w:rPr>
                <w:rFonts w:hint="eastAsia"/>
                <w:sz w:val="18"/>
                <w:szCs w:val="20"/>
                <w:lang w:val="en-US" w:eastAsia="zh-CN"/>
              </w:rPr>
              <w:t>年度内组织开展文化活动次数</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6</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次</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质量指标</w:t>
            </w:r>
          </w:p>
        </w:tc>
        <w:tc>
          <w:tcPr>
            <w:tcW w:w="1874" w:type="dxa"/>
            <w:tcBorders>
              <w:top w:val="single" w:color="000000" w:sz="4" w:space="0"/>
              <w:left w:val="single" w:color="000000" w:sz="4" w:space="0"/>
              <w:bottom w:val="single" w:color="000000" w:sz="4" w:space="0"/>
              <w:right w:val="single" w:color="000000" w:sz="4" w:space="0"/>
            </w:tcBorders>
            <w:vAlign w:val="center"/>
          </w:tcPr>
          <w:p>
            <w:pPr>
              <w:rPr>
                <w:rFonts w:hint="eastAsia"/>
                <w:sz w:val="18"/>
                <w:szCs w:val="20"/>
                <w:lang w:val="en-US" w:eastAsia="zh-CN"/>
              </w:rPr>
            </w:pPr>
            <w:r>
              <w:rPr>
                <w:rFonts w:hint="eastAsia"/>
                <w:sz w:val="18"/>
                <w:szCs w:val="20"/>
                <w:lang w:val="en-US" w:eastAsia="zh-CN"/>
              </w:rPr>
              <w:t>组织开展文化活动质量达标率</w:t>
            </w:r>
          </w:p>
        </w:tc>
        <w:tc>
          <w:tcPr>
            <w:tcW w:w="3546" w:type="dxa"/>
            <w:tcBorders>
              <w:top w:val="single" w:color="000000" w:sz="4" w:space="0"/>
              <w:left w:val="single" w:color="000000" w:sz="4" w:space="0"/>
              <w:bottom w:val="single" w:color="000000" w:sz="4" w:space="0"/>
              <w:right w:val="single" w:color="000000" w:sz="4" w:space="0"/>
            </w:tcBorders>
            <w:vAlign w:val="top"/>
          </w:tcPr>
          <w:p>
            <w:pPr>
              <w:rPr>
                <w:rFonts w:hint="eastAsia"/>
                <w:sz w:val="18"/>
                <w:szCs w:val="20"/>
                <w:lang w:val="en-US" w:eastAsia="zh-CN"/>
              </w:rPr>
            </w:pPr>
            <w:r>
              <w:rPr>
                <w:rFonts w:hint="default"/>
                <w:sz w:val="18"/>
                <w:szCs w:val="20"/>
                <w:lang w:val="en-US" w:eastAsia="zh-CN"/>
              </w:rPr>
              <w:t>反映</w:t>
            </w:r>
            <w:r>
              <w:rPr>
                <w:rFonts w:hint="eastAsia"/>
                <w:sz w:val="18"/>
                <w:szCs w:val="20"/>
                <w:lang w:val="en-US" w:eastAsia="zh-CN"/>
              </w:rPr>
              <w:t>组织开展文化活动质量达标率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时效指标</w:t>
            </w:r>
          </w:p>
        </w:tc>
        <w:tc>
          <w:tcPr>
            <w:tcW w:w="1874" w:type="dxa"/>
            <w:tcBorders>
              <w:top w:val="single" w:color="000000" w:sz="4" w:space="0"/>
              <w:left w:val="single" w:color="000000" w:sz="4" w:space="0"/>
              <w:bottom w:val="single" w:color="000000" w:sz="4" w:space="0"/>
              <w:right w:val="single" w:color="000000" w:sz="4" w:space="0"/>
            </w:tcBorders>
            <w:vAlign w:val="center"/>
          </w:tcPr>
          <w:p>
            <w:pPr>
              <w:rPr>
                <w:rFonts w:hint="eastAsia"/>
                <w:sz w:val="18"/>
                <w:szCs w:val="20"/>
                <w:lang w:val="en-US" w:eastAsia="zh-CN"/>
              </w:rPr>
            </w:pPr>
            <w:r>
              <w:rPr>
                <w:rFonts w:hint="eastAsia"/>
                <w:sz w:val="18"/>
                <w:szCs w:val="20"/>
                <w:lang w:val="en-US" w:eastAsia="zh-CN"/>
              </w:rPr>
              <w:t>项目资金支付及时率</w:t>
            </w:r>
          </w:p>
        </w:tc>
        <w:tc>
          <w:tcPr>
            <w:tcW w:w="3546" w:type="dxa"/>
            <w:tcBorders>
              <w:top w:val="single" w:color="000000" w:sz="4" w:space="0"/>
              <w:left w:val="single" w:color="000000" w:sz="4" w:space="0"/>
              <w:bottom w:val="single" w:color="000000" w:sz="4" w:space="0"/>
              <w:right w:val="single" w:color="000000" w:sz="4" w:space="0"/>
            </w:tcBorders>
            <w:vAlign w:val="top"/>
          </w:tcPr>
          <w:p>
            <w:pPr>
              <w:rPr>
                <w:rFonts w:hint="eastAsia"/>
                <w:sz w:val="18"/>
                <w:szCs w:val="20"/>
                <w:lang w:val="en-US" w:eastAsia="zh-CN"/>
              </w:rPr>
            </w:pPr>
            <w:r>
              <w:rPr>
                <w:rFonts w:hint="default"/>
                <w:sz w:val="18"/>
                <w:szCs w:val="20"/>
                <w:lang w:val="en-US" w:eastAsia="zh-CN"/>
              </w:rPr>
              <w:t>反映</w:t>
            </w:r>
            <w:r>
              <w:rPr>
                <w:rFonts w:hint="eastAsia"/>
                <w:sz w:val="18"/>
                <w:szCs w:val="20"/>
                <w:lang w:val="en-US" w:eastAsia="zh-CN"/>
              </w:rPr>
              <w:t>项目资金支付及时率</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成本指标</w:t>
            </w:r>
          </w:p>
        </w:tc>
        <w:tc>
          <w:tcPr>
            <w:tcW w:w="1874" w:type="dxa"/>
            <w:tcBorders>
              <w:top w:val="single" w:color="000000" w:sz="4" w:space="0"/>
              <w:left w:val="single" w:color="000000" w:sz="4" w:space="0"/>
              <w:bottom w:val="single" w:color="000000" w:sz="4" w:space="0"/>
              <w:right w:val="single" w:color="000000" w:sz="4" w:space="0"/>
            </w:tcBorders>
            <w:vAlign w:val="center"/>
          </w:tcPr>
          <w:p>
            <w:pPr>
              <w:rPr>
                <w:rFonts w:hint="eastAsia"/>
                <w:sz w:val="18"/>
                <w:szCs w:val="20"/>
                <w:lang w:val="en-US" w:eastAsia="zh-CN"/>
              </w:rPr>
            </w:pPr>
            <w:r>
              <w:rPr>
                <w:rFonts w:hint="eastAsia"/>
                <w:sz w:val="18"/>
                <w:szCs w:val="20"/>
                <w:lang w:val="en-US" w:eastAsia="zh-CN"/>
              </w:rPr>
              <w:t>项目预算经费控制量</w:t>
            </w:r>
          </w:p>
        </w:tc>
        <w:tc>
          <w:tcPr>
            <w:tcW w:w="3546" w:type="dxa"/>
            <w:tcBorders>
              <w:top w:val="single" w:color="000000" w:sz="4" w:space="0"/>
              <w:left w:val="single" w:color="000000" w:sz="4" w:space="0"/>
              <w:bottom w:val="single" w:color="000000" w:sz="4" w:space="0"/>
              <w:right w:val="single" w:color="000000" w:sz="4" w:space="0"/>
            </w:tcBorders>
            <w:vAlign w:val="top"/>
          </w:tcPr>
          <w:p>
            <w:pPr>
              <w:rPr>
                <w:rFonts w:hint="eastAsia"/>
                <w:sz w:val="18"/>
                <w:szCs w:val="20"/>
                <w:lang w:val="en-US" w:eastAsia="zh-CN"/>
              </w:rPr>
            </w:pPr>
            <w:r>
              <w:rPr>
                <w:rFonts w:hint="default"/>
                <w:sz w:val="18"/>
                <w:szCs w:val="20"/>
                <w:lang w:val="en-US" w:eastAsia="zh-CN"/>
              </w:rPr>
              <w:t>反映</w:t>
            </w:r>
            <w:r>
              <w:rPr>
                <w:rFonts w:hint="eastAsia"/>
                <w:sz w:val="18"/>
                <w:szCs w:val="20"/>
                <w:lang w:val="en-US" w:eastAsia="zh-CN"/>
              </w:rPr>
              <w:t>项目预算经费控制量</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1.01</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万元</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社会效益指标</w:t>
            </w:r>
          </w:p>
        </w:tc>
        <w:tc>
          <w:tcPr>
            <w:tcW w:w="1874" w:type="dxa"/>
            <w:tcBorders>
              <w:top w:val="single" w:color="000000" w:sz="4" w:space="0"/>
              <w:left w:val="single" w:color="000000" w:sz="4" w:space="0"/>
              <w:bottom w:val="single" w:color="000000" w:sz="4" w:space="0"/>
              <w:right w:val="single" w:color="000000" w:sz="4" w:space="0"/>
            </w:tcBorders>
            <w:vAlign w:val="center"/>
          </w:tcPr>
          <w:p>
            <w:pPr>
              <w:rPr>
                <w:rFonts w:hint="eastAsia"/>
                <w:sz w:val="18"/>
                <w:szCs w:val="20"/>
                <w:lang w:val="en-US" w:eastAsia="zh-CN"/>
              </w:rPr>
            </w:pPr>
            <w:r>
              <w:rPr>
                <w:rFonts w:hint="eastAsia"/>
                <w:sz w:val="18"/>
                <w:szCs w:val="20"/>
                <w:lang w:val="en-US" w:eastAsia="zh-CN"/>
              </w:rPr>
              <w:t>文化站开放活动对社会的影响</w:t>
            </w:r>
          </w:p>
        </w:tc>
        <w:tc>
          <w:tcPr>
            <w:tcW w:w="3546" w:type="dxa"/>
            <w:tcBorders>
              <w:top w:val="single" w:color="000000" w:sz="4" w:space="0"/>
              <w:left w:val="single" w:color="000000" w:sz="4" w:space="0"/>
              <w:bottom w:val="single" w:color="000000" w:sz="4" w:space="0"/>
              <w:right w:val="single" w:color="000000" w:sz="4" w:space="0"/>
            </w:tcBorders>
            <w:vAlign w:val="top"/>
          </w:tcPr>
          <w:p>
            <w:pPr>
              <w:rPr>
                <w:rFonts w:hint="eastAsia"/>
                <w:sz w:val="18"/>
                <w:szCs w:val="20"/>
                <w:lang w:val="en-US" w:eastAsia="zh-CN"/>
              </w:rPr>
            </w:pPr>
            <w:r>
              <w:rPr>
                <w:rFonts w:hint="default"/>
                <w:sz w:val="18"/>
                <w:szCs w:val="20"/>
                <w:lang w:val="en-US" w:eastAsia="zh-CN"/>
              </w:rPr>
              <w:t>反映</w:t>
            </w:r>
            <w:r>
              <w:rPr>
                <w:rFonts w:hint="eastAsia"/>
                <w:sz w:val="18"/>
                <w:szCs w:val="20"/>
                <w:lang w:val="en-US" w:eastAsia="zh-CN"/>
              </w:rPr>
              <w:t>文化站开放活动对社会的影响</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良好</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可持续影响指标</w:t>
            </w:r>
          </w:p>
        </w:tc>
        <w:tc>
          <w:tcPr>
            <w:tcW w:w="1874" w:type="dxa"/>
            <w:tcBorders>
              <w:top w:val="single" w:color="000000" w:sz="4" w:space="0"/>
              <w:left w:val="single" w:color="000000" w:sz="4" w:space="0"/>
              <w:bottom w:val="single" w:color="000000" w:sz="4" w:space="0"/>
              <w:right w:val="single" w:color="000000" w:sz="4" w:space="0"/>
            </w:tcBorders>
            <w:vAlign w:val="center"/>
          </w:tcPr>
          <w:p>
            <w:pPr>
              <w:rPr>
                <w:rFonts w:hint="eastAsia"/>
                <w:sz w:val="18"/>
                <w:szCs w:val="20"/>
                <w:lang w:val="en-US" w:eastAsia="zh-CN"/>
              </w:rPr>
            </w:pPr>
            <w:r>
              <w:rPr>
                <w:rFonts w:hint="eastAsia"/>
                <w:sz w:val="18"/>
                <w:szCs w:val="20"/>
                <w:lang w:val="en-US" w:eastAsia="zh-CN"/>
              </w:rPr>
              <w:t>项目建设能否长期满足村民对精神文化的需求</w:t>
            </w:r>
          </w:p>
        </w:tc>
        <w:tc>
          <w:tcPr>
            <w:tcW w:w="3546" w:type="dxa"/>
            <w:tcBorders>
              <w:top w:val="single" w:color="000000" w:sz="4" w:space="0"/>
              <w:left w:val="single" w:color="000000" w:sz="4" w:space="0"/>
              <w:bottom w:val="single" w:color="000000" w:sz="4" w:space="0"/>
              <w:right w:val="single" w:color="000000" w:sz="4" w:space="0"/>
            </w:tcBorders>
            <w:vAlign w:val="top"/>
          </w:tcPr>
          <w:p>
            <w:pPr>
              <w:rPr>
                <w:rFonts w:hint="eastAsia"/>
                <w:sz w:val="18"/>
                <w:szCs w:val="20"/>
                <w:lang w:val="en-US" w:eastAsia="zh-CN"/>
              </w:rPr>
            </w:pPr>
            <w:r>
              <w:rPr>
                <w:rFonts w:hint="default"/>
                <w:sz w:val="18"/>
                <w:szCs w:val="20"/>
                <w:lang w:val="en-US" w:eastAsia="zh-CN"/>
              </w:rPr>
              <w:t>反映</w:t>
            </w:r>
            <w:r>
              <w:rPr>
                <w:rFonts w:hint="eastAsia"/>
                <w:sz w:val="18"/>
                <w:szCs w:val="20"/>
                <w:lang w:val="en-US" w:eastAsia="zh-CN"/>
              </w:rPr>
              <w:t>项目建设能否长期满足村民对精神文化的需求</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文字描述</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良好</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服务对象满意度指标</w:t>
            </w:r>
          </w:p>
        </w:tc>
        <w:tc>
          <w:tcPr>
            <w:tcW w:w="1874" w:type="dxa"/>
            <w:tcBorders>
              <w:top w:val="single" w:color="000000" w:sz="4" w:space="0"/>
              <w:left w:val="single" w:color="000000" w:sz="4" w:space="0"/>
              <w:bottom w:val="single" w:color="000000" w:sz="4" w:space="0"/>
              <w:right w:val="single" w:color="000000" w:sz="4" w:space="0"/>
            </w:tcBorders>
            <w:vAlign w:val="center"/>
          </w:tcPr>
          <w:p>
            <w:pPr>
              <w:rPr>
                <w:rFonts w:hint="eastAsia"/>
                <w:sz w:val="18"/>
                <w:szCs w:val="20"/>
                <w:lang w:val="en-US" w:eastAsia="zh-CN"/>
              </w:rPr>
            </w:pPr>
            <w:r>
              <w:rPr>
                <w:rFonts w:hint="eastAsia"/>
                <w:sz w:val="18"/>
                <w:szCs w:val="20"/>
                <w:lang w:val="en-US" w:eastAsia="zh-CN"/>
              </w:rPr>
              <w:t>公众满意度</w:t>
            </w:r>
          </w:p>
        </w:tc>
        <w:tc>
          <w:tcPr>
            <w:tcW w:w="3546" w:type="dxa"/>
            <w:tcBorders>
              <w:top w:val="single" w:color="000000" w:sz="4" w:space="0"/>
              <w:left w:val="single" w:color="000000" w:sz="4" w:space="0"/>
              <w:bottom w:val="single" w:color="000000" w:sz="4" w:space="0"/>
              <w:right w:val="single" w:color="000000" w:sz="4" w:space="0"/>
            </w:tcBorders>
            <w:vAlign w:val="top"/>
          </w:tcPr>
          <w:p>
            <w:pPr>
              <w:rPr>
                <w:rFonts w:hint="eastAsia"/>
                <w:sz w:val="18"/>
                <w:szCs w:val="20"/>
                <w:lang w:val="en-US" w:eastAsia="zh-CN"/>
              </w:rPr>
            </w:pPr>
            <w:r>
              <w:rPr>
                <w:rFonts w:hint="eastAsia"/>
                <w:sz w:val="18"/>
                <w:szCs w:val="20"/>
                <w:lang w:val="en-US" w:eastAsia="zh-CN"/>
              </w:rPr>
              <w:t>反映群众满意度</w:t>
            </w:r>
          </w:p>
        </w:tc>
        <w:tc>
          <w:tcPr>
            <w:tcW w:w="113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w:t>
            </w:r>
          </w:p>
        </w:tc>
        <w:tc>
          <w:tcPr>
            <w:tcW w:w="10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19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w:t>
            </w:r>
          </w:p>
        </w:tc>
        <w:tc>
          <w:tcPr>
            <w:tcW w:w="196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0"/>
                <w:szCs w:val="20"/>
                <w:u w:val="none"/>
                <w:lang w:val="en-US"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1"/>
    </w:p>
    <w:p>
      <w:pPr>
        <w:pStyle w:val="2"/>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4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1"/>
        <w:gridCol w:w="1035"/>
        <w:gridCol w:w="1397"/>
        <w:gridCol w:w="1397"/>
        <w:gridCol w:w="647"/>
        <w:gridCol w:w="828"/>
        <w:gridCol w:w="831"/>
        <w:gridCol w:w="1034"/>
        <w:gridCol w:w="1034"/>
        <w:gridCol w:w="1034"/>
        <w:gridCol w:w="1034"/>
        <w:gridCol w:w="1034"/>
        <w:gridCol w:w="1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tblHeader/>
          <w:jc w:val="center"/>
        </w:trPr>
        <w:tc>
          <w:tcPr>
            <w:tcW w:w="7946" w:type="dxa"/>
            <w:gridSpan w:val="7"/>
            <w:tcBorders>
              <w:top w:val="single" w:color="FFFFFF" w:sz="6" w:space="0"/>
              <w:left w:val="single" w:color="FFFFFF" w:sz="6" w:space="0"/>
              <w:right w:val="single" w:color="FFFFFF" w:sz="6" w:space="0"/>
            </w:tcBorders>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权村镇人民政府</w:t>
            </w:r>
          </w:p>
        </w:tc>
        <w:tc>
          <w:tcPr>
            <w:tcW w:w="6213"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tblHeader/>
          <w:jc w:val="center"/>
        </w:trPr>
        <w:tc>
          <w:tcPr>
            <w:tcW w:w="2846" w:type="dxa"/>
            <w:gridSpan w:val="2"/>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39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39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64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828"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8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213" w:type="dxa"/>
            <w:gridSpan w:val="6"/>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8" w:hRule="atLeast"/>
          <w:tblHeader/>
          <w:jc w:val="center"/>
        </w:trPr>
        <w:tc>
          <w:tcPr>
            <w:tcW w:w="1811"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035"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397" w:type="dxa"/>
            <w:vMerge w:val="continue"/>
            <w:vAlign w:val="center"/>
          </w:tcPr>
          <w:p/>
        </w:tc>
        <w:tc>
          <w:tcPr>
            <w:tcW w:w="1397" w:type="dxa"/>
            <w:vMerge w:val="continue"/>
            <w:vAlign w:val="center"/>
          </w:tcPr>
          <w:p/>
        </w:tc>
        <w:tc>
          <w:tcPr>
            <w:tcW w:w="647" w:type="dxa"/>
            <w:vMerge w:val="continue"/>
            <w:vAlign w:val="center"/>
          </w:tcPr>
          <w:p/>
        </w:tc>
        <w:tc>
          <w:tcPr>
            <w:tcW w:w="828" w:type="dxa"/>
            <w:vMerge w:val="continue"/>
            <w:vAlign w:val="center"/>
          </w:tcPr>
          <w:p/>
        </w:tc>
        <w:tc>
          <w:tcPr>
            <w:tcW w:w="831" w:type="dxa"/>
            <w:vMerge w:val="continue"/>
            <w:vAlign w:val="center"/>
          </w:tcP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043"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center"/>
              <w:rPr>
                <w:rFonts w:ascii="方正书宋_GBK" w:eastAsia="方正书宋_GBK" w:cs="Times New Roman"/>
                <w:b/>
              </w:rPr>
            </w:pPr>
          </w:p>
        </w:tc>
        <w:tc>
          <w:tcPr>
            <w:tcW w:w="1035" w:type="dxa"/>
            <w:vAlign w:val="center"/>
          </w:tcPr>
          <w:p>
            <w:pPr>
              <w:spacing w:line="300" w:lineRule="exact"/>
              <w:jc w:val="right"/>
              <w:rPr>
                <w:rFonts w:ascii="方正书宋_GBK" w:eastAsia="方正书宋_GBK" w:cs="Times New Roman"/>
                <w:b/>
              </w:rPr>
            </w:pPr>
          </w:p>
        </w:tc>
        <w:tc>
          <w:tcPr>
            <w:tcW w:w="1397" w:type="dxa"/>
            <w:vAlign w:val="center"/>
          </w:tcPr>
          <w:p>
            <w:pPr>
              <w:spacing w:line="300" w:lineRule="exact"/>
              <w:jc w:val="left"/>
              <w:rPr>
                <w:rFonts w:ascii="方正书宋_GBK" w:eastAsia="方正书宋_GBK" w:cs="Times New Roman"/>
                <w:b/>
              </w:rPr>
            </w:pPr>
          </w:p>
        </w:tc>
        <w:tc>
          <w:tcPr>
            <w:tcW w:w="1397" w:type="dxa"/>
            <w:vAlign w:val="center"/>
          </w:tcPr>
          <w:p>
            <w:pPr>
              <w:spacing w:line="300" w:lineRule="exact"/>
              <w:jc w:val="left"/>
              <w:rPr>
                <w:rFonts w:ascii="方正书宋_GBK" w:eastAsia="方正书宋_GBK" w:cs="Times New Roman"/>
                <w:b/>
              </w:rPr>
            </w:pPr>
          </w:p>
        </w:tc>
        <w:tc>
          <w:tcPr>
            <w:tcW w:w="647" w:type="dxa"/>
            <w:vAlign w:val="center"/>
          </w:tcPr>
          <w:p>
            <w:pPr>
              <w:spacing w:line="300" w:lineRule="exact"/>
              <w:jc w:val="center"/>
              <w:rPr>
                <w:rFonts w:ascii="方正书宋_GBK" w:eastAsia="方正书宋_GBK" w:cs="Times New Roman"/>
                <w:b/>
              </w:rPr>
            </w:pPr>
          </w:p>
        </w:tc>
        <w:tc>
          <w:tcPr>
            <w:tcW w:w="828" w:type="dxa"/>
            <w:vAlign w:val="center"/>
          </w:tcPr>
          <w:p>
            <w:pPr>
              <w:spacing w:line="300" w:lineRule="exact"/>
              <w:jc w:val="right"/>
              <w:rPr>
                <w:rFonts w:ascii="方正书宋_GBK" w:eastAsia="方正书宋_GBK" w:cs="Times New Roman"/>
                <w:b/>
              </w:rPr>
            </w:pPr>
          </w:p>
        </w:tc>
        <w:tc>
          <w:tcPr>
            <w:tcW w:w="831"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43"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center"/>
              <w:rPr>
                <w:rFonts w:ascii="方正书宋_GBK" w:eastAsia="方正书宋_GBK" w:cs="Times New Roman"/>
                <w:b/>
              </w:rPr>
            </w:pPr>
          </w:p>
        </w:tc>
        <w:tc>
          <w:tcPr>
            <w:tcW w:w="1035" w:type="dxa"/>
            <w:vAlign w:val="center"/>
          </w:tcPr>
          <w:p>
            <w:pPr>
              <w:spacing w:line="300" w:lineRule="exact"/>
              <w:jc w:val="right"/>
              <w:rPr>
                <w:rFonts w:ascii="方正书宋_GBK" w:eastAsia="方正书宋_GBK" w:cs="Times New Roman"/>
                <w:b/>
              </w:rPr>
            </w:pPr>
          </w:p>
        </w:tc>
        <w:tc>
          <w:tcPr>
            <w:tcW w:w="1397" w:type="dxa"/>
            <w:vAlign w:val="center"/>
          </w:tcPr>
          <w:p>
            <w:pPr>
              <w:spacing w:line="300" w:lineRule="exact"/>
              <w:jc w:val="left"/>
              <w:rPr>
                <w:rFonts w:ascii="方正书宋_GBK" w:eastAsia="方正书宋_GBK" w:cs="Times New Roman"/>
                <w:b/>
              </w:rPr>
            </w:pPr>
          </w:p>
        </w:tc>
        <w:tc>
          <w:tcPr>
            <w:tcW w:w="1397" w:type="dxa"/>
            <w:vAlign w:val="center"/>
          </w:tcPr>
          <w:p>
            <w:pPr>
              <w:spacing w:line="300" w:lineRule="exact"/>
              <w:jc w:val="left"/>
              <w:rPr>
                <w:rFonts w:ascii="方正书宋_GBK" w:eastAsia="方正书宋_GBK" w:cs="Times New Roman"/>
                <w:b/>
              </w:rPr>
            </w:pPr>
          </w:p>
        </w:tc>
        <w:tc>
          <w:tcPr>
            <w:tcW w:w="647" w:type="dxa"/>
            <w:vAlign w:val="center"/>
          </w:tcPr>
          <w:p>
            <w:pPr>
              <w:spacing w:line="300" w:lineRule="exact"/>
              <w:jc w:val="center"/>
              <w:rPr>
                <w:rFonts w:ascii="方正书宋_GBK" w:eastAsia="方正书宋_GBK" w:cs="Times New Roman"/>
                <w:b/>
              </w:rPr>
            </w:pPr>
          </w:p>
        </w:tc>
        <w:tc>
          <w:tcPr>
            <w:tcW w:w="828" w:type="dxa"/>
            <w:vAlign w:val="center"/>
          </w:tcPr>
          <w:p>
            <w:pPr>
              <w:spacing w:line="300" w:lineRule="exact"/>
              <w:jc w:val="right"/>
              <w:rPr>
                <w:rFonts w:ascii="方正书宋_GBK" w:eastAsia="方正书宋_GBK" w:cs="Times New Roman"/>
                <w:b/>
              </w:rPr>
            </w:pPr>
          </w:p>
        </w:tc>
        <w:tc>
          <w:tcPr>
            <w:tcW w:w="831"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43"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6"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bl>
    <w:p>
      <w:pPr>
        <w:pStyle w:val="2"/>
        <w:rPr>
          <w:rFonts w:hint="eastAsia" w:eastAsia="微软雅黑"/>
          <w:sz w:val="21"/>
          <w:szCs w:val="21"/>
          <w:lang w:eastAsia="zh-CN"/>
        </w:rPr>
      </w:pPr>
      <w:r>
        <w:rPr>
          <w:rFonts w:hint="eastAsia"/>
          <w:sz w:val="21"/>
          <w:szCs w:val="21"/>
          <w:lang w:eastAsia="zh-CN"/>
        </w:rPr>
        <w:t>注：无部门政府采购预算，空表列示。</w:t>
      </w:r>
    </w:p>
    <w:p>
      <w:pPr>
        <w:spacing w:line="584" w:lineRule="exact"/>
        <w:ind w:firstLine="640" w:firstLineChars="200"/>
        <w:outlineLvl w:val="0"/>
        <w:rPr>
          <w:rFonts w:ascii="Times New Roman" w:hAnsi="Times New Roman" w:eastAsia="仿宋_GB2312" w:cs="Times New Roman"/>
          <w:sz w:val="32"/>
          <w:szCs w:val="2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大城县权村镇人民政府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436.99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_GB2312" w:hAnsi="黑体" w:eastAsia="仿宋_GB2312" w:cs="Times New Roman"/>
          <w:b w:val="0"/>
          <w:bCs w:val="0"/>
          <w:color w:val="auto"/>
          <w:sz w:val="32"/>
          <w:szCs w:val="32"/>
          <w:lang w:eastAsia="zh-CN"/>
        </w:rPr>
        <w:t>本年度</w:t>
      </w:r>
      <w:r>
        <w:rPr>
          <w:rFonts w:ascii="仿宋_GB2312" w:hAnsi="黑体" w:eastAsia="仿宋_GB2312" w:cs="Times New Roman"/>
          <w:b w:val="0"/>
          <w:bCs w:val="0"/>
          <w:color w:val="auto"/>
          <w:sz w:val="32"/>
          <w:szCs w:val="32"/>
        </w:rPr>
        <w:t>我部门无新增固定资产计划</w:t>
      </w:r>
      <w:r>
        <w:rPr>
          <w:rFonts w:ascii="Times New Roman" w:hAnsi="Times New Roman" w:eastAsia="仿宋_GB2312" w:cs="Times New Roman"/>
          <w:sz w:val="32"/>
          <w:szCs w:val="32"/>
        </w:rPr>
        <w:t>。</w:t>
      </w:r>
    </w:p>
    <w:tbl>
      <w:tblPr>
        <w:tblStyle w:val="9"/>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大城县权村镇人民政府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436.99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3070</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3050</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88.32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WMzODQ4ZmM5ZWIwMjA0OWY3ZDUxOThjNzY4ZjhlNmMifQ=="/>
  </w:docVars>
  <w:rsids>
    <w:rsidRoot w:val="00D347CC"/>
    <w:rsid w:val="004A54AA"/>
    <w:rsid w:val="00B80935"/>
    <w:rsid w:val="00D347CC"/>
    <w:rsid w:val="02093E73"/>
    <w:rsid w:val="02732F88"/>
    <w:rsid w:val="02B70580"/>
    <w:rsid w:val="0DC416D0"/>
    <w:rsid w:val="0EF5468B"/>
    <w:rsid w:val="109E653B"/>
    <w:rsid w:val="23EF3090"/>
    <w:rsid w:val="24843CD9"/>
    <w:rsid w:val="25AC2667"/>
    <w:rsid w:val="26881206"/>
    <w:rsid w:val="27FB020E"/>
    <w:rsid w:val="2A542B10"/>
    <w:rsid w:val="2C6C36C8"/>
    <w:rsid w:val="34B025C1"/>
    <w:rsid w:val="36113FC2"/>
    <w:rsid w:val="3C32085B"/>
    <w:rsid w:val="3CF07978"/>
    <w:rsid w:val="3F8A033F"/>
    <w:rsid w:val="413F237A"/>
    <w:rsid w:val="434A406F"/>
    <w:rsid w:val="46E71798"/>
    <w:rsid w:val="48205DCD"/>
    <w:rsid w:val="4DAC7E5D"/>
    <w:rsid w:val="4F750978"/>
    <w:rsid w:val="506640F7"/>
    <w:rsid w:val="55E73D2F"/>
    <w:rsid w:val="56823062"/>
    <w:rsid w:val="59194A38"/>
    <w:rsid w:val="5A343A92"/>
    <w:rsid w:val="5F967413"/>
    <w:rsid w:val="63D14E9F"/>
    <w:rsid w:val="687C0C91"/>
    <w:rsid w:val="68AD08CA"/>
    <w:rsid w:val="69B60547"/>
    <w:rsid w:val="6A0B63B3"/>
    <w:rsid w:val="6BE73775"/>
    <w:rsid w:val="6C7E42C1"/>
    <w:rsid w:val="6D0D4676"/>
    <w:rsid w:val="6D686D7A"/>
    <w:rsid w:val="70BB2FFE"/>
    <w:rsid w:val="75901DEC"/>
    <w:rsid w:val="79BF63DC"/>
    <w:rsid w:val="7A3A3474"/>
    <w:rsid w:val="7A411B9B"/>
    <w:rsid w:val="7CF20C86"/>
    <w:rsid w:val="7D6A55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微软雅黑" w:hAnsi="微软雅黑" w:eastAsia="微软雅黑" w:cs="微软雅黑"/>
      <w:sz w:val="32"/>
      <w:szCs w:val="32"/>
      <w:lang w:val="zh-CN" w:eastAsia="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p0"/>
    <w:basedOn w:val="1"/>
    <w:qFormat/>
    <w:uiPriority w:val="0"/>
    <w:pPr>
      <w:ind w:firstLine="420"/>
    </w:pPr>
    <w:rPr>
      <w:sz w:val="20"/>
    </w:rPr>
  </w:style>
  <w:style w:type="paragraph" w:customStyle="1" w:styleId="14">
    <w:name w:val="Body Text"/>
    <w:basedOn w:val="1"/>
    <w:qFormat/>
    <w:uiPriority w:val="0"/>
    <w:pPr>
      <w:spacing w:after="120"/>
    </w:pPr>
  </w:style>
  <w:style w:type="paragraph" w:customStyle="1" w:styleId="15">
    <w:name w:val="Heading 2"/>
    <w:basedOn w:val="1"/>
    <w:qFormat/>
    <w:uiPriority w:val="0"/>
    <w:pPr>
      <w:ind w:left="760"/>
    </w:pPr>
    <w:rPr>
      <w:rFonts w:ascii="微软雅黑" w:hAnsi="微软雅黑" w:eastAsia="微软雅黑"/>
      <w:b/>
      <w:sz w:val="32"/>
    </w:rPr>
  </w:style>
  <w:style w:type="character" w:customStyle="1" w:styleId="16">
    <w:name w:val="font41"/>
    <w:basedOn w:val="10"/>
    <w:qFormat/>
    <w:uiPriority w:val="0"/>
    <w:rPr>
      <w:rFonts w:hint="default" w:ascii="Calibri" w:hAnsi="Calibri" w:cs="Calibri"/>
      <w:color w:val="000000"/>
      <w:sz w:val="18"/>
      <w:szCs w:val="18"/>
      <w:u w:val="none"/>
    </w:rPr>
  </w:style>
  <w:style w:type="character" w:customStyle="1" w:styleId="17">
    <w:name w:val="font31"/>
    <w:basedOn w:val="1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30</Pages>
  <Words>13728</Words>
  <Characters>14471</Characters>
  <Lines>23</Lines>
  <Paragraphs>6</Paragraphs>
  <TotalTime>1</TotalTime>
  <ScaleCrop>false</ScaleCrop>
  <LinksUpToDate>false</LinksUpToDate>
  <CharactersWithSpaces>14540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石头</cp:lastModifiedBy>
  <cp:lastPrinted>2022-03-30T00:52:00Z</cp:lastPrinted>
  <dcterms:modified xsi:type="dcterms:W3CDTF">2024-01-18T03:18:06Z</dcterms:modified>
  <dc:title>大城县权村镇人民政府2022年部门预算信息公开情况说明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E8F324BF07EC42B0B2159CBB4BE17433</vt:lpwstr>
  </property>
</Properties>
</file>