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大城县发展和改革局本级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大城县发展和改革局本级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1、拟订并组织实施全县国民经济和社会发展战略、中长期规划和年度计划。牵头组织统一规划体系建设。负责县级专项规划、区域规划、空间规划与上下级发展规划的统筹衔接。拟订规范性文件。</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2、提出加快建设全县现代化经济体系、推动高质量发展的总体目标、重大任务以及相关政策。组织开展重大战略规划、重大政策、重大工程等的评估督导，提出相关调整建议。</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3、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4、指导推进和综合协调经济体制改革有关工作，提出相关改革建议。牵头推进供给侧结构性改革。协调推进产权制度和要素市场化配置改革。落实国家完善基本经济制度政策，推进现代化市场体系建设，会同有关部门组织实施市场准入负面清单制度。牵头推进优化营商环境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5、提出全县利用外资和境外投资的战略、规划、总量平衡和结构优化政策。牵头推进实施全县“一带一路”建设有关工作。承担统筹协调走出去有关工作。负责全县全口径外债的总量控制、结构优化和监测工作。会同有关部门贯彻落实国家外商投资准入负面清单。</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6、负责全县投资综合管理。拟订全县固定资产投资总规模、结构调控目标和政策，执行上级拟订的政府投资项目审批权限和政府核准的固定资产投资项目目录。安排县级预算内基本建设资金和有关发展性专项资金，按规定权限审批（审核）、备案固定资产投资项目，同时做好审批、审核、核准的监督管理工作。规划全县重点建设项目和生产力布局，组织推动重点建设项目。拟订并推动落实鼓励民间投资政策措施。</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7、推进落实区域协调发展战略、新型城镇化战略和重大政策，组织拟订相关区域规划和政策。按要求做好京津冀协同发展等区域发展战略的相关工作。统筹协调区域合作和对口支援工作。组织编制并推动实施新型城镇化规划。</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8、组织贯彻实施国家产业政策，拟订全县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9、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10、跟踪研判涉及经济安全、生态安全、资源安全、科技安全、社会安全等各类风险隐患，提出相关工作建议。协调落实重要工业品、原材料和重要农产品进出口调控措施。会同有关部门拟订全县储备物资品种目录、总体发展规划。</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11、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12、推进实施可持续发展战略，推动生态文明建设和改革，协调生态环境保护与修复、能源资源节约和综合利用等工作。提出健全生态保护补偿机制的政策措施，综合协调环保产业和清洁生产促进有关工作。组织实施省、市下达的能源节约消费控制目标、任务。</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13、组织拟订推进全县经济建设与国防建设协调发展的战略和规划，组织推进经济建设项目贯彻国防要求。</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14、承担县委财经委员会、县推进京津冀协同发展工作领导小组、县重点建设领导小组、县服务支持雄安新区规划建设推进工作领导小组等有关具体工作。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15、组织落实国家、省、市有关粮食流通和物资储备的法律、法规和政策。拟订粮食流通、粮食储备和物资储备的政策和制度并组织实施。指导全县粮食流通和物资储备体制改革。落实国家、省、市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粮食和物资储备规划、储备品种目录建议，组织实施粮食、食糖和救灾物资等物资的收储、轮换和日常管理，落实有关动用计划和指令。负责贯彻落实国家粮食和物资储备仓储管理有关技术标准和规范。负责粮食流通、加工行业安全生产的监督管理，承担县级粮食、食糖和救灾物资等物资承储企业以及物资储备承储单位安全生产的监管责任。负责县级粮食、食糖和救灾物资等物资储备基础设施建设和管理。拟订粮食流通设施建设规划并组织实施，管理有关储备基础设施和粮食流通设施投资项目。负责对粮食、食糖和救灾物资等物资储备的数量、质量和储存安全实施监督管理，对其他部门管理的物资储备进行监督指导。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16、提出能源发展战略的建议，拟订能源发展规划、产业政策和年度指导计划并组织实施。推进能源体制改革，协调能源发展和改革中的重大问题。组织实施煤炭、石油、天然气、电力、新能源和可再生能源等能源，以及炼油、煤制燃料和生物质液体等燃料的产业政策和相关标准。按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组织推进能源国际合作。参与拟订与能源相关的资源、财税、环保及应对气候变化等政策，提出能源价格调整建议。</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 xml:space="preserve">17、拟订并组织实施全县商务发展规划、政策措施和年度安排，监测分析全县商务运行情况。提出流通体制改革建议，推进流通产业结构调整，指导流通企业改革，组织实施重要生产资料流通管理。按有关规定对特殊流通行业进行监督管理。 </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18、执行国家制定的进出口商品、加工贸易管理办法和进出口商品、技术目录。贯彻执行国家、省、市对外技术贸易、进出口管制以及鼓励技术和成套设备进出口的贸易政策。贯彻执行国家、省、市利用外资法律法规规章和外商投资产业政策。综合协调、指导国家级、省级经济开发区有关工作。负责全县对外经济合作工作。配合上级商务部门调查国（境）外对我国出口商品实施的歧视性贸易政策、法律法规及做法。负责全县会展业促进与管理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19、负责全县口岸规划、建设、开放和管理工作。</w:t>
      </w:r>
    </w:p>
    <w:p>
      <w:pPr>
        <w:keepNext/>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0"/>
        <w:rPr>
          <w:rFonts w:ascii="仿宋_GB2312" w:eastAsia="仿宋_GB2312" w:cs="Arial Black"/>
          <w:kern w:val="0"/>
          <w:sz w:val="32"/>
          <w:szCs w:val="32"/>
        </w:rPr>
      </w:pPr>
      <w:r>
        <w:rPr>
          <w:rFonts w:hint="eastAsia" w:ascii="仿宋_GB2312" w:eastAsia="仿宋_GB2312" w:cs="Arial Black"/>
          <w:kern w:val="0"/>
          <w:sz w:val="32"/>
          <w:szCs w:val="32"/>
        </w:rPr>
        <w:t>20、完成县委、县政府交办的其他任务。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大城县发展和改革局本级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4954.45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1954.45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w:t>
      </w:r>
      <w:r>
        <w:rPr>
          <w:rFonts w:hint="eastAsia" w:ascii="仿宋_GB2312" w:hAnsi="仿宋_GB2312" w:eastAsia="仿宋_GB2312" w:cs="仿宋_GB2312"/>
          <w:sz w:val="32"/>
          <w:szCs w:val="32"/>
          <w:lang w:eastAsia="zh-CN"/>
        </w:rPr>
        <w:t>大城县</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预算中支出预算的总体情况。2023年支出预算</w:t>
      </w:r>
      <w:r>
        <w:rPr>
          <w:rFonts w:hint="eastAsia" w:ascii="仿宋_GB2312" w:hAnsi="仿宋_GB2312" w:eastAsia="仿宋_GB2312" w:cs="仿宋_GB2312"/>
          <w:sz w:val="32"/>
          <w:szCs w:val="32"/>
          <w:lang w:val="en-US" w:eastAsia="zh-CN"/>
        </w:rPr>
        <w:t>4954.45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1914</w:t>
      </w:r>
      <w:r>
        <w:rPr>
          <w:rFonts w:hint="eastAsia" w:ascii="仿宋_GB2312" w:hAnsi="仿宋_GB2312" w:eastAsia="仿宋_GB2312" w:cs="仿宋_GB2312"/>
          <w:sz w:val="32"/>
          <w:szCs w:val="32"/>
        </w:rPr>
        <w:t>万元，包括人员类项目经费</w:t>
      </w:r>
      <w:r>
        <w:rPr>
          <w:rFonts w:hint="eastAsia" w:ascii="仿宋_GB2312" w:hAnsi="仿宋_GB2312" w:eastAsia="仿宋_GB2312" w:cs="仿宋_GB2312"/>
          <w:sz w:val="32"/>
          <w:szCs w:val="32"/>
          <w:lang w:val="en-US" w:eastAsia="zh-CN"/>
        </w:rPr>
        <w:t>1826.7</w:t>
      </w:r>
      <w:r>
        <w:rPr>
          <w:rFonts w:hint="eastAsia" w:ascii="仿宋_GB2312" w:hAnsi="仿宋_GB2312" w:eastAsia="仿宋_GB2312" w:cs="仿宋_GB2312"/>
          <w:sz w:val="32"/>
          <w:szCs w:val="32"/>
        </w:rPr>
        <w:t>万元和运转类公用项目经费</w:t>
      </w:r>
      <w:r>
        <w:rPr>
          <w:rFonts w:hint="eastAsia" w:ascii="仿宋_GB2312" w:hAnsi="仿宋_GB2312" w:eastAsia="仿宋_GB2312" w:cs="仿宋_GB2312"/>
          <w:sz w:val="32"/>
          <w:szCs w:val="32"/>
          <w:lang w:val="en-US" w:eastAsia="zh-CN"/>
        </w:rPr>
        <w:t>87.31</w:t>
      </w:r>
      <w:r>
        <w:rPr>
          <w:rFonts w:hint="eastAsia" w:ascii="仿宋_GB2312" w:hAnsi="仿宋_GB2312" w:eastAsia="仿宋_GB2312" w:cs="仿宋_GB2312"/>
          <w:sz w:val="32"/>
          <w:szCs w:val="32"/>
        </w:rPr>
        <w:t>万元；运转类其他及特定目标类项目支出</w:t>
      </w:r>
      <w:r>
        <w:rPr>
          <w:rFonts w:hint="eastAsia" w:ascii="仿宋_GB2312" w:hAnsi="仿宋_GB2312" w:eastAsia="仿宋_GB2312" w:cs="仿宋_GB2312"/>
          <w:sz w:val="32"/>
          <w:szCs w:val="32"/>
          <w:lang w:val="en-US" w:eastAsia="zh-CN"/>
        </w:rPr>
        <w:t>3040.45</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val="en-US" w:eastAsia="zh-CN"/>
        </w:rPr>
        <w:t>2023年天然气应急保障项目资金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98年前县级负担财务挂账利息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2023年建档立卡脱贫户生产生活补助金</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4954.45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212.4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color w:val="auto"/>
          <w:sz w:val="32"/>
          <w:szCs w:val="32"/>
          <w:highlight w:val="none"/>
          <w:lang w:val="en-US" w:eastAsia="zh-CN"/>
        </w:rPr>
        <w:t>433.04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220.64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精准招商项目资金、粮油质检站运营</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87.31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主要原因是</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w:t>
      </w:r>
      <w:r>
        <w:rPr>
          <w:rFonts w:hint="eastAsia" w:ascii="Times New Roman" w:hAnsi="Times New Roman" w:eastAsia="仿宋_GB2312" w:cs="Times New Roman"/>
          <w:sz w:val="32"/>
          <w:szCs w:val="32"/>
          <w:lang w:eastAsia="zh-CN"/>
        </w:rPr>
        <w:t>是</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一是加强固投调度，确保完成目标任务。加大招商引资力度，争取招大商、招好商并加速项目落地；推进库内现有项目</w:t>
      </w:r>
      <w:r>
        <w:rPr>
          <w:rFonts w:hint="eastAsia" w:ascii="Times New Roman" w:hAnsi="Times New Roman" w:eastAsia="仿宋_GB2312" w:cs="Times New Roman"/>
          <w:sz w:val="32"/>
          <w:szCs w:val="32"/>
          <w:lang w:eastAsia="zh-CN"/>
        </w:rPr>
        <w:t>，</w:t>
      </w:r>
      <w:bookmarkStart w:id="2" w:name="_GoBack"/>
      <w:bookmarkEnd w:id="2"/>
      <w:r>
        <w:rPr>
          <w:rFonts w:hint="eastAsia" w:ascii="Times New Roman" w:hAnsi="Times New Roman" w:eastAsia="仿宋_GB2312" w:cs="Times New Roman"/>
          <w:sz w:val="32"/>
          <w:szCs w:val="32"/>
        </w:rPr>
        <w:t>特别是基础设施项目、债券项目加快实施；继续落实县领导提出的“五十百”项目入库目标；发挥考核指挥棒作用，定期量晒各镇区排名及库内项目情况，实现各镇区加压奋进。二是做好省市重点项目申列工作。筛选一批大项目、好项目，协助项目单位完善项目前期手续，及时上报申列省市重点项目，用足用好上级支持政策。三是加强项目督导服务。对重点项目加大服务力度，实施重点项目领导包联制度，协助项目单位加快项目相关手续办理进程，保障项目顺利推进。四是做好能源供应，保障全县生产生活用气。继续做好津华原油管道进行巡查以及保护宣传工作；继续做好碳达峰、碳中和以及节能宣传工作；继续做好取暖季天然气保供工作，确保全县居民温暖过冬；继续做好对相关企业的节能监察工作。五是围绕粮食安全责任，提高粮食工作水平。按照市设定的考核指标，扎实做好2022年度粮食安全省长责任制考核县级自评工作。确保我县2022年度粮安考核工作进位争先，保持优秀。六是建成增强型县域商业体系。以县城为中心、乡镇为重点、村为基础，分工合理、布局完善的一体化县域商业网络体系。改造提升县城综合商贸服务中心1个。新建改造乡镇商贸中心10个。七是进一步培育壮大限上商贸企业。完善零售额亿元以上企业台账，明确基本情况、存在问题和下步举措，与企业对接月度入统计划，及时帮助企业解决运行堵点、难点问题。抓好重点限上企业。组织力量跟踪限上商贸流通企业发展，加大对企业帮扶力度，查漏补缺，做到统而不漏，确保社会消费品零售额稳步增长。</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w:t>
      </w:r>
      <w:r>
        <w:rPr>
          <w:rFonts w:ascii="楷体_GB2312" w:hAnsi="楷体_GB2312" w:eastAsia="楷体_GB2312"/>
          <w:b/>
        </w:rPr>
        <w:t>年度经济社会发展计划编制</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编制完成年度国民经济和社会发展计划报告</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县人大代表表决通过率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w:t>
      </w:r>
      <w:r>
        <w:rPr>
          <w:rFonts w:ascii="楷体_GB2312" w:hAnsi="楷体_GB2312" w:eastAsia="楷体_GB2312"/>
          <w:b/>
        </w:rPr>
        <w:t>节能监督检查</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通过节能监督，促使用能单位合理用能</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单位GDP能耗下降率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w:t>
      </w:r>
      <w:r>
        <w:rPr>
          <w:rFonts w:ascii="楷体_GB2312" w:hAnsi="楷体_GB2312" w:eastAsia="楷体_GB2312"/>
          <w:b/>
        </w:rPr>
        <w:t>省市重点项目争列及县重点项目的确定</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争取将我县项目列入省市重点建设项目</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省、市重点项目个数</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4.</w:t>
      </w:r>
      <w:r>
        <w:rPr>
          <w:rFonts w:ascii="楷体_GB2312" w:hAnsi="楷体_GB2312" w:eastAsia="楷体_GB2312"/>
          <w:b/>
        </w:rPr>
        <w:t>重大项目的督导落实及服务</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推动重大项目开工建设，投产达效</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实施重大项目个数</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5.</w:t>
      </w:r>
      <w:r>
        <w:rPr>
          <w:rFonts w:ascii="楷体_GB2312" w:hAnsi="楷体_GB2312" w:eastAsia="楷体_GB2312"/>
          <w:b/>
        </w:rPr>
        <w:t>开拓国内市场</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推进我县商贸企业工贸、农贸和内外贸结合，扩大我县产品的知名度，增加国内市场份额</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参加国内展会次数（次）</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6.</w:t>
      </w:r>
      <w:r>
        <w:rPr>
          <w:rFonts w:ascii="楷体_GB2312" w:hAnsi="楷体_GB2312" w:eastAsia="楷体_GB2312"/>
          <w:b/>
        </w:rPr>
        <w:t>培育壮大规模以上贸易企业发展</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对入统贸易企业进行补贴，进一步提升规模以上贸易类企业做大做强</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补贴资金到位率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7.</w:t>
      </w:r>
      <w:r>
        <w:rPr>
          <w:rFonts w:ascii="楷体_GB2312" w:hAnsi="楷体_GB2312" w:eastAsia="楷体_GB2312"/>
          <w:b/>
        </w:rPr>
        <w:t>农村电子商务建设</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提高农村电子商务应用，扩大网络消费规模。推动农村电子商务基础设施建设，提高电子商务执业人员素质；建立与我县农村电子商务发展相适应的机制和体系</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农村电商企业营业额增长率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8.</w:t>
      </w:r>
      <w:r>
        <w:rPr>
          <w:rFonts w:ascii="楷体_GB2312" w:hAnsi="楷体_GB2312" w:eastAsia="楷体_GB2312"/>
          <w:b/>
        </w:rPr>
        <w:t>消费市场调控</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组织实施重要消费品、生产资料市场调控和流通管理,组织做好生活必</w:t>
      </w:r>
      <w:r>
        <w:rPr>
          <w:rFonts w:hint="eastAsia" w:ascii="仿宋_GB2312" w:hAnsi="仿宋_GB2312" w:eastAsia="仿宋_GB2312"/>
          <w:lang w:eastAsia="zh-CN"/>
        </w:rPr>
        <w:t>需</w:t>
      </w:r>
      <w:r>
        <w:rPr>
          <w:rFonts w:ascii="仿宋_GB2312" w:hAnsi="仿宋_GB2312" w:eastAsia="仿宋_GB2312"/>
        </w:rPr>
        <w:t>品、肉菜等储备任务，组织开展消费促进活动，监测市场运行、商品供求状况，进行预测预警。促进社会消费品零售总额持续增长</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市场主要消费品供需情况、社会消费品零售总额增速</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9.</w:t>
      </w:r>
      <w:r>
        <w:rPr>
          <w:rFonts w:ascii="楷体_GB2312" w:hAnsi="楷体_GB2312" w:eastAsia="楷体_GB2312"/>
          <w:b/>
        </w:rPr>
        <w:t>招商引资</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瞄准重点区域、重点客商和商务机构，加强企业对接、园区对接，项目对接，宣传本县投资环境，力争在重点产业引进一批战略支撑项目、龙头企业和协力配套企业</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赴外地开展招商引资地区数量(个）</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10.</w:t>
      </w:r>
      <w:r>
        <w:rPr>
          <w:rFonts w:ascii="楷体_GB2312" w:hAnsi="楷体_GB2312" w:eastAsia="楷体_GB2312"/>
          <w:b/>
        </w:rPr>
        <w:t>促进对外贸易稳定增长</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完成省市进出口额考核目标，确保对外贸易稳定发展</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楷体_GB2312" w:hAnsi="楷体_GB2312" w:eastAsia="楷体_GB2312"/>
          <w:b/>
        </w:rPr>
        <w:t xml:space="preserve"> </w:t>
      </w:r>
      <w:r>
        <w:rPr>
          <w:rFonts w:ascii="仿宋_GB2312" w:hAnsi="仿宋_GB2312" w:eastAsia="仿宋_GB2312"/>
        </w:rPr>
        <w:t>进出口企业进出口</w:t>
      </w:r>
      <w:r>
        <w:rPr>
          <w:rFonts w:hint="eastAsia" w:ascii="仿宋_GB2312" w:hAnsi="仿宋_GB2312" w:eastAsia="仿宋_GB2312"/>
          <w:lang w:eastAsia="zh-CN"/>
        </w:rPr>
        <w:t>总</w:t>
      </w:r>
      <w:r>
        <w:rPr>
          <w:rFonts w:ascii="仿宋_GB2312" w:hAnsi="仿宋_GB2312" w:eastAsia="仿宋_GB2312"/>
        </w:rPr>
        <w:t>额</w:t>
      </w:r>
      <w:r>
        <w:rPr>
          <w:rFonts w:hint="eastAsia" w:ascii="仿宋_GB2312" w:hAnsi="仿宋_GB2312" w:eastAsia="仿宋_GB2312"/>
          <w:lang w:eastAsia="zh-CN"/>
        </w:rPr>
        <w:t>及</w:t>
      </w:r>
      <w:r>
        <w:rPr>
          <w:rFonts w:ascii="仿宋_GB2312" w:hAnsi="仿宋_GB2312" w:eastAsia="仿宋_GB2312"/>
        </w:rPr>
        <w:t>增长率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2"/>
        <w:jc w:val="both"/>
        <w:rPr>
          <w:rFonts w:ascii="楷体_GB2312" w:hAnsi="楷体_GB2312" w:eastAsia="楷体_GB2312"/>
          <w:b/>
        </w:rPr>
      </w:pPr>
      <w:r>
        <w:rPr>
          <w:rFonts w:hint="eastAsia" w:ascii="楷体_GB2312" w:hAnsi="楷体_GB2312" w:eastAsia="楷体_GB2312"/>
          <w:b/>
          <w:lang w:val="en-US" w:eastAsia="zh-CN"/>
        </w:rPr>
        <w:t>11.</w:t>
      </w:r>
      <w:r>
        <w:rPr>
          <w:rFonts w:ascii="楷体_GB2312" w:hAnsi="楷体_GB2312" w:eastAsia="楷体_GB2312"/>
          <w:b/>
        </w:rPr>
        <w:t xml:space="preserve"> 促进全县实际利用外资稳定增长</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楷体_GB2312" w:hAnsi="楷体_GB2312" w:eastAsia="楷体_GB2312"/>
          <w:b/>
        </w:rPr>
        <w:t xml:space="preserve"> </w:t>
      </w:r>
      <w:r>
        <w:rPr>
          <w:rFonts w:ascii="仿宋_GB2312" w:hAnsi="仿宋_GB2312" w:eastAsia="仿宋_GB2312"/>
        </w:rPr>
        <w:t>确保实际利用外资到位，完成省市实际利用外资考核目标任务</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hint="eastAsia" w:ascii="仿宋_GB2312" w:hAnsi="仿宋_GB2312" w:eastAsia="仿宋_GB2312"/>
          <w:lang w:eastAsia="zh-CN"/>
        </w:rPr>
      </w:pPr>
      <w:r>
        <w:rPr>
          <w:rFonts w:ascii="仿宋_GB2312" w:hAnsi="仿宋_GB2312" w:eastAsia="仿宋_GB2312"/>
          <w:b/>
        </w:rPr>
        <w:t>绩效指标:</w:t>
      </w:r>
      <w:r>
        <w:rPr>
          <w:rFonts w:ascii="仿宋_GB2312" w:hAnsi="仿宋_GB2312" w:eastAsia="仿宋_GB2312"/>
        </w:rPr>
        <w:t>实际利用外资</w:t>
      </w:r>
      <w:r>
        <w:rPr>
          <w:rFonts w:hint="eastAsia" w:ascii="仿宋_GB2312" w:hAnsi="仿宋_GB2312" w:eastAsia="仿宋_GB2312"/>
          <w:lang w:eastAsia="zh-CN"/>
        </w:rPr>
        <w:t>完成额</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12.</w:t>
      </w:r>
      <w:r>
        <w:rPr>
          <w:rFonts w:ascii="楷体_GB2312" w:hAnsi="楷体_GB2312" w:eastAsia="楷体_GB2312"/>
          <w:b/>
        </w:rPr>
        <w:t>粮食流通统计调查</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确保粮食产、购、销、存、加等数据以及仓储设施、国有资产、经济效益等宏观信息及时上报、汇总，保证数据信息全面、完整、准确、及时</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数据正确率、数据完整率、数据报送时限</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13.</w:t>
      </w:r>
      <w:r>
        <w:rPr>
          <w:rFonts w:ascii="楷体_GB2312" w:hAnsi="楷体_GB2312" w:eastAsia="楷体_GB2312"/>
          <w:b/>
        </w:rPr>
        <w:t>储备粮管理</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确保粮食收的进、储的好、用的上</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计划落实率、质量良好率、数量真实率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14.</w:t>
      </w:r>
      <w:r>
        <w:rPr>
          <w:rFonts w:ascii="楷体_GB2312" w:hAnsi="楷体_GB2312" w:eastAsia="楷体_GB2312"/>
          <w:b/>
        </w:rPr>
        <w:t>军供粮油管理</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做好政策性军粮供应，保证部队用粮安全，提升服务水平</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资格认定及时性、质量合格率、部队满意率、计划落实率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15.</w:t>
      </w:r>
      <w:r>
        <w:rPr>
          <w:rFonts w:ascii="楷体_GB2312" w:hAnsi="楷体_GB2312" w:eastAsia="楷体_GB2312"/>
          <w:b/>
        </w:rPr>
        <w:t>粮食流通基础设施建设</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粮食基础设施与粮食流通需求相匹配，粮食仓储损耗控制在国家标准范围内，科学储粮率技术应用得到基本普及；粮食基础设施与粮食流通需求相匹配，粮食仓储损耗控制在国家标准范围内，科学储粮率技术应用得到基本普及</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仓储设施完好率、仓容利用率、粮食仓储损耗率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16.</w:t>
      </w:r>
      <w:r>
        <w:rPr>
          <w:rFonts w:ascii="楷体_GB2312" w:hAnsi="楷体_GB2312" w:eastAsia="楷体_GB2312"/>
          <w:b/>
        </w:rPr>
        <w:t>粮食质量安全监测与体系建设</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及时掌握收获、收购、储存、政策性粮食质量安全和品质情况，为制定粮食收购政策提供依据；掌握重点和骨干企业粮食质量状况</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监管率、检测率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17.</w:t>
      </w:r>
      <w:r>
        <w:rPr>
          <w:rFonts w:ascii="楷体_GB2312" w:hAnsi="楷体_GB2312" w:eastAsia="楷体_GB2312"/>
          <w:b/>
        </w:rPr>
        <w:t>粮食市场监测预警</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粮食价格监测点布局合理，粮食市场监测预警信息上报及时，预警分析准确、及时</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预警分析准确率、预警分析利用率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18.</w:t>
      </w:r>
      <w:r>
        <w:rPr>
          <w:rFonts w:ascii="楷体_GB2312" w:hAnsi="楷体_GB2312" w:eastAsia="楷体_GB2312"/>
          <w:b/>
        </w:rPr>
        <w:t>粮食科技应用与推广</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宣传推广科学储粮先进技术，促进企业收储、加工环节和农户储粮环节的粮食减损</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农户粮食减损量、粮食科技普及率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19.</w:t>
      </w:r>
      <w:r>
        <w:rPr>
          <w:rFonts w:ascii="楷体_GB2312" w:hAnsi="楷体_GB2312" w:eastAsia="楷体_GB2312"/>
          <w:b/>
        </w:rPr>
        <w:t>法规建设与监督检查</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执法检查常规化；行政执法机构达到90%，执法人员持证上岗率100%；落实行政执法责任制，规范粮食行政执法行为，提高行政执法水平</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持证上岗率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20.</w:t>
      </w:r>
      <w:r>
        <w:rPr>
          <w:rFonts w:ascii="楷体_GB2312" w:hAnsi="楷体_GB2312" w:eastAsia="楷体_GB2312"/>
          <w:b/>
        </w:rPr>
        <w:t>全县粮油库存检查</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促进粮食企业合法经营，确保粮食数量真实、质量良好</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检查覆盖率、库存账实相符率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21.</w:t>
      </w:r>
      <w:r>
        <w:rPr>
          <w:rFonts w:ascii="楷体_GB2312" w:hAnsi="楷体_GB2312" w:eastAsia="楷体_GB2312"/>
          <w:b/>
        </w:rPr>
        <w:t>安全生产</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监督本</w:t>
      </w:r>
      <w:r>
        <w:rPr>
          <w:rFonts w:hint="eastAsia" w:ascii="仿宋_GB2312" w:hAnsi="仿宋_GB2312" w:eastAsia="仿宋_GB2312"/>
          <w:lang w:eastAsia="zh-CN"/>
        </w:rPr>
        <w:t>单位</w:t>
      </w:r>
      <w:r>
        <w:rPr>
          <w:rFonts w:ascii="仿宋_GB2312" w:hAnsi="仿宋_GB2312" w:eastAsia="仿宋_GB2312"/>
        </w:rPr>
        <w:t>职责范围内有关行业的安全管理制度的落实</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安全生产事故下降率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22.</w:t>
      </w:r>
      <w:r>
        <w:rPr>
          <w:rFonts w:ascii="楷体_GB2312" w:hAnsi="楷体_GB2312" w:eastAsia="楷体_GB2312"/>
          <w:b/>
        </w:rPr>
        <w:t>规模以上服务业企业入统工作</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做好规模以上服务业企业入统及年终扶持资金发放工作，鼓励服务业企业做大做强</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规定时限内完成项目个数</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23.</w:t>
      </w:r>
      <w:r>
        <w:rPr>
          <w:rFonts w:ascii="楷体_GB2312" w:hAnsi="楷体_GB2312" w:eastAsia="楷体_GB2312"/>
          <w:b/>
        </w:rPr>
        <w:t>建档立卡</w:t>
      </w:r>
      <w:r>
        <w:rPr>
          <w:rFonts w:hint="eastAsia" w:ascii="楷体_GB2312" w:hAnsi="楷体_GB2312" w:eastAsia="楷体_GB2312"/>
          <w:b/>
          <w:lang w:eastAsia="zh-CN"/>
        </w:rPr>
        <w:t>脱贫户</w:t>
      </w:r>
      <w:r>
        <w:rPr>
          <w:rFonts w:ascii="楷体_GB2312" w:hAnsi="楷体_GB2312" w:eastAsia="楷体_GB2312"/>
          <w:b/>
        </w:rPr>
        <w:t>帮扶工作</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hint="eastAsia" w:ascii="仿宋_GB2312" w:hAnsi="仿宋_GB2312" w:eastAsia="仿宋_GB2312"/>
          <w:lang w:eastAsia="zh-CN"/>
        </w:rPr>
      </w:pPr>
      <w:r>
        <w:rPr>
          <w:rFonts w:ascii="仿宋_GB2312" w:hAnsi="仿宋_GB2312" w:eastAsia="仿宋_GB2312"/>
          <w:b/>
        </w:rPr>
        <w:t>绩效目标：</w:t>
      </w:r>
      <w:r>
        <w:rPr>
          <w:rFonts w:ascii="仿宋_GB2312" w:hAnsi="仿宋_GB2312" w:eastAsia="仿宋_GB2312"/>
        </w:rPr>
        <w:t>继续帮扶我局负责的1</w:t>
      </w:r>
      <w:r>
        <w:rPr>
          <w:rFonts w:hint="eastAsia" w:ascii="仿宋_GB2312" w:hAnsi="仿宋_GB2312" w:eastAsia="仿宋_GB2312"/>
          <w:lang w:eastAsia="zh-CN"/>
        </w:rPr>
        <w:t>6</w:t>
      </w:r>
      <w:r>
        <w:rPr>
          <w:rFonts w:ascii="仿宋_GB2312" w:hAnsi="仿宋_GB2312" w:eastAsia="仿宋_GB2312"/>
        </w:rPr>
        <w:t>户</w:t>
      </w:r>
      <w:r>
        <w:rPr>
          <w:rFonts w:hint="eastAsia" w:ascii="仿宋_GB2312" w:hAnsi="仿宋_GB2312" w:eastAsia="仿宋_GB2312"/>
          <w:lang w:eastAsia="zh-CN"/>
        </w:rPr>
        <w:t>脱贫</w:t>
      </w:r>
      <w:r>
        <w:rPr>
          <w:rFonts w:ascii="仿宋_GB2312" w:hAnsi="仿宋_GB2312" w:eastAsia="仿宋_GB2312"/>
        </w:rPr>
        <w:t>户，持续改善</w:t>
      </w:r>
      <w:r>
        <w:rPr>
          <w:rFonts w:hint="eastAsia" w:ascii="仿宋_GB2312" w:hAnsi="仿宋_GB2312" w:eastAsia="仿宋_GB2312"/>
          <w:lang w:eastAsia="zh-CN"/>
        </w:rPr>
        <w:t>脱贫</w:t>
      </w:r>
      <w:r>
        <w:rPr>
          <w:rFonts w:ascii="仿宋_GB2312" w:hAnsi="仿宋_GB2312" w:eastAsia="仿宋_GB2312"/>
        </w:rPr>
        <w:t>户生活</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帮扶效果、帮扶对象满意度</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24.</w:t>
      </w:r>
      <w:r>
        <w:rPr>
          <w:rFonts w:ascii="楷体_GB2312" w:hAnsi="楷体_GB2312" w:eastAsia="楷体_GB2312"/>
          <w:b/>
        </w:rPr>
        <w:t>支煤、支油、支铁</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处理好煤田、油田、铁路系统各企业与地方的工农关系，推进煤田企业在我县项目的顺利实施</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年度支持煤田、油田、铁路系统工作完成情况</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25.</w:t>
      </w:r>
      <w:r>
        <w:rPr>
          <w:rFonts w:ascii="楷体_GB2312" w:hAnsi="楷体_GB2312" w:eastAsia="楷体_GB2312"/>
          <w:b/>
        </w:rPr>
        <w:t>煤炭生产许可证的审核、申报和监管</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依法做好全县煤炭生产许可证的审核、申报和监管工作</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全县煤炭生产许可证审核</w:t>
      </w:r>
      <w:r>
        <w:rPr>
          <w:rFonts w:hint="eastAsia" w:ascii="仿宋_GB2312" w:hAnsi="仿宋_GB2312" w:eastAsia="仿宋_GB2312"/>
          <w:lang w:eastAsia="zh-CN"/>
        </w:rPr>
        <w:t>、</w:t>
      </w:r>
      <w:r>
        <w:rPr>
          <w:rFonts w:ascii="仿宋_GB2312" w:hAnsi="仿宋_GB2312" w:eastAsia="仿宋_GB2312"/>
        </w:rPr>
        <w:t>申报和监管工作完成程度</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26.</w:t>
      </w:r>
      <w:r>
        <w:rPr>
          <w:rFonts w:ascii="楷体_GB2312" w:hAnsi="楷体_GB2312" w:eastAsia="楷体_GB2312"/>
          <w:b/>
        </w:rPr>
        <w:t>煤田压覆项目审批</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严格审查煤田压覆项目</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煤田压覆项目审查完成程度</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27.</w:t>
      </w:r>
      <w:r>
        <w:rPr>
          <w:rFonts w:ascii="楷体_GB2312" w:hAnsi="楷体_GB2312" w:eastAsia="楷体_GB2312"/>
          <w:b/>
        </w:rPr>
        <w:t>取暖季天然气保供</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确保冬季取暖天然气供应充足、稳定</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 xml:space="preserve">群众满意度 </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28.</w:t>
      </w:r>
      <w:r>
        <w:rPr>
          <w:rFonts w:ascii="楷体_GB2312" w:hAnsi="楷体_GB2312" w:eastAsia="楷体_GB2312"/>
          <w:b/>
        </w:rPr>
        <w:t>实施全县农产品成本调查</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完成对全县主要农产品的价格监测工作</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29.</w:t>
      </w:r>
      <w:r>
        <w:rPr>
          <w:rFonts w:ascii="楷体_GB2312" w:hAnsi="楷体_GB2312" w:eastAsia="楷体_GB2312"/>
          <w:b/>
        </w:rPr>
        <w:t>价格成本调查和定价成本监审</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完成年度价格成本调查和定价成本监审</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hint="eastAsia" w:ascii="楷体_GB2312" w:hAnsi="楷体_GB2312" w:eastAsia="楷体_GB2312"/>
          <w:b/>
          <w:lang w:val="en-US" w:eastAsia="zh-CN"/>
        </w:rPr>
        <w:t>30.</w:t>
      </w:r>
      <w:r>
        <w:rPr>
          <w:rFonts w:ascii="楷体_GB2312" w:hAnsi="楷体_GB2312" w:eastAsia="楷体_GB2312"/>
          <w:b/>
        </w:rPr>
        <w:t>价格舆情监测与应急处置</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建立价格舆情应急处置机制，健全价格舆情监测系统</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ascii="仿宋_GB2312" w:hAnsi="仿宋_GB2312" w:eastAsia="仿宋_GB2312"/>
          <w:b/>
        </w:rPr>
        <w:t>绩效指标：</w:t>
      </w:r>
      <w:r>
        <w:rPr>
          <w:rFonts w:ascii="仿宋_GB2312" w:hAnsi="仿宋_GB2312" w:eastAsia="仿宋_GB2312"/>
        </w:rPr>
        <w:t>任务完成情况</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31.</w:t>
      </w:r>
      <w:r>
        <w:rPr>
          <w:rFonts w:ascii="楷体_GB2312" w:hAnsi="楷体_GB2312" w:eastAsia="楷体_GB2312"/>
          <w:b/>
        </w:rPr>
        <w:t>价格争议调解处理</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根据当事人的申请，依法对各类市场主体之间的价格（或损失）争议进行调解处理，打造廉洁高效的价格政务服务环境</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ascii="仿宋_GB2312" w:hAnsi="仿宋_GB2312" w:eastAsia="仿宋_GB2312"/>
          <w:b/>
        </w:rPr>
        <w:t>绩效指标：</w:t>
      </w:r>
      <w:r>
        <w:rPr>
          <w:rFonts w:ascii="仿宋_GB2312" w:hAnsi="仿宋_GB2312" w:eastAsia="仿宋_GB2312"/>
        </w:rPr>
        <w:t>任务完成率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2"/>
        <w:jc w:val="both"/>
        <w:rPr>
          <w:rFonts w:ascii="楷体_GB2312" w:hAnsi="楷体_GB2312" w:eastAsia="楷体_GB2312"/>
          <w:b/>
        </w:rPr>
      </w:pPr>
      <w:r>
        <w:rPr>
          <w:rFonts w:hint="eastAsia" w:ascii="楷体_GB2312" w:hAnsi="楷体_GB2312" w:eastAsia="楷体_GB2312"/>
          <w:b/>
          <w:lang w:val="en-US" w:eastAsia="zh-CN"/>
        </w:rPr>
        <w:t>32.</w:t>
      </w:r>
      <w:r>
        <w:rPr>
          <w:rFonts w:ascii="楷体_GB2312" w:hAnsi="楷体_GB2312" w:eastAsia="楷体_GB2312"/>
          <w:b/>
        </w:rPr>
        <w:t>司法案件涉案财物、行政工作所涉财物价格认定</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办理完成本年度内经司法机关提出，司法案件中涉及的价格不明或者价格有争议的涉案财物价格认定；经行政机关提出，行政工作，包括行政诉讼、复议及处罚案件，行政征收、征用（含应税物价格认定）及执法活动，国家赔偿、补偿等事项中所涉财物价格认定；办理本级价格认定复核事项</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33.</w:t>
      </w:r>
      <w:r>
        <w:rPr>
          <w:rFonts w:ascii="楷体_GB2312" w:hAnsi="楷体_GB2312" w:eastAsia="楷体_GB2312"/>
          <w:b/>
        </w:rPr>
        <w:t>纪检监察案件涉案财物价格认定</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办理完成本年度内经纪检监察机关提出的纪检监察机关查办案件涉案财物价格认定；办理本级价格认定复核事项</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5"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34.</w:t>
      </w:r>
      <w:r>
        <w:rPr>
          <w:rFonts w:ascii="楷体_GB2312" w:hAnsi="楷体_GB2312" w:eastAsia="楷体_GB2312"/>
          <w:b/>
        </w:rPr>
        <w:t>大灾储备金</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做好救灾物资储备管理工作，保证灾害发生时为灾民提供及时安全有效的物资支持，保障灾民基本生活</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5"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受灾群众覆盖率、县级救灾物资运达灾区时间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1.</w:t>
      </w:r>
      <w:r>
        <w:rPr>
          <w:rFonts w:ascii="楷体_GB2312" w:hAnsi="楷体_GB2312" w:eastAsia="楷体_GB2312"/>
        </w:rPr>
        <w:t>完善制度建设</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严格落实中共大城县委、县政府《关于全面实施预算绩效管理的实施意见》，依照相关会计法律法规，结合实际情况，积极推动单位内部控制建设，制定发改局内控手册，规范完善机关公务接待、车辆管理、因公出差、会议、培训、下乡等费用报账制度，为全年预算绩效目标的实现奠定制度基础。</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2.</w:t>
      </w:r>
      <w:r>
        <w:rPr>
          <w:rFonts w:ascii="楷体_GB2312" w:hAnsi="楷体_GB2312" w:eastAsia="楷体_GB2312"/>
        </w:rPr>
        <w:t>加强支出管理</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加强预算编制工作，编细编实预算，各承担项目股室要制定年度支出计划，抓紧时间完成项目前期准备工作，加速履行政府采购手续、尽快启动项目，按照计划的时间节点，严格支出程序，加快资金支出进度，确保支出进度达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3.</w:t>
      </w:r>
      <w:r>
        <w:rPr>
          <w:rFonts w:ascii="楷体_GB2312" w:hAnsi="楷体_GB2312" w:eastAsia="楷体_GB2312"/>
        </w:rPr>
        <w:t>加强绩效运行监控</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rPr>
      </w:pPr>
      <w:r>
        <w:rPr>
          <w:rFonts w:ascii="仿宋_GB2312" w:hAnsi="仿宋_GB2312" w:eastAsia="仿宋_GB2312"/>
          <w:b w:val="0"/>
          <w:color w:val="auto"/>
        </w:rPr>
        <w:t>按要求开展绩效运行监控，发现问题及时采取措施，确保绩效目标如期保质实现。</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8"/>
        <w:jc w:val="both"/>
        <w:rPr>
          <w:rFonts w:ascii="楷体_GB2312" w:hAnsi="楷体_GB2312" w:eastAsia="楷体_GB2312"/>
          <w:b/>
        </w:rPr>
      </w:pPr>
      <w:r>
        <w:rPr>
          <w:rFonts w:hint="eastAsia" w:ascii="楷体_GB2312" w:hAnsi="楷体_GB2312" w:eastAsia="楷体_GB2312"/>
          <w:b/>
          <w:lang w:val="en-US" w:eastAsia="zh-CN"/>
        </w:rPr>
        <w:t>4.</w:t>
      </w:r>
      <w:r>
        <w:rPr>
          <w:rFonts w:ascii="楷体_GB2312" w:hAnsi="楷体_GB2312" w:eastAsia="楷体_GB2312"/>
          <w:b/>
        </w:rPr>
        <w:t>做好绩效自评</w:t>
      </w:r>
    </w:p>
    <w:p>
      <w:pPr>
        <w:pStyle w:val="2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color w:val="auto"/>
        </w:rPr>
      </w:pPr>
      <w:r>
        <w:rPr>
          <w:rFonts w:ascii="仿宋_GB2312" w:hAnsi="仿宋_GB2312" w:eastAsia="仿宋_GB2312"/>
          <w:color w:val="auto"/>
        </w:rPr>
        <w:t>按要求开展上年度</w:t>
      </w:r>
      <w:r>
        <w:rPr>
          <w:rFonts w:hint="eastAsia" w:ascii="仿宋_GB2312" w:hAnsi="仿宋_GB2312" w:eastAsia="仿宋_GB2312"/>
          <w:color w:val="auto"/>
          <w:lang w:eastAsia="zh-CN"/>
        </w:rPr>
        <w:t>单位</w:t>
      </w:r>
      <w:r>
        <w:rPr>
          <w:rFonts w:ascii="仿宋_GB2312" w:hAnsi="仿宋_GB2312" w:eastAsia="仿宋_GB2312"/>
          <w:color w:val="auto"/>
        </w:rPr>
        <w:t>预算绩效自评和重点评价工作，对评价中发现的问题及时整改，调整优化支出结构，提高财政资金使用效益。</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5.</w:t>
      </w:r>
      <w:r>
        <w:rPr>
          <w:rFonts w:ascii="楷体_GB2312" w:hAnsi="楷体_GB2312" w:eastAsia="楷体_GB2312"/>
        </w:rPr>
        <w:t xml:space="preserve"> 规范财务资产管理</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完善财务管理制度，严格审批程序，加强固定资产登记、使用和报废处置管理，做到支出合理，物尽其用。</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6.</w:t>
      </w:r>
      <w:r>
        <w:rPr>
          <w:rFonts w:ascii="楷体_GB2312" w:hAnsi="楷体_GB2312" w:eastAsia="楷体_GB2312"/>
        </w:rPr>
        <w:t>加强内部监督</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rPr>
      </w:pPr>
      <w:r>
        <w:rPr>
          <w:rFonts w:ascii="仿宋_GB2312" w:hAnsi="仿宋_GB2312" w:eastAsia="仿宋_GB2312"/>
          <w:b w:val="0"/>
          <w:color w:val="auto"/>
        </w:rPr>
        <w:t>加强内部监督制度建设，严格执行财务预算和财务管理制度，重大开支经局党组集体研究，会议费、差旅费、培训费和“三公经费”坚决按相关文件规定执行，完善审批、预算手续，做到附件依据齐全，杜绝一切超标准、超预算的开支；做好机关财务自查自审，发现问题及时制定措施组织整改。并配合做好审计、财政监督等外部监督工作，确保财政资金安全有效。</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7.</w:t>
      </w:r>
      <w:r>
        <w:rPr>
          <w:rFonts w:ascii="楷体_GB2312" w:hAnsi="楷体_GB2312" w:eastAsia="楷体_GB2312"/>
        </w:rPr>
        <w:t>加强宣传培训调研</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宋体" w:hAnsi="宋体" w:eastAsia="宋体"/>
          <w:color w:val="auto"/>
        </w:rPr>
      </w:pPr>
      <w:r>
        <w:rPr>
          <w:rFonts w:ascii="仿宋_GB2312" w:hAnsi="仿宋_GB2312" w:eastAsia="仿宋_GB2312"/>
          <w:b w:val="0"/>
          <w:color w:val="auto"/>
        </w:rPr>
        <w:t>加强人员培训，提高本</w:t>
      </w:r>
      <w:r>
        <w:rPr>
          <w:rFonts w:hint="eastAsia" w:ascii="仿宋_GB2312" w:hAnsi="仿宋_GB2312" w:eastAsia="仿宋_GB2312"/>
          <w:b w:val="0"/>
          <w:color w:val="auto"/>
          <w:lang w:eastAsia="zh-CN"/>
        </w:rPr>
        <w:t>单位</w:t>
      </w:r>
      <w:r>
        <w:rPr>
          <w:rFonts w:ascii="仿宋_GB2312" w:hAnsi="仿宋_GB2312" w:eastAsia="仿宋_GB2312"/>
          <w:b w:val="0"/>
          <w:color w:val="auto"/>
        </w:rPr>
        <w:t>职工业务素质；结合实际工作，加强调研，提出优化财政资金配置、提高资金使用效益的意见；加大宣传力度，强化预算绩效管理意识，促进预算绩效管理水平进一步提升。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055"/>
        <w:gridCol w:w="2014"/>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0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0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055" w:type="dxa"/>
            <w:vMerge w:val="continue"/>
            <w:tcBorders>
              <w:tl2br w:val="nil"/>
              <w:tr2bl w:val="nil"/>
            </w:tcBorders>
            <w:vAlign w:val="center"/>
          </w:tcPr>
          <w:p/>
        </w:tc>
        <w:tc>
          <w:tcPr>
            <w:tcW w:w="2014"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项目数量</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完成预算项目支出工作</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考察全年需要完成支出的预算项目数量</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6</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工作完成质量</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工作完成质量</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考察工作完成质量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优良</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完成工作时限</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工作完成时效性</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考察工作完成的时效性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项目总成本</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节约成本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考察全年预算项目总成本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3040.45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效益</w:t>
            </w:r>
          </w:p>
        </w:tc>
        <w:tc>
          <w:tcPr>
            <w:tcW w:w="1055"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主要经济指标增速平稳</w:t>
            </w:r>
          </w:p>
        </w:tc>
        <w:tc>
          <w:tcPr>
            <w:tcW w:w="2014"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主要经济指标增速</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促进主要经济指标增速平稳</w:t>
            </w:r>
          </w:p>
        </w:tc>
        <w:tc>
          <w:tcPr>
            <w:tcW w:w="54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kern w:val="2"/>
                <w:sz w:val="21"/>
                <w:lang w:eastAsia="zh-CN"/>
              </w:rPr>
              <w:t>文字描述</w:t>
            </w: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促进</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05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01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反映服务对象满意度的情况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98</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1.2023年粮食监督检查专项业务费绩效目标表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rPr>
              <w:t>1.对县辖区内的粮食经营企业及个人进行粮食流通监督检查，确保辖区内粮食市场规范有序，保障粮食安全。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执法次数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对辖区内进行监督检查次数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执法办案结案率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执法办案结案率</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办案及时率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反映案件受理及时、办结及时</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工作开展所需的成本情况</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工作开展所需的成本情况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根据往年经费支出数值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保障粮食安全</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通过监督检查保障粮食安全</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反映服务对象满意度的情况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2.2023年粮食信息统计调查专项业务费绩效目标表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
              </w:rPr>
            </w:pPr>
            <w:r>
              <w:rPr>
                <w:rFonts w:ascii="Times New Roman" w:hAnsi="Times New Roman" w:eastAsia="仿宋_GB2312" w:cs="Times New Roman"/>
              </w:rPr>
              <w:t>通过对粮食产、购、销、存、加工企业等进行统计调研与收集，满足对粮食数据的需求，确保粮食产、购、销、存、加工等数据以及仓储设施、国有资产、经济效益等宏观信息及时上报、汇总，保证数据信息全面、完整、正确、及时，促进粮食产业政策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统计调查数量</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反映统计调查数量情况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20家</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达标率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反映统计调查工作实施情况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工作完成的及时性</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工作完成的及时性</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资金成本</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资金成本</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促进粮食产业政策有效落实</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促进粮食产业政策有效落实</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反映服务对象满意度的情况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.2023年建档立卡脱贫户生产生活补助金绩效目标表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75"/>
        <w:gridCol w:w="2040"/>
        <w:gridCol w:w="2550"/>
        <w:gridCol w:w="1485"/>
        <w:gridCol w:w="3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rPr>
              <w:t>帮扶贫困户16户，每户2000元，有效提高脱贫户家庭物质生活水平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补助家庭数</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补助的家庭数量</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16户</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每户补贴资金</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每户发放补贴资金</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2000元</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扶持及时率</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考察扶持的及时情况</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成本控制数</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成本控制在预算额度范围内</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3.2万元</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提高脱贫户家庭生活水平</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考察是否提高脱贫户家庭生活水平</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受益群众满意度</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考察脱贫家庭的满意程度</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pStyle w:val="2"/>
        <w:jc w:val="both"/>
      </w:pPr>
    </w:p>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.2023年农产品成本调查和重要商品应急价格调查监测资金绩效目标表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
              </w:rPr>
            </w:pPr>
            <w:r>
              <w:rPr>
                <w:rFonts w:ascii="Times New Roman" w:hAnsi="Times New Roman" w:eastAsia="仿宋_GB2312" w:cs="Times New Roman"/>
              </w:rPr>
              <w:t>建立重要生活必需品、农产品、农资、日用工业品、工业生产资料价格应急监测体系，做好粮油肉蛋菜等民生商品价格，工农业生产资料、房地产、交通运输、教育等重要商品和服务价格监测工作，及时发现苗头性问题，增强宏观调控的预见性和针对性。做好重要节假日期间和重大自然灾害、突发公共事件后的应急价格监测工作，提供市场波动信息，为政府增强宏观调控提供准确可靠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县本级向市报送的文字材料篇数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向市报送信息和调研报告的篇数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6篇</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《价格监测报告制度》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季度价格监测数据考核分数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国家每季度按照数据上报的及时性和准确性给各省市打分，并予以全国通报</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≥98分</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国家发改委《价格监测质量监督考核办法》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县本级监测数据上报汇总完成时效</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平均每月完成上报数据汇总分析3次</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国家发改委《价格异常波动监测预警制度》、《价格监测报告制度》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项目完成总成本</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各项明细开支控制在标准和定额内，项目完成总成本不超过预算数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≤0.25万元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项目预算总额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县本级业务科室采用数据次数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局业务科室为决策活动采用数据次数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县本级有关领导的满意度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争取价格调控处及有关领导满意</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满意度回访问卷</w:t>
            </w:r>
          </w:p>
        </w:tc>
      </w:tr>
    </w:tbl>
    <w:p>
      <w:pPr>
        <w:pStyle w:val="19"/>
        <w:rPr>
          <w:rFonts w:ascii="Times New Roman" w:hAnsi="Times New Roman" w:eastAsia="仿宋_GB2312" w:cs="Times New Roman"/>
          <w:kern w:val="2"/>
          <w:sz w:val="21"/>
          <w:szCs w:val="22"/>
          <w:lang w:val="en-US" w:eastAsia="zh-CN" w:bidi="ar-SA"/>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.2023年天然气应急保障项目资金绩效目标表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rPr>
              <w:t>该项目用于出现天然气短缺的紧急情况，保障全县居民用气量充足及全县冬季取暖安全稳定运行。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居民户数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天然气短缺时保障居民户数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14.8万户</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覆盖率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覆盖居民占比</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到位率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出现用气短缺时资金到位率</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财政投入</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财政投入</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3000万元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天然气保供</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保障天然气供应充足</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人民群众满意度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考察人民群众满意程度</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.98年前县级负担财务挂账利息绩效目标表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
              </w:rPr>
            </w:pPr>
            <w:r>
              <w:rPr>
                <w:rFonts w:ascii="Times New Roman" w:hAnsi="Times New Roman" w:eastAsia="仿宋_GB2312" w:cs="Times New Roman"/>
              </w:rPr>
              <w:t>按照省财政厅、省农发行通知文件要求的数额和时间节点，一次性拨付资金，完成本预算年度粮食挂账利息上缴工作，避免罚息，提高信用度。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付息的月数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考察需要付息的月数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12个月</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达标率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实际偿还金额/计划偿还金额的比例</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付息及时性</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考察付息的及时情况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付息金额</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考察2023年付息金额</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35万元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根据每年付息金额确定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提高信用度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及时付息提高了信用度</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银行满意度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银行对及时付息的满意程度</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rPr>
          <w:rFonts w:ascii="Times New Roman" w:hAnsi="黑体" w:eastAsia="黑体" w:cs="Times New Roman"/>
          <w:sz w:val="32"/>
          <w:szCs w:val="32"/>
        </w:rPr>
      </w:pPr>
    </w:p>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大城县发展和改革局本级</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hint="default" w:ascii="方正仿宋_GBK" w:hAnsi="方正仿宋_GBK" w:eastAsia="方正仿宋_GBK" w:cs="方正仿宋_GBK"/>
          <w:color w:val="000000"/>
          <w:lang w:val="en-US" w:eastAsia="zh-CN"/>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r>
        <w:rPr>
          <w:rFonts w:hint="eastAsia" w:ascii="方正仿宋_GBK" w:hAnsi="方正仿宋_GBK" w:eastAsia="方正仿宋_GBK" w:cs="方正仿宋_GBK"/>
          <w:color w:val="000000"/>
          <w:lang w:eastAsia="zh-CN"/>
        </w:rPr>
        <w:t>本单位</w:t>
      </w:r>
      <w:r>
        <w:rPr>
          <w:rFonts w:hint="eastAsia" w:ascii="方正仿宋_GBK" w:hAnsi="方正仿宋_GBK" w:eastAsia="方正仿宋_GBK" w:cs="方正仿宋_GBK"/>
          <w:color w:val="000000"/>
          <w:lang w:val="en-US" w:eastAsia="zh-CN"/>
        </w:rPr>
        <w:t>2023年无政府采购预算，空表列示。</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大城县发展和改革局本级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465.84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发展和改革局本级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465.84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275.79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130.86</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lNzcyMzRkNTgyZjVkZWE2MDNlNGViY2RhMGQwMG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2D6"/>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526ABB"/>
    <w:rsid w:val="0A1B1122"/>
    <w:rsid w:val="13E306DA"/>
    <w:rsid w:val="14861CDF"/>
    <w:rsid w:val="18EC78F1"/>
    <w:rsid w:val="1A8A0935"/>
    <w:rsid w:val="1B1D7A72"/>
    <w:rsid w:val="1B6E4190"/>
    <w:rsid w:val="1C502F39"/>
    <w:rsid w:val="26D20A42"/>
    <w:rsid w:val="2CAE175C"/>
    <w:rsid w:val="3585695C"/>
    <w:rsid w:val="384A2968"/>
    <w:rsid w:val="38F17E51"/>
    <w:rsid w:val="3B306EA8"/>
    <w:rsid w:val="3B8A40BE"/>
    <w:rsid w:val="3E8B454E"/>
    <w:rsid w:val="3F655022"/>
    <w:rsid w:val="457C0EFB"/>
    <w:rsid w:val="46602F82"/>
    <w:rsid w:val="466D0FC7"/>
    <w:rsid w:val="49770490"/>
    <w:rsid w:val="546F0747"/>
    <w:rsid w:val="54712998"/>
    <w:rsid w:val="55440103"/>
    <w:rsid w:val="55697EC3"/>
    <w:rsid w:val="569B0D24"/>
    <w:rsid w:val="57E040E2"/>
    <w:rsid w:val="5B1E505B"/>
    <w:rsid w:val="5BE92119"/>
    <w:rsid w:val="647D1DE9"/>
    <w:rsid w:val="673B57FC"/>
    <w:rsid w:val="687D1153"/>
    <w:rsid w:val="699E4AEE"/>
    <w:rsid w:val="6B1D22BB"/>
    <w:rsid w:val="6BB875C8"/>
    <w:rsid w:val="6C2731BD"/>
    <w:rsid w:val="70984BC8"/>
    <w:rsid w:val="74D66B82"/>
    <w:rsid w:val="76294569"/>
    <w:rsid w:val="79F42021"/>
    <w:rsid w:val="79FA77AD"/>
    <w:rsid w:val="7B540CE3"/>
    <w:rsid w:val="7BCE62D7"/>
    <w:rsid w:val="7E4F6457"/>
    <w:rsid w:val="7F263A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99"/>
    <w:pPr>
      <w:snapToGrid w:val="0"/>
      <w:spacing w:line="570" w:lineRule="exact"/>
      <w:jc w:val="center"/>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正文文本1"/>
    <w:basedOn w:val="1"/>
    <w:qFormat/>
    <w:uiPriority w:val="0"/>
    <w:rPr>
      <w:sz w:val="32"/>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Heading 2"/>
    <w:basedOn w:val="1"/>
    <w:qFormat/>
    <w:uiPriority w:val="0"/>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11361</Words>
  <Characters>11764</Characters>
  <Lines>35</Lines>
  <Paragraphs>10</Paragraphs>
  <TotalTime>14</TotalTime>
  <ScaleCrop>false</ScaleCrop>
  <LinksUpToDate>false</LinksUpToDate>
  <CharactersWithSpaces>11901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2024-01-18T03:12:40Z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E0DCD2FAFD4C4EC78104898D7A030BBD</vt:lpwstr>
  </property>
</Properties>
</file>