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大城县发展和改革</w:t>
      </w:r>
      <w:r>
        <w:rPr>
          <w:rFonts w:hint="eastAsia" w:ascii="Times New Roman" w:hAnsi="Times New Roman" w:eastAsia="方正小标宋简体" w:cs="Times New Roman"/>
          <w:sz w:val="44"/>
          <w:szCs w:val="44"/>
          <w:lang w:val="en-US" w:eastAsia="zh-CN"/>
        </w:rPr>
        <w:t>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发展和改革局本级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1、拟订并组织实施全县国民经济和社会发展战略、中长期规划和年度计划。牵头组织统一规划体系建设。负责县级专项规划、区域规划、空间规划与上下级发展规划的统筹衔接。拟订规范性文件。</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2、提出加快建设全县现代化经济体系、推动高质量发展的总体目标、重大任务以及相关政策。组织开展重大战略规划、重大政策、重大工程等的评估督导，提出相关调整建议。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3、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4、指导推进和综合协调经济体制改革有关工作，提出相关改革建议。牵头推进供给侧结构性改革。协调推进产权制度和要素市场化配置改革。落实国家完善基本经济制度政策，推进现代化市场体系建设，会同有关部门组织实施市场准入负面清单制度。牵头推进优化营商环境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5、提出全县利用外资和境外投资的战略、规划、总量平衡和结构优化政策。牵头推进实施全县“一带一路”建设有关工作。承担统筹协调走出去有关工作。负责全县全口径外债的总量控制、结构优化和监测工作。会同有关部门贯彻落实国家外商投资准入负面清单。</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6、负责全县投资综合管理。拟订全县固定资产投资总规模、结构调控目标和政策，执行上级拟订的政府投资项目审批权限和政府核准的固定资产投资项目目录。安排县级预算内基本建设资金和有关发展性专项资金，按规定权限审批（审核）、备案固定资产投资项目，同时做好审批、审核、核准的监督管理工作。规划全县重点建设项目和生产力布局，组织推动重点建设项目。拟订并推动落实鼓励民间投资政策措施。</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7、推进落实区域协调发展战略、新型城镇化战略和重大政策，组织拟订相关区域规划和政策。按要求做好京津冀协同发展等区域发展战略的相关工作。统筹协调区域合作和对口支援工作。组织编制并推动实施新型城镇化规划。</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8、组织贯彻实施国家产业政策，拟订全县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9、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10、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11、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12、推进实施可持续发展战略，推动生态文明建设和改革，协调生态环境保护与修复、能源资源节约和综合利用等工作。提出健全生态保护补偿机制的政策措施，综合协调环保产业和清洁生产促进有关工作。组织实施省、市下达的能源节约消费控制目标、任务。</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13、组织拟订推进全县经济建设与国防建设协调发展的战略和规划，组织推进经济建设项目贯彻国防要求。</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14、承担县委财经委员会、县推进京津冀协同发展工作领导小组、县重点建设领导小组、县服务支持雄安新区规划建设推进工作领导小组等有关具体工作。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15、组织落实国家、省、市有关粮食流通和物资储备的法律、法规和政策。拟订粮食流通、粮食储备和物资储备的政策和制度并组织实施。指导全县粮食流通和物资储备体制改革。落实国家、省、市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粮食和物资储备规划、储备品种目录建议，组织实施粮食、食糖和救灾物资等物资的收储、轮换和日常管理，落实有关动用计划和指令。负责贯彻落实国家粮食和物资储备仓储管理有关技术标准和规范。负责粮食流通、加工行业安全生产的监督管理，承担县级粮食、食糖和救灾物资等物资承储企业以及物资储备承储单位安全生产的监管责任。负责县级粮食、食糖和救灾物资等物资储备基础设施建设和管理。拟订粮食流通设施建设规划并组织实施，管理有关储备基础设施和粮食流通设施投资项目。负责对粮食、食糖和救灾物资等物资储备的数量、质量和储存安全实施监督管理，对其他部门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16、提出能源发展战略的建议，拟订能源发展规划、产业政策和年度指导计划并组织实施。推进能源体制改革，协调能源发展和改革中的重大问题。组织实施煤炭、石油、天然气、电力、新能源和可再生能源等能源，以及炼油、煤制燃料和生物质液体等燃料的产业政策和相关标准。按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组织推进能源国际合作。参与拟订与能源相关的资源、财税、环保及应对气候变化等政策，提出能源价格调整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 xml:space="preserve">17、拟订并组织实施全县商务发展规划、政策措施和年度安排，监测分析全县商务运行情况。提出流通体制改革建议，推进流通产业结构调整，指导流通企业改革，组织实施重要生产资料流通管理。按有关规定对特殊流通行业进行监督管理。 </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18、执行国家制定的进出口商品、加工贸易管理办法和进出口商品、技术目录。贯彻执行国家、省、市对外技术贸易、进出口管制以及鼓励技术和成套设备进出口的贸易政策。贯彻执行国家、省、市利用外资法律法规规章和外商投资产业政策。综合协调、指导国家级、省级经济开发区有关工作。负责全县对外经济合作工作。配合上级商务部门调查国（境）外对我国出口商品实施的歧视性贸易政策、法律法规及做法。负责全县会展业促进与管理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19、负责全县口岸规划、建设、开放和管理工作。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20、完成县委、县政府交办的其他任务。</w:t>
      </w:r>
    </w:p>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大城县发展和改革局本级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4742.05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1734.91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7.14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4742.05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1480.96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1397.73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83.23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3261.09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城乡社区支出、</w:t>
      </w:r>
      <w:r>
        <w:rPr>
          <w:rFonts w:hint="eastAsia" w:ascii="Times New Roman" w:hAnsi="Times New Roman" w:eastAsia="仿宋_GB2312" w:cs="Times New Roman"/>
          <w:sz w:val="32"/>
          <w:szCs w:val="32"/>
        </w:rPr>
        <w:t>一般公共服务支出、粮油物资储备支出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4742.05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111.18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122.63</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lang w:eastAsia="zh-CN"/>
        </w:rPr>
        <w:t>“十四五”规划编制项目资金、律师服务费</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83.23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0.14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spacing w:line="584" w:lineRule="exact"/>
        <w:ind w:left="0" w:lef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在做好主要经济指标增比进位、债券申报等常规工作的基础上，我局将把主要精力和工作重心放在项目建设上，争取在项目上实现突破，摆脱落后局面。一是扎实推进民营经济二次创业，持续抓好内生项目。重点跟踪全县谋划在谈的内生项目，千方百计破解土地等制约因素，争取尽快实现项目落地；二是加大域外招商力度，积极引进大项目好项目。加强和经开区的协同配合，积极组织开展小团组招商，提高招商成功率。认真研究委托招商。三是密切关注上级有关政策，选准项目建设主攻方向。继续加大新能源项目工作力度，争取进一步扩大项目规模，使绿色能源成为我县一个新的经济亮点。四是实施省市重点项目攻坚，力争市重点项目有新提升，省重点项目零突破。持续跟进中交建二期申报省重点项目前期工作，三峡智慧200MW农光互补发电和金元公司120MW农光储一体化发电等项目争列省重点前期项目，力争获批并转为开工建设。同时，对符合条件的项目积极申报市重点项目，确保完成市下达的任务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w:t>
      </w:r>
      <w:r>
        <w:rPr>
          <w:rFonts w:ascii="楷体_GB2312" w:hAnsi="楷体_GB2312" w:eastAsia="楷体_GB2312"/>
          <w:b/>
        </w:rPr>
        <w:t>年度经济社会发展计划编制</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编制完成年度国民经济和社会发展计划报告</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县人大代表表决通过率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w:t>
      </w:r>
      <w:r>
        <w:rPr>
          <w:rFonts w:ascii="楷体_GB2312" w:hAnsi="楷体_GB2312" w:eastAsia="楷体_GB2312"/>
          <w:b/>
        </w:rPr>
        <w:t>节能监督检查</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通过节能监督，促使用能单位合理用能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单位GDP能耗下降率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w:t>
      </w:r>
      <w:r>
        <w:rPr>
          <w:rFonts w:ascii="楷体_GB2312" w:hAnsi="楷体_GB2312" w:eastAsia="楷体_GB2312"/>
          <w:b/>
        </w:rPr>
        <w:t>省市重点项目争列及县重点项目的确定</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争取将我县项目列入省市重点建设项目</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省、市重点项目个数</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重大项目的督导落实及服务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推动重大项目开工建设，投产达效</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实施重大项目个数</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5.</w:t>
      </w:r>
      <w:r>
        <w:rPr>
          <w:rFonts w:ascii="楷体_GB2312" w:hAnsi="楷体_GB2312" w:eastAsia="楷体_GB2312"/>
          <w:b/>
        </w:rPr>
        <w:t>开拓国内市场</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推进我县商贸企业工贸、农贸和内外贸结合，扩大我县产品的知名度，增加国内市场份额</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参加国内展会次数（次）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6.</w:t>
      </w:r>
      <w:r>
        <w:rPr>
          <w:rFonts w:ascii="楷体_GB2312" w:hAnsi="楷体_GB2312" w:eastAsia="楷体_GB2312"/>
          <w:b/>
        </w:rPr>
        <w:t>培育壮大规模以上贸易企业发展</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对入统贸易企业进行补贴，进一步提升规模以上贸易类企业做大做强</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补贴资金到位率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7.</w:t>
      </w:r>
      <w:r>
        <w:rPr>
          <w:rFonts w:ascii="楷体_GB2312" w:hAnsi="楷体_GB2312" w:eastAsia="楷体_GB2312"/>
          <w:b/>
        </w:rPr>
        <w:t>农村电子商务建设</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提高农村电子商务应用，扩大网络消费规模。推动农村电子商务基础设施建设，提高电子商务执业人员素质；建立与我县农村电子商务发展相适应的机制和体系</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农村电商企业营业额增长率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8.</w:t>
      </w:r>
      <w:r>
        <w:rPr>
          <w:rFonts w:ascii="楷体_GB2312" w:hAnsi="楷体_GB2312" w:eastAsia="楷体_GB2312"/>
          <w:b/>
        </w:rPr>
        <w:t>消费市场调控</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组织实施重要消费品、生产资料市场调控和流通管理,组织做好生活必</w:t>
      </w:r>
      <w:r>
        <w:rPr>
          <w:rFonts w:hint="eastAsia" w:ascii="仿宋_GB2312" w:hAnsi="仿宋_GB2312" w:eastAsia="仿宋_GB2312"/>
          <w:lang w:eastAsia="zh-CN"/>
        </w:rPr>
        <w:t>需</w:t>
      </w:r>
      <w:r>
        <w:rPr>
          <w:rFonts w:ascii="仿宋_GB2312" w:hAnsi="仿宋_GB2312" w:eastAsia="仿宋_GB2312"/>
        </w:rPr>
        <w:t>品、肉菜等储备任务，组织开展消费促进活动，监测市场运行、商品供求状况，进行预测预警。促进社会消费品零售总额持续增长</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市场主要消费品供需情况、社会消费品零售总额增速</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9.</w:t>
      </w:r>
      <w:r>
        <w:rPr>
          <w:rFonts w:ascii="楷体_GB2312" w:hAnsi="楷体_GB2312" w:eastAsia="楷体_GB2312"/>
          <w:b/>
        </w:rPr>
        <w:t>清洁取暖工作</w:t>
      </w:r>
      <w:bookmarkStart w:id="3" w:name="_GoBack"/>
      <w:bookmarkEnd w:id="3"/>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楷体_GB2312" w:hAnsi="楷体_GB2312" w:eastAsia="楷体_GB2312"/>
          <w:b/>
        </w:rPr>
        <w:t>绩效目标：</w:t>
      </w:r>
      <w:r>
        <w:rPr>
          <w:rFonts w:ascii="仿宋_GB2312" w:hAnsi="仿宋_GB2312" w:eastAsia="仿宋_GB2312"/>
        </w:rPr>
        <w:t>进一步杜绝燃煤污染，加大散煤治理力度，确保未进行气代煤改造居民冬季清洁取暖需求</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楷体_GB2312" w:hAnsi="楷体_GB2312" w:eastAsia="楷体_GB2312"/>
          <w:b/>
        </w:rPr>
        <w:t>绩效指标：</w:t>
      </w:r>
      <w:r>
        <w:rPr>
          <w:rFonts w:ascii="仿宋_GB2312" w:hAnsi="仿宋_GB2312" w:eastAsia="仿宋_GB2312"/>
        </w:rPr>
        <w:t>洁净型煤配送率，补贴资金到位率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10.</w:t>
      </w:r>
      <w:r>
        <w:rPr>
          <w:rFonts w:ascii="楷体_GB2312" w:hAnsi="楷体_GB2312" w:eastAsia="楷体_GB2312"/>
          <w:b/>
        </w:rPr>
        <w:t>招商引资</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瞄准重点区域、重点客商和商务机构，加强企业对接、园区对接，项目对接，宣传本县投资环境，力争在重点产业引进一批战略支撑项目、龙头企业和协力配套企业</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赴外地开展招商引资地区数量(个）</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11.</w:t>
      </w:r>
      <w:r>
        <w:rPr>
          <w:rFonts w:ascii="楷体_GB2312" w:hAnsi="楷体_GB2312" w:eastAsia="楷体_GB2312"/>
          <w:b/>
        </w:rPr>
        <w:t>促进对外贸易稳定增长</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完成省市进出口额考核目标，确保对外贸易稳定发展</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楷体_GB2312" w:hAnsi="楷体_GB2312" w:eastAsia="楷体_GB2312"/>
          <w:b/>
        </w:rPr>
        <w:t xml:space="preserve"> </w:t>
      </w:r>
      <w:r>
        <w:rPr>
          <w:rFonts w:ascii="仿宋_GB2312" w:hAnsi="仿宋_GB2312" w:eastAsia="仿宋_GB2312"/>
        </w:rPr>
        <w:t>进出口企业进出口额增长率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12.</w:t>
      </w:r>
      <w:r>
        <w:rPr>
          <w:rFonts w:ascii="楷体_GB2312" w:hAnsi="楷体_GB2312" w:eastAsia="楷体_GB2312"/>
          <w:b/>
        </w:rPr>
        <w:t xml:space="preserve"> 促进全县实际利用外资稳定增长</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楷体_GB2312" w:hAnsi="楷体_GB2312" w:eastAsia="楷体_GB2312"/>
          <w:b/>
        </w:rPr>
        <w:t xml:space="preserve"> </w:t>
      </w:r>
      <w:r>
        <w:rPr>
          <w:rFonts w:ascii="仿宋_GB2312" w:hAnsi="仿宋_GB2312" w:eastAsia="仿宋_GB2312"/>
        </w:rPr>
        <w:t>确保实际利用外资到位，完成省市实际利用外资考核目标任务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实际利用外资增长率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13.</w:t>
      </w:r>
      <w:r>
        <w:rPr>
          <w:rFonts w:ascii="楷体_GB2312" w:hAnsi="楷体_GB2312" w:eastAsia="楷体_GB2312"/>
          <w:b/>
        </w:rPr>
        <w:t>粮食流通统计调查</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确保粮食产、购、销、存、加等数据以及仓储设施、国有资产、经济效益等宏观信息及时上报、汇总，保证数据信息全面、完整、准确、及时</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数据正确率、数据完整率、数据报送时限</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14.</w:t>
      </w:r>
      <w:r>
        <w:rPr>
          <w:rFonts w:ascii="楷体_GB2312" w:hAnsi="楷体_GB2312" w:eastAsia="楷体_GB2312"/>
          <w:b/>
        </w:rPr>
        <w:t>储备粮管理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确保粮食收的进、储的好、用的上</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计划落实率、质量良好率、数量真实率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15.</w:t>
      </w:r>
      <w:r>
        <w:rPr>
          <w:rFonts w:ascii="楷体_GB2312" w:hAnsi="楷体_GB2312" w:eastAsia="楷体_GB2312"/>
          <w:b/>
        </w:rPr>
        <w:t>军供粮油管理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做好政策性军粮供应，保证部队用粮安全，提升服务水平</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资格认定及时性、质量合格率、部队满意率、计划落实率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16.</w:t>
      </w:r>
      <w:r>
        <w:rPr>
          <w:rFonts w:ascii="楷体_GB2312" w:hAnsi="楷体_GB2312" w:eastAsia="楷体_GB2312"/>
          <w:b/>
        </w:rPr>
        <w:t>粮食流通基础设施建设</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基础设施与粮食流通需求相匹配，粮食仓储损耗控制在国家标准范围内，科学储粮率技术应用得到基本普及；粮食基础设施与粮食流通需求相匹配，粮食仓储损耗控制在国家标准范围内，科学储粮率技术应用得到基本普及</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仓储设施完好率、仓容利用率、粮食仓储损耗率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17.</w:t>
      </w:r>
      <w:r>
        <w:rPr>
          <w:rFonts w:ascii="楷体_GB2312" w:hAnsi="楷体_GB2312" w:eastAsia="楷体_GB2312"/>
          <w:b/>
        </w:rPr>
        <w:t>粮食质量安全监测与体系建设</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及时掌握收获、收购、储存、政策性粮食质量安全和品质情况，为制定粮食收购政策提供依据；掌握重点和骨干企业粮食质量状况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监管率、检测率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18.</w:t>
      </w:r>
      <w:r>
        <w:rPr>
          <w:rFonts w:ascii="楷体_GB2312" w:hAnsi="楷体_GB2312" w:eastAsia="楷体_GB2312"/>
          <w:b/>
        </w:rPr>
        <w:t>粮食市场监测预警</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粮食价格监测点布局合理，粮食市场监测预警信息上报及时，预警分析准确、及时</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预警分析准确率、预警分析利用率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19.</w:t>
      </w:r>
      <w:r>
        <w:rPr>
          <w:rFonts w:ascii="楷体_GB2312" w:hAnsi="楷体_GB2312" w:eastAsia="楷体_GB2312"/>
          <w:b/>
        </w:rPr>
        <w:t>粮食科技应用与推广</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宣传推广科学储粮先进技术，促进企业收储、加工环节和农户储粮环节的粮食减损</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农户粮食减损量、粮食科技普及率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20.</w:t>
      </w:r>
      <w:r>
        <w:rPr>
          <w:rFonts w:ascii="楷体_GB2312" w:hAnsi="楷体_GB2312" w:eastAsia="楷体_GB2312"/>
          <w:b/>
        </w:rPr>
        <w:t>法规建设与监督检查</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执法检查常规化；行政执法机构达到90%，执法人员持证上岗率100%；落实行政执法责任制，规范粮食行政执法行为，提高行政执法水平</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持证上岗率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21.</w:t>
      </w:r>
      <w:r>
        <w:rPr>
          <w:rFonts w:ascii="楷体_GB2312" w:hAnsi="楷体_GB2312" w:eastAsia="楷体_GB2312"/>
          <w:b/>
        </w:rPr>
        <w:t>全县粮油库存检查</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促进粮食企业合法经营，确保粮食数量真实、质量良好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检查覆盖率、库存账实相符率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22.</w:t>
      </w:r>
      <w:r>
        <w:rPr>
          <w:rFonts w:ascii="楷体_GB2312" w:hAnsi="楷体_GB2312" w:eastAsia="楷体_GB2312"/>
          <w:b/>
        </w:rPr>
        <w:t>安全生产</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监督本</w:t>
      </w:r>
      <w:r>
        <w:rPr>
          <w:rFonts w:hint="eastAsia" w:ascii="仿宋_GB2312" w:hAnsi="仿宋_GB2312" w:eastAsia="仿宋_GB2312"/>
          <w:lang w:eastAsia="zh-CN"/>
        </w:rPr>
        <w:t>单位</w:t>
      </w:r>
      <w:r>
        <w:rPr>
          <w:rFonts w:ascii="仿宋_GB2312" w:hAnsi="仿宋_GB2312" w:eastAsia="仿宋_GB2312"/>
        </w:rPr>
        <w:t>职责范围内有关行业的安全管理制度的落实</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安全生产事故下降率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23.</w:t>
      </w:r>
      <w:r>
        <w:rPr>
          <w:rFonts w:ascii="楷体_GB2312" w:hAnsi="楷体_GB2312" w:eastAsia="楷体_GB2312"/>
          <w:b/>
        </w:rPr>
        <w:t>规模以上服务业企业入统工作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做好规模以上服务业企业入统及年终扶持资金发放工作，鼓励服务业企业做大做强</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规定时限内完成项目个数</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24.</w:t>
      </w:r>
      <w:r>
        <w:rPr>
          <w:rFonts w:ascii="楷体_GB2312" w:hAnsi="楷体_GB2312" w:eastAsia="楷体_GB2312"/>
          <w:b/>
        </w:rPr>
        <w:t>建档立卡</w:t>
      </w:r>
      <w:r>
        <w:rPr>
          <w:rFonts w:hint="eastAsia" w:ascii="楷体_GB2312" w:hAnsi="楷体_GB2312" w:eastAsia="楷体_GB2312"/>
          <w:b/>
          <w:lang w:eastAsia="zh-CN"/>
        </w:rPr>
        <w:t>脱贫户</w:t>
      </w:r>
      <w:r>
        <w:rPr>
          <w:rFonts w:ascii="楷体_GB2312" w:hAnsi="楷体_GB2312" w:eastAsia="楷体_GB2312"/>
          <w:b/>
        </w:rPr>
        <w:t>帮扶工作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hint="eastAsia" w:ascii="仿宋_GB2312" w:hAnsi="仿宋_GB2312" w:eastAsia="仿宋_GB2312"/>
          <w:lang w:eastAsia="zh-CN"/>
        </w:rPr>
      </w:pPr>
      <w:r>
        <w:rPr>
          <w:rFonts w:ascii="仿宋_GB2312" w:hAnsi="仿宋_GB2312" w:eastAsia="仿宋_GB2312"/>
          <w:b/>
        </w:rPr>
        <w:t>绩效目标：</w:t>
      </w:r>
      <w:r>
        <w:rPr>
          <w:rFonts w:ascii="仿宋_GB2312" w:hAnsi="仿宋_GB2312" w:eastAsia="仿宋_GB2312"/>
        </w:rPr>
        <w:t>继续帮扶我局负责的1</w:t>
      </w:r>
      <w:r>
        <w:rPr>
          <w:rFonts w:hint="eastAsia" w:ascii="仿宋_GB2312" w:hAnsi="仿宋_GB2312" w:eastAsia="仿宋_GB2312"/>
          <w:lang w:eastAsia="zh-CN"/>
        </w:rPr>
        <w:t>6</w:t>
      </w:r>
      <w:r>
        <w:rPr>
          <w:rFonts w:ascii="仿宋_GB2312" w:hAnsi="仿宋_GB2312" w:eastAsia="仿宋_GB2312"/>
        </w:rPr>
        <w:t>户</w:t>
      </w:r>
      <w:r>
        <w:rPr>
          <w:rFonts w:hint="eastAsia" w:ascii="仿宋_GB2312" w:hAnsi="仿宋_GB2312" w:eastAsia="仿宋_GB2312"/>
          <w:lang w:eastAsia="zh-CN"/>
        </w:rPr>
        <w:t>脱贫</w:t>
      </w:r>
      <w:r>
        <w:rPr>
          <w:rFonts w:ascii="仿宋_GB2312" w:hAnsi="仿宋_GB2312" w:eastAsia="仿宋_GB2312"/>
        </w:rPr>
        <w:t>户，持续改善</w:t>
      </w:r>
      <w:r>
        <w:rPr>
          <w:rFonts w:hint="eastAsia" w:ascii="仿宋_GB2312" w:hAnsi="仿宋_GB2312" w:eastAsia="仿宋_GB2312"/>
          <w:lang w:eastAsia="zh-CN"/>
        </w:rPr>
        <w:t>脱贫</w:t>
      </w:r>
      <w:r>
        <w:rPr>
          <w:rFonts w:ascii="仿宋_GB2312" w:hAnsi="仿宋_GB2312" w:eastAsia="仿宋_GB2312"/>
        </w:rPr>
        <w:t>户生活</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帮扶效果、帮扶对象满意度</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25.</w:t>
      </w:r>
      <w:r>
        <w:rPr>
          <w:rFonts w:ascii="楷体_GB2312" w:hAnsi="楷体_GB2312" w:eastAsia="楷体_GB2312"/>
          <w:b/>
        </w:rPr>
        <w:t>支煤、支油、支铁</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处理好煤田、油田、铁路系统各企业与地方的工农关系，推进煤田企业在我县项目的顺利实施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年度支持煤田、油田、铁路系统工作完成情况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26.</w:t>
      </w:r>
      <w:r>
        <w:rPr>
          <w:rFonts w:ascii="楷体_GB2312" w:hAnsi="楷体_GB2312" w:eastAsia="楷体_GB2312"/>
          <w:b/>
        </w:rPr>
        <w:t>煤炭生产许可证的审核、申报和监管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依法做好全县煤炭生产许可证的审核、申报和监管工作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全县煤炭生产许可证审核</w:t>
      </w:r>
      <w:r>
        <w:rPr>
          <w:rFonts w:hint="eastAsia" w:ascii="仿宋_GB2312" w:hAnsi="仿宋_GB2312" w:eastAsia="仿宋_GB2312"/>
          <w:lang w:eastAsia="zh-CN"/>
        </w:rPr>
        <w:t>、</w:t>
      </w:r>
      <w:r>
        <w:rPr>
          <w:rFonts w:ascii="仿宋_GB2312" w:hAnsi="仿宋_GB2312" w:eastAsia="仿宋_GB2312"/>
        </w:rPr>
        <w:t>申报和监管工作完成程度</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27.</w:t>
      </w:r>
      <w:r>
        <w:rPr>
          <w:rFonts w:ascii="楷体_GB2312" w:hAnsi="楷体_GB2312" w:eastAsia="楷体_GB2312"/>
          <w:b/>
        </w:rPr>
        <w:t>煤田压覆项目审批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严格审查煤田压覆项目</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煤田压覆项目审查完成程度</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28.</w:t>
      </w:r>
      <w:r>
        <w:rPr>
          <w:rFonts w:ascii="楷体_GB2312" w:hAnsi="楷体_GB2312" w:eastAsia="楷体_GB2312"/>
          <w:b/>
        </w:rPr>
        <w:t>取暖季天然气保供</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确保冬季取暖天然气供应充足、稳定</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 xml:space="preserve">群众满意度 </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29.</w:t>
      </w:r>
      <w:r>
        <w:rPr>
          <w:rFonts w:ascii="楷体_GB2312" w:hAnsi="楷体_GB2312" w:eastAsia="楷体_GB2312"/>
          <w:b/>
        </w:rPr>
        <w:t>实施全县农产品成本调查</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完成对全县主要农产品的价格监测工作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30.</w:t>
      </w:r>
      <w:r>
        <w:rPr>
          <w:rFonts w:ascii="楷体_GB2312" w:hAnsi="楷体_GB2312" w:eastAsia="楷体_GB2312"/>
          <w:b/>
        </w:rPr>
        <w:t>价格成本调查和定价成本监审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完成年度价格成本调查和定价成本监审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hint="eastAsia" w:ascii="楷体_GB2312" w:hAnsi="楷体_GB2312" w:eastAsia="楷体_GB2312"/>
          <w:b/>
          <w:lang w:val="en-US" w:eastAsia="zh-CN"/>
        </w:rPr>
        <w:t>31.</w:t>
      </w:r>
      <w:r>
        <w:rPr>
          <w:rFonts w:ascii="楷体_GB2312" w:hAnsi="楷体_GB2312" w:eastAsia="楷体_GB2312"/>
          <w:b/>
        </w:rPr>
        <w:t>价格舆情监测与应急处置</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建立价格舆情应急处置机制，健全价格舆情监测系统</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任务完成情况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32.</w:t>
      </w:r>
      <w:r>
        <w:rPr>
          <w:rFonts w:ascii="楷体_GB2312" w:hAnsi="楷体_GB2312" w:eastAsia="楷体_GB2312"/>
          <w:b/>
        </w:rPr>
        <w:t>价格争议调解处理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根据当事人的申请，依法对各类市场主体之间的价格（或损失）争议进行调解处理，打造廉洁高效的价格政务服务环境</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33.</w:t>
      </w:r>
      <w:r>
        <w:rPr>
          <w:rFonts w:ascii="楷体_GB2312" w:hAnsi="楷体_GB2312" w:eastAsia="楷体_GB2312"/>
          <w:b/>
        </w:rPr>
        <w:t>司法案件涉案财物、行政工作所涉财物价格认定</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司法机关提出，司法案件中涉及的价格不明或者价格有争议的涉案财物价格认定；经行政机关提出，行政工作，包括行政诉讼、复议及处罚案件，行政征收、征用（含应税物价格认定）及执法活动，国家赔偿、补偿等事项中所涉财物价格认定；办理本级价格认定复核事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34.</w:t>
      </w:r>
      <w:r>
        <w:rPr>
          <w:rFonts w:ascii="楷体_GB2312" w:hAnsi="楷体_GB2312" w:eastAsia="楷体_GB2312"/>
          <w:b/>
        </w:rPr>
        <w:t>纪检监察案件涉案财物价格认定</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办理完成本年度内经纪检监察机关提出的纪检监察机关查办案件涉案财物价格认定；办理本级价格认定复核事项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35.</w:t>
      </w:r>
      <w:r>
        <w:rPr>
          <w:rFonts w:ascii="楷体_GB2312" w:hAnsi="楷体_GB2312" w:eastAsia="楷体_GB2312"/>
          <w:b/>
        </w:rPr>
        <w:t>大灾储备金</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做好救灾物资储备管理工作，保证灾害发生时为灾民提供及时安全有效的物资支持，保障灾民基本生活</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受灾群众覆盖率、县级救灾物资运达灾区时间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1.</w:t>
      </w:r>
      <w:r>
        <w:rPr>
          <w:rFonts w:ascii="楷体_GB2312" w:hAnsi="楷体_GB2312" w:eastAsia="楷体_GB2312"/>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严格落实中共大城县委、县政府《关于全面实施预算绩效管理的实施意见》，依照相关会计法律法规，结合实际情况，积极推动单位内部控制建设，制定发改局内控手册，规范完善机关公务接待、车辆管理、因公出差、会议、培训、下乡等费用报账制度，为全年预算绩效目标的实现奠定制度基础。</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2.</w:t>
      </w:r>
      <w:r>
        <w:rPr>
          <w:rFonts w:ascii="楷体_GB2312" w:hAnsi="楷体_GB2312" w:eastAsia="楷体_GB2312"/>
        </w:rPr>
        <w:t>加强支出管理</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加强预算编制工作，编细编实预算，各承担项目股室要制定年度支出计划，抓紧时间完成项目前期准备工作，加速履行政府采购手续、尽快启动项目，按照计划的时间节点，严格支出程序，加快资金支出进度，确保支出进度达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3.</w:t>
      </w:r>
      <w:r>
        <w:rPr>
          <w:rFonts w:ascii="楷体_GB2312" w:hAnsi="楷体_GB2312" w:eastAsia="楷体_GB2312"/>
        </w:rPr>
        <w:t>加强绩效运行监控</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按要求开展绩效运行监控，发现问题及时采取措施，确保绩效目标如期保质实现。</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8"/>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做好绩效自评</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color w:val="auto"/>
        </w:rPr>
      </w:pPr>
      <w:r>
        <w:rPr>
          <w:rFonts w:ascii="仿宋_GB2312" w:hAnsi="仿宋_GB2312" w:eastAsia="仿宋_GB2312"/>
          <w:color w:val="auto"/>
        </w:rPr>
        <w:t>按要求开展上年度</w:t>
      </w:r>
      <w:r>
        <w:rPr>
          <w:rFonts w:hint="eastAsia" w:ascii="仿宋_GB2312" w:hAnsi="仿宋_GB2312" w:eastAsia="仿宋_GB2312"/>
          <w:color w:val="auto"/>
          <w:lang w:eastAsia="zh-CN"/>
        </w:rPr>
        <w:t>单位</w:t>
      </w:r>
      <w:r>
        <w:rPr>
          <w:rFonts w:ascii="仿宋_GB2312" w:hAnsi="仿宋_GB2312" w:eastAsia="仿宋_GB2312"/>
          <w:color w:val="auto"/>
        </w:rPr>
        <w:t>预算绩效自评和重点评价工作，对评价中发现的问题及时整改，调整优化支出结构， 提高财政资金使用效益。</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5.</w:t>
      </w:r>
      <w:r>
        <w:rPr>
          <w:rFonts w:ascii="楷体_GB2312" w:hAnsi="楷体_GB2312" w:eastAsia="楷体_GB2312"/>
        </w:rPr>
        <w:t xml:space="preserve"> 规范财务资产管理</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完善财务管理制度，严格审批程序，加强固定资产登记、使用和报废处置管理，做到支出合理，物尽其用。</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6.</w:t>
      </w:r>
      <w:r>
        <w:rPr>
          <w:rFonts w:ascii="楷体_GB2312" w:hAnsi="楷体_GB2312" w:eastAsia="楷体_GB2312"/>
        </w:rPr>
        <w:t>加强内部监督</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加强内部监督制度建设，严格执行财务预算和财务管理制度，重大开支经局党组集体研究，会议费、差旅费、培训费和“三公经费”坚决按相关文件规定执行，完善审批、预算手续，做到附件依据齐全，杜绝一切超标准、超预算的开支；做好机关财务自查自审，发现问题及时制定措施组织整改。并配合做好审计、财政监督等外部监督工作，确保财政资金安全有效。</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7.</w:t>
      </w:r>
      <w:r>
        <w:rPr>
          <w:rFonts w:ascii="楷体_GB2312" w:hAnsi="楷体_GB2312" w:eastAsia="楷体_GB2312"/>
        </w:rPr>
        <w:t>加强宣传培训调研</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宋体" w:hAnsi="宋体" w:eastAsia="宋体"/>
          <w:color w:val="auto"/>
        </w:rPr>
      </w:pPr>
      <w:r>
        <w:rPr>
          <w:rFonts w:ascii="仿宋_GB2312" w:hAnsi="仿宋_GB2312" w:eastAsia="仿宋_GB2312"/>
          <w:b w:val="0"/>
          <w:color w:val="auto"/>
        </w:rPr>
        <w:t>加强人员培训，提高本</w:t>
      </w:r>
      <w:r>
        <w:rPr>
          <w:rFonts w:hint="eastAsia" w:ascii="仿宋_GB2312" w:hAnsi="仿宋_GB2312" w:eastAsia="仿宋_GB2312"/>
          <w:b w:val="0"/>
          <w:color w:val="auto"/>
          <w:lang w:eastAsia="zh-CN"/>
        </w:rPr>
        <w:t>单位</w:t>
      </w:r>
      <w:r>
        <w:rPr>
          <w:rFonts w:ascii="仿宋_GB2312" w:hAnsi="仿宋_GB2312" w:eastAsia="仿宋_GB2312"/>
          <w:b w:val="0"/>
          <w:color w:val="auto"/>
        </w:rPr>
        <w:t>职工业务素质；结合实际工作，加强调研，提出优化财政资金配置、提高资金使用效益的意见；加大宣传力度，强化预算绩效管理意识，促进预算绩效管理水平进一步提升。</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pStyle w:val="2"/>
        <w:rPr>
          <w:rFonts w:hint="eastAsia"/>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974"/>
        <w:gridCol w:w="209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974" w:type="dxa"/>
            <w:vMerge w:val="continue"/>
            <w:tcBorders>
              <w:tl2br w:val="nil"/>
              <w:tr2bl w:val="nil"/>
            </w:tcBorders>
            <w:vAlign w:val="center"/>
          </w:tcPr>
          <w:p/>
        </w:tc>
        <w:tc>
          <w:tcPr>
            <w:tcW w:w="209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项目数量</w:t>
            </w:r>
          </w:p>
        </w:tc>
        <w:tc>
          <w:tcPr>
            <w:tcW w:w="20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完成预算项目支出工作</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考察全年需要完成支出的预算项目数量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28</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20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考察工作完成质量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优良</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9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完成工作时限</w:t>
            </w:r>
          </w:p>
        </w:tc>
        <w:tc>
          <w:tcPr>
            <w:tcW w:w="20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工作完成时效性</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考察工作完成的时效性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9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项目总成本</w:t>
            </w:r>
          </w:p>
        </w:tc>
        <w:tc>
          <w:tcPr>
            <w:tcW w:w="20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节约成本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考察全年预算项目总成本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3261.09</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74" w:type="dxa"/>
            <w:tcBorders>
              <w:tl2br w:val="nil"/>
              <w:tr2bl w:val="nil"/>
            </w:tcBorders>
            <w:vAlign w:val="center"/>
          </w:tcPr>
          <w:p>
            <w:pPr>
              <w:widowControl/>
              <w:adjustRightInd w:val="0"/>
              <w:snapToGrid w:val="0"/>
              <w:rPr>
                <w:rFonts w:ascii="方正书宋_GBK" w:eastAsia="方正书宋_GBK"/>
              </w:rPr>
            </w:pPr>
          </w:p>
        </w:tc>
        <w:tc>
          <w:tcPr>
            <w:tcW w:w="209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97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主要经济指标增速平稳</w:t>
            </w:r>
          </w:p>
        </w:tc>
        <w:tc>
          <w:tcPr>
            <w:tcW w:w="20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主要经济指标增速</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促进主要经济指标增速平稳</w:t>
            </w:r>
          </w:p>
        </w:tc>
        <w:tc>
          <w:tcPr>
            <w:tcW w:w="54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书宋_GBK" w:eastAsia="方正书宋_GBK"/>
                <w:lang w:eastAsia="zh-CN"/>
              </w:rPr>
            </w:pPr>
            <w:r>
              <w:rPr>
                <w:rFonts w:hint="eastAsia" w:ascii="方正书宋_GBK" w:eastAsia="方正书宋_GBK"/>
                <w:kern w:val="2"/>
                <w:sz w:val="21"/>
                <w:lang w:eastAsia="zh-CN"/>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促进</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974" w:type="dxa"/>
            <w:tcBorders>
              <w:tl2br w:val="nil"/>
              <w:tr2bl w:val="nil"/>
            </w:tcBorders>
            <w:vAlign w:val="center"/>
          </w:tcPr>
          <w:p>
            <w:pPr>
              <w:widowControl/>
              <w:adjustRightInd w:val="0"/>
              <w:snapToGrid w:val="0"/>
              <w:rPr>
                <w:rFonts w:ascii="方正书宋_GBK" w:eastAsia="方正书宋_GBK"/>
              </w:rPr>
            </w:pPr>
          </w:p>
        </w:tc>
        <w:tc>
          <w:tcPr>
            <w:tcW w:w="209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974" w:type="dxa"/>
            <w:tcBorders>
              <w:tl2br w:val="nil"/>
              <w:tr2bl w:val="nil"/>
            </w:tcBorders>
            <w:noWrap/>
            <w:vAlign w:val="center"/>
          </w:tcPr>
          <w:p>
            <w:pPr>
              <w:widowControl/>
              <w:adjustRightInd w:val="0"/>
              <w:snapToGrid w:val="0"/>
              <w:rPr>
                <w:rFonts w:ascii="方正书宋_GBK" w:eastAsia="方正书宋_GBK"/>
              </w:rPr>
            </w:pPr>
          </w:p>
        </w:tc>
        <w:tc>
          <w:tcPr>
            <w:tcW w:w="209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97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09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反映服务对象满意度的情况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98</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ascii="仿宋_GB2312" w:eastAsia="仿宋_GB2312" w:cs="Times New Roman"/>
          <w:sz w:val="32"/>
          <w:szCs w:val="32"/>
        </w:rPr>
      </w:pPr>
    </w:p>
    <w:p>
      <w:pPr>
        <w:pStyle w:val="2"/>
        <w:rPr>
          <w:rFonts w:ascii="仿宋_GB2312" w:eastAsia="仿宋_GB2312" w:cs="Times New Roman"/>
          <w:sz w:val="32"/>
          <w:szCs w:val="32"/>
        </w:rPr>
      </w:pPr>
    </w:p>
    <w:p>
      <w:pPr>
        <w:rPr>
          <w:rFonts w:ascii="仿宋_GB2312" w:eastAsia="仿宋_GB2312" w:cs="Times New Roman"/>
          <w:sz w:val="32"/>
          <w:szCs w:val="32"/>
        </w:rPr>
      </w:pPr>
    </w:p>
    <w:p>
      <w:pPr>
        <w:pStyle w:val="2"/>
        <w:rPr>
          <w:rFonts w:ascii="仿宋_GB2312" w:eastAsia="仿宋_GB2312" w:cs="Times New Roman"/>
          <w:sz w:val="32"/>
          <w:szCs w:val="32"/>
        </w:rPr>
      </w:pPr>
    </w:p>
    <w:p>
      <w:pPr>
        <w:rPr>
          <w:rFonts w:ascii="仿宋_GB2312" w:eastAsia="仿宋_GB2312" w:cs="Times New Roman"/>
          <w:sz w:val="32"/>
          <w:szCs w:val="32"/>
        </w:rPr>
      </w:pPr>
    </w:p>
    <w:p>
      <w:pPr>
        <w:pStyle w:val="2"/>
        <w:rPr>
          <w:rFonts w:ascii="仿宋_GB2312" w:eastAsia="仿宋_GB2312" w:cs="Times New Roman"/>
          <w:sz w:val="32"/>
          <w:szCs w:val="32"/>
        </w:rPr>
      </w:pPr>
    </w:p>
    <w:p>
      <w:pPr>
        <w:rPr>
          <w:rFonts w:ascii="仿宋_GB2312" w:eastAsia="仿宋_GB2312" w:cs="Times New Roman"/>
          <w:sz w:val="32"/>
          <w:szCs w:val="32"/>
        </w:rPr>
      </w:pPr>
    </w:p>
    <w:p>
      <w:pPr>
        <w:pStyle w:val="2"/>
        <w:rPr>
          <w:rFonts w:ascii="仿宋_GB2312" w:eastAsia="仿宋_GB2312" w:cs="Times New Roman"/>
          <w:sz w:val="32"/>
          <w:szCs w:val="32"/>
        </w:rPr>
      </w:pPr>
    </w:p>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98年前县级负担财务挂账利息</w:t>
      </w:r>
      <w:r>
        <w:rPr>
          <w:rFonts w:ascii="Times New Roman" w:hAnsi="Times New Roman" w:eastAsia="仿宋_GB2312" w:cs="Times New Roman"/>
          <w:sz w:val="28"/>
        </w:rPr>
        <w:t>绩效目标表</w:t>
      </w:r>
      <w:bookmarkStart w:id="0" w:name="_Toc29799657"/>
      <w:bookmarkEnd w:id="0"/>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按照省财政厅、省农发行通知文件要求的数额和时间节点，一次性拨付资金，完成本预算年度粮食挂账利息上缴工作，避免罚息，提高信用度。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付息的月数</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考察需要付息的月数</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个月</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实际偿还金额/计划偿还金额的比例</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付息及时性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考察付息的及时情况</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付息金额</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考察2022年付息金额</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35</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根据每年付息金额确定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提高信用度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及时付息提高了信用度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付息的月数</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考察需要付息的月数</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个月</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冀财建（2011）367号文件</w:t>
            </w:r>
          </w:p>
        </w:tc>
      </w:tr>
    </w:tbl>
    <w:p>
      <w:pPr>
        <w:pStyle w:val="2"/>
        <w:rPr>
          <w:rFonts w:ascii="Times New Roman" w:hAnsi="Times New Roman" w:eastAsia="仿宋_GB2312" w:cs="Times New Roman"/>
          <w:sz w:val="28"/>
        </w:rPr>
      </w:pPr>
    </w:p>
    <w:p>
      <w:pPr>
        <w:rPr>
          <w:rFonts w:ascii="Times New Roman" w:hAnsi="Times New Roman" w:eastAsia="仿宋_GB2312" w:cs="Times New Roman"/>
          <w:sz w:val="28"/>
        </w:rPr>
      </w:pPr>
    </w:p>
    <w:p>
      <w:pPr>
        <w:pStyle w:val="2"/>
        <w:rPr>
          <w:rFonts w:ascii="Times New Roman" w:hAnsi="Times New Roman" w:eastAsia="仿宋_GB2312" w:cs="Times New Roman"/>
          <w:sz w:val="28"/>
        </w:rPr>
      </w:pPr>
    </w:p>
    <w:p>
      <w:pPr>
        <w:rPr>
          <w:rFonts w:ascii="Times New Roman" w:hAnsi="Times New Roman" w:eastAsia="仿宋_GB2312" w:cs="Times New Roman"/>
          <w:sz w:val="28"/>
        </w:rPr>
      </w:pPr>
    </w:p>
    <w:p>
      <w:pPr>
        <w:pStyle w:val="2"/>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2.2021年规模以上贸易企业扶持资金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90"/>
        <w:gridCol w:w="1860"/>
        <w:gridCol w:w="3060"/>
        <w:gridCol w:w="1575"/>
        <w:gridCol w:w="3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按时完成对我县25家列统企业的奖补资金，进一步提升规模以上贸易类企业做大做强。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9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860"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企业数量</w:t>
            </w:r>
          </w:p>
        </w:tc>
        <w:tc>
          <w:tcPr>
            <w:tcW w:w="306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补贴企业数量</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家</w:t>
            </w:r>
          </w:p>
        </w:tc>
        <w:tc>
          <w:tcPr>
            <w:tcW w:w="346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县政府《关于进一步培育壮大规模以上贸易类企业的实施意见》（大政【2016】第166号文要求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860"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达标率</w:t>
            </w:r>
          </w:p>
        </w:tc>
        <w:tc>
          <w:tcPr>
            <w:tcW w:w="30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补贴企业达标率</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4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县政府《关于进一步培育壮大规模以上贸易类企业的实施意见》（大政【2016】第166号文要求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860"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及时率</w:t>
            </w:r>
          </w:p>
        </w:tc>
        <w:tc>
          <w:tcPr>
            <w:tcW w:w="30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补贴资金发放的时效性</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4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县政府《关于进一步培育壮大规模以上贸易类企业的实施意见》（大政【2016】第166号文要求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90"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860" w:type="dxa"/>
            <w:shd w:val="clear" w:color="auto" w:fill="auto"/>
            <w:vAlign w:val="center"/>
          </w:tcPr>
          <w:p>
            <w:pPr>
              <w:keepNext w:val="0"/>
              <w:keepLines w:val="0"/>
              <w:widowControl/>
              <w:suppressLineNumbers w:val="0"/>
              <w:jc w:val="both"/>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060"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57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30</w:t>
            </w:r>
            <w:r>
              <w:rPr>
                <w:rFonts w:hint="eastAsia" w:ascii="宋体" w:hAnsi="宋体" w:eastAsia="宋体" w:cs="宋体"/>
                <w:i w:val="0"/>
                <w:iCs w:val="0"/>
                <w:color w:val="000000"/>
                <w:kern w:val="0"/>
                <w:sz w:val="18"/>
                <w:szCs w:val="18"/>
                <w:u w:val="none"/>
                <w:lang w:val="en-US" w:eastAsia="zh-CN" w:bidi="ar"/>
              </w:rPr>
              <w:t>万元</w:t>
            </w:r>
          </w:p>
        </w:tc>
        <w:tc>
          <w:tcPr>
            <w:tcW w:w="34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县政府《关于进一步培育壮大规模以上贸易类企业的实施意见》（大政【2016】第166号文要求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860"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列统贸易企业能力提升</w:t>
            </w:r>
          </w:p>
        </w:tc>
        <w:tc>
          <w:tcPr>
            <w:tcW w:w="30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补助带动列统贸易企业能力提升</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w:t>
            </w:r>
          </w:p>
        </w:tc>
        <w:tc>
          <w:tcPr>
            <w:tcW w:w="34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县政府《关于进一步培育壮大规模以上贸易类企业的实施意见》（大政【2016】第166号文要求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60"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0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考察企业对项目实施的满意程度</w:t>
            </w:r>
          </w:p>
        </w:tc>
        <w:tc>
          <w:tcPr>
            <w:tcW w:w="1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4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3.2021年规上服务业企业扶持资金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对经认定符合补贴标准的规上服务业企业发放奖补资金，进一步调动规上服务业企业入统积极性，引导鼓励服务业加快发展，推动经济结构调整和产业转型升级，为全县经济增长增添新动能。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补贴企业数量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补贴企业数量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家</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经县统计局认定的企业数量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发放率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补贴资金发放率</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大城县人民政府关于进一步培育壮大规模以上服务业企业的实施意见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发放及时性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考察发放补贴的及时情况</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大城县人民政府关于进一步培育壮大规模以上服务业企业的实施意见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2"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3"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大城县人民政府关于进一步培育壮大规模以上服务业企业的实施意见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推动服务业发展</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考察项目对服务业发展的推动作用</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大城县人民政府关于进一步培育壮大规模以上服务业企业的实施意见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考察企业对发放扶持资金的满意程度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4.2022年“十四五”规划编制项目资金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通过完成我县“十四五”规划编制工作，促进“十四五”期间经济社会高质量发展。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编制数量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编制大城县“十四五”规划</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部</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《廊坊市人民政府办公室关于做好“十四五”规划编制工作的实施方案》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规划编制质量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规划编制质量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优</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《廊坊市人民政府办公室关于做好“十四五”规划编制工作的实施方案》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规划编制印发的时效性</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《廊坊市人民政府办公室关于做好“十四五”规划编制工作的实施方案》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3.5</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县政府关于大发改[2019]80号文的批复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促进经济社会高质量发展</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对“十四五”期间经济社会高质量发展有促进作用</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《廊坊市人民政府办公室关于做好“十四五”规划编制工作的实施方案》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规划成果长期使用性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规划成果长期使用性</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长期</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《廊坊市人民政府办公室关于做好“十四五”规划编制工作的实施方案》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5.2022年安全生产专项业务费</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通过对企业进行宣传、专家授课、演练、检查，有效管控安全生产风险， 营造安全生产氛围，坚决防范遏制各类安全生产事故发生。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宣传册数量</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宣传册数量</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2000</w:t>
            </w:r>
            <w:r>
              <w:rPr>
                <w:rFonts w:hint="eastAsia" w:ascii="宋体" w:hAnsi="宋体" w:eastAsia="宋体" w:cs="宋体"/>
                <w:i w:val="0"/>
                <w:iCs w:val="0"/>
                <w:color w:val="000000"/>
                <w:kern w:val="0"/>
                <w:sz w:val="18"/>
                <w:szCs w:val="18"/>
                <w:u w:val="none"/>
                <w:lang w:val="en-US" w:eastAsia="zh-CN" w:bidi="ar"/>
              </w:rPr>
              <w:t>册</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发改局2022年安全生产工作计划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完成及时性</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考察工作是否按计划及时完成</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发改局2022年安全生产工作计划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重点行业企业安全生产知识普及率</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重点行业企业安全生产知识普及率</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发改局2022年安全生产工作计划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根据往年经费支出数值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营造安全生产氛围</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营造了社会安全生产氛围</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营造</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发改局2022年安全生产工作计划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所服务企业的满意度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6.2022年办公楼安全维修项目资金</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6"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消除安全隐患，确保机关正常运行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6"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墙面改造面积</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墙面加固、保温、粉刷</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1680</w:t>
            </w:r>
            <w:r>
              <w:rPr>
                <w:rFonts w:hint="eastAsia" w:ascii="宋体" w:hAnsi="宋体" w:eastAsia="宋体" w:cs="宋体"/>
                <w:i w:val="0"/>
                <w:iCs w:val="0"/>
                <w:color w:val="000000"/>
                <w:kern w:val="0"/>
                <w:sz w:val="18"/>
                <w:szCs w:val="18"/>
                <w:u w:val="none"/>
                <w:lang w:val="en-US" w:eastAsia="zh-CN" w:bidi="ar"/>
              </w:rPr>
              <w:t>平方米</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窗户改造面积</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旧窗户拆除更换新窗户</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235</w:t>
            </w:r>
            <w:r>
              <w:rPr>
                <w:rFonts w:hint="eastAsia" w:ascii="宋体" w:hAnsi="宋体" w:eastAsia="宋体" w:cs="宋体"/>
                <w:i w:val="0"/>
                <w:iCs w:val="0"/>
                <w:color w:val="000000"/>
                <w:kern w:val="0"/>
                <w:sz w:val="18"/>
                <w:szCs w:val="18"/>
                <w:u w:val="none"/>
                <w:lang w:val="en-US" w:eastAsia="zh-CN" w:bidi="ar"/>
              </w:rPr>
              <w:t>平方米</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工程完成质量</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制作完成率</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符合质量标准</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工作完成时效性</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58</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6"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改善办公环境</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考察是否改善办公环境</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改善</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7"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工作人员满意度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7.2022年成本监审项目资金</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价格成本聘请第三方监审费，达到稳定关系民生的产品和服务的价格的目的。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5"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成本监审</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开展成本监审次数</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次</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根据往年上级相关文件要求确定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5"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抽查覆盖率</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抽查对象的数量占全部对象的比</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根据往年上级相关文件要求确定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5"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完成及时率</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成本监审完成及时率</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根据往年上级相关文件要求确定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5"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监审成本</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监审成本</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《政府制定价格成本监审办法》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5"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稳定关系民生的产品和服务的价格</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稳定关系民生的产品和服务的价格</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稳定</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《政府制定价格成本监审办法》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考察人民群众的满意程度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8.2022年大项目专项业务费</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协调推进重大项目建设进程，协助协调解决重大项目实施中遇到的问题，推动重大项目开工建设，投产达效。按照廊坊市要求，圆满完成上级交办的每季度集中开工、项目观摩等各类项目活动，推进重大项目顺利实施，促进项目建设和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举办集中开工、项目观摩活动数量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举办集中开工、项目观摩活动数量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次</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活动完成率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圆满完成</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项目完成及时率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项目完成及时率</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推进重大项目顺利实施</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考察是否推进重大项目顺利实施</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推进</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促进项目建设和经济发展</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促进经济发展</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《廊坊市产业项目倍增计划活动实施方案》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项目单位满意度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9.2022年大灾储备项目资金</w:t>
      </w:r>
      <w:r>
        <w:rPr>
          <w:rFonts w:ascii="Times New Roman" w:hAnsi="Times New Roman" w:eastAsia="仿宋_GB2312" w:cs="Times New Roman"/>
          <w:sz w:val="28"/>
        </w:rPr>
        <w:t>绩效目标表</w:t>
      </w:r>
    </w:p>
    <w:tbl>
      <w:tblPr>
        <w:tblStyle w:val="9"/>
        <w:tblW w:w="14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8"/>
        <w:gridCol w:w="2277"/>
        <w:gridCol w:w="1993"/>
        <w:gridCol w:w="3416"/>
        <w:gridCol w:w="1850"/>
        <w:gridCol w:w="2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tblHeader/>
          <w:jc w:val="center"/>
        </w:trPr>
        <w:tc>
          <w:tcPr>
            <w:tcW w:w="24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701"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通过自然灾害救助工作，维护受灾地区社会稳定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tblHeader/>
          <w:jc w:val="center"/>
        </w:trPr>
        <w:tc>
          <w:tcPr>
            <w:tcW w:w="241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1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1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补助金发放率</w:t>
            </w:r>
          </w:p>
        </w:tc>
        <w:tc>
          <w:tcPr>
            <w:tcW w:w="341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实际发放补助金占计划发放数比例</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《国家自然灾害救助条例》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1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补助覆盖率</w:t>
            </w:r>
          </w:p>
        </w:tc>
        <w:tc>
          <w:tcPr>
            <w:tcW w:w="341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已补助人数占补助人数比例</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《国家自然灾害救助条例》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1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补贴发放及时性</w:t>
            </w:r>
          </w:p>
        </w:tc>
        <w:tc>
          <w:tcPr>
            <w:tcW w:w="341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考察补贴发放的及时情况</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《国家自然灾害救助条例》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241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9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1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考察成本控制在预算额度范围内</w:t>
            </w:r>
          </w:p>
        </w:tc>
        <w:tc>
          <w:tcPr>
            <w:tcW w:w="185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万元</w:t>
            </w:r>
          </w:p>
        </w:tc>
        <w:tc>
          <w:tcPr>
            <w:tcW w:w="216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根据对灾情的预判估算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1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保障灾民基本生活水平</w:t>
            </w:r>
          </w:p>
        </w:tc>
        <w:tc>
          <w:tcPr>
            <w:tcW w:w="341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考察项目实施后保障了灾民基本生活水平</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《国家自然灾害救助条例》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241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救助对象满意度</w:t>
            </w:r>
          </w:p>
        </w:tc>
        <w:tc>
          <w:tcPr>
            <w:tcW w:w="341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救助对象满意度</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10.2022年电子商务管理办公室专项业务费</w:t>
      </w:r>
      <w:r>
        <w:rPr>
          <w:rFonts w:ascii="Times New Roman" w:hAnsi="Times New Roman" w:eastAsia="仿宋_GB2312" w:cs="Times New Roman"/>
          <w:sz w:val="28"/>
        </w:rPr>
        <w:t>绩效目标表</w:t>
      </w:r>
    </w:p>
    <w:tbl>
      <w:tblPr>
        <w:tblStyle w:val="9"/>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8"/>
        <w:gridCol w:w="2258"/>
        <w:gridCol w:w="1976"/>
        <w:gridCol w:w="3387"/>
        <w:gridCol w:w="1834"/>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7" w:hRule="atLeast"/>
          <w:tblHeader/>
          <w:jc w:val="center"/>
        </w:trPr>
        <w:tc>
          <w:tcPr>
            <w:tcW w:w="23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01"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做好县级电子商务公共服务中心、物流配送中心日常管理，购置办公用品、组织企业培训，保障办公室正常运转，促进电子商务企业做大做强。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7" w:hRule="atLeast"/>
          <w:tblHeader/>
          <w:jc w:val="center"/>
        </w:trPr>
        <w:tc>
          <w:tcPr>
            <w:tcW w:w="23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3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培训人次</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年参加培训人次</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人次</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3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培训合格率</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考察培训结果的合格情况</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3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项目完成及时率</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项目完成及时率</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3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3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3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万元</w:t>
            </w:r>
          </w:p>
        </w:tc>
        <w:tc>
          <w:tcPr>
            <w:tcW w:w="214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jc w:val="center"/>
        </w:trPr>
        <w:tc>
          <w:tcPr>
            <w:tcW w:w="239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促进电子商务企业做大做强</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考察是否促进电子商务企业做大做强</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39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保障办公室正常运转</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考察是否保障了办公室正常运转</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《电子商务工作计划》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7" w:hRule="atLeast"/>
          <w:jc w:val="center"/>
        </w:trPr>
        <w:tc>
          <w:tcPr>
            <w:tcW w:w="239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3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考察培训人员的满意程度</w:t>
            </w:r>
          </w:p>
        </w:tc>
        <w:tc>
          <w:tcPr>
            <w:tcW w:w="183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11.2022年价格认证专项业务费</w:t>
      </w:r>
      <w:r>
        <w:rPr>
          <w:rFonts w:ascii="Times New Roman" w:hAnsi="Times New Roman" w:eastAsia="仿宋_GB2312" w:cs="Times New Roman"/>
          <w:sz w:val="28"/>
        </w:rPr>
        <w:t>绩效目标表</w:t>
      </w:r>
    </w:p>
    <w:tbl>
      <w:tblPr>
        <w:tblStyle w:val="9"/>
        <w:tblW w:w="14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8"/>
        <w:gridCol w:w="2115"/>
        <w:gridCol w:w="2085"/>
        <w:gridCol w:w="3846"/>
        <w:gridCol w:w="1850"/>
        <w:gridCol w:w="2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tblHeader/>
          <w:jc w:val="center"/>
        </w:trPr>
        <w:tc>
          <w:tcPr>
            <w:tcW w:w="20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61"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 xml:space="preserve">委托第三方提供价格信息，完成对提出机关的协助的涉案物品进行鉴定，为定罪量刑提供依据。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tblHeader/>
          <w:jc w:val="center"/>
        </w:trPr>
        <w:tc>
          <w:tcPr>
            <w:tcW w:w="20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0" w:hRule="atLeast"/>
          <w:jc w:val="center"/>
        </w:trPr>
        <w:tc>
          <w:tcPr>
            <w:tcW w:w="205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0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价格认定业务率</w:t>
            </w:r>
          </w:p>
        </w:tc>
        <w:tc>
          <w:tcPr>
            <w:tcW w:w="38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全年实际完成价格认定业务量占委托数量的比率</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20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0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价格认定成果合理率</w:t>
            </w:r>
          </w:p>
        </w:tc>
        <w:tc>
          <w:tcPr>
            <w:tcW w:w="38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考察价格认定成果合理情况</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20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0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及时率</w:t>
            </w:r>
          </w:p>
        </w:tc>
        <w:tc>
          <w:tcPr>
            <w:tcW w:w="38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考察完成认定工作的时效情况</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20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0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84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5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万元</w:t>
            </w:r>
          </w:p>
        </w:tc>
        <w:tc>
          <w:tcPr>
            <w:tcW w:w="216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205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0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提供定罪量刑的依据</w:t>
            </w:r>
          </w:p>
        </w:tc>
        <w:tc>
          <w:tcPr>
            <w:tcW w:w="38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考察项目为定罪量刑提供了依据</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提供</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205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w:t>
            </w:r>
          </w:p>
        </w:tc>
        <w:tc>
          <w:tcPr>
            <w:tcW w:w="38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考察涉案当事人的满意程度</w:t>
            </w:r>
          </w:p>
        </w:tc>
        <w:tc>
          <w:tcPr>
            <w:tcW w:w="18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w:t>
            </w:r>
          </w:p>
        </w:tc>
        <w:tc>
          <w:tcPr>
            <w:tcW w:w="21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12.2022年建档立卡脱贫户生产生活补助金</w:t>
      </w:r>
      <w:r>
        <w:rPr>
          <w:rFonts w:ascii="Times New Roman" w:hAnsi="Times New Roman" w:eastAsia="仿宋_GB2312" w:cs="Times New Roman"/>
          <w:sz w:val="28"/>
        </w:rPr>
        <w:t>绩效目标表</w:t>
      </w:r>
    </w:p>
    <w:tbl>
      <w:tblPr>
        <w:tblStyle w:val="9"/>
        <w:tblW w:w="13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8"/>
        <w:gridCol w:w="2031"/>
        <w:gridCol w:w="1831"/>
        <w:gridCol w:w="2829"/>
        <w:gridCol w:w="1861"/>
        <w:gridCol w:w="3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tblHeader/>
          <w:jc w:val="center"/>
        </w:trPr>
        <w:tc>
          <w:tcPr>
            <w:tcW w:w="20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91"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帮扶贫困户16户，每户2000元，有效提高脱贫户家庭物质生活水平。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tblHeader/>
          <w:jc w:val="center"/>
        </w:trPr>
        <w:tc>
          <w:tcPr>
            <w:tcW w:w="20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3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06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补助家庭数</w:t>
            </w:r>
          </w:p>
        </w:tc>
        <w:tc>
          <w:tcPr>
            <w:tcW w:w="2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补助的家庭数量</w:t>
            </w:r>
          </w:p>
        </w:tc>
        <w:tc>
          <w:tcPr>
            <w:tcW w:w="18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16</w:t>
            </w:r>
            <w:r>
              <w:rPr>
                <w:rFonts w:hint="eastAsia" w:ascii="宋体" w:hAnsi="宋体" w:eastAsia="宋体" w:cs="宋体"/>
                <w:i w:val="0"/>
                <w:iCs w:val="0"/>
                <w:color w:val="000000"/>
                <w:kern w:val="0"/>
                <w:sz w:val="18"/>
                <w:szCs w:val="18"/>
                <w:u w:val="none"/>
                <w:lang w:val="en-US" w:eastAsia="zh-CN" w:bidi="ar"/>
              </w:rPr>
              <w:t>户</w:t>
            </w:r>
          </w:p>
        </w:tc>
        <w:tc>
          <w:tcPr>
            <w:tcW w:w="33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0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每户补贴资金</w:t>
            </w:r>
          </w:p>
        </w:tc>
        <w:tc>
          <w:tcPr>
            <w:tcW w:w="2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每户发放补贴资金</w:t>
            </w:r>
          </w:p>
        </w:tc>
        <w:tc>
          <w:tcPr>
            <w:tcW w:w="18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2000</w:t>
            </w:r>
            <w:r>
              <w:rPr>
                <w:rFonts w:hint="eastAsia" w:ascii="宋体" w:hAnsi="宋体" w:eastAsia="宋体" w:cs="宋体"/>
                <w:i w:val="0"/>
                <w:iCs w:val="0"/>
                <w:color w:val="000000"/>
                <w:kern w:val="0"/>
                <w:sz w:val="18"/>
                <w:szCs w:val="18"/>
                <w:u w:val="none"/>
                <w:lang w:val="en-US" w:eastAsia="zh-CN" w:bidi="ar"/>
              </w:rPr>
              <w:t>元</w:t>
            </w:r>
          </w:p>
        </w:tc>
        <w:tc>
          <w:tcPr>
            <w:tcW w:w="33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0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扶持及时率</w:t>
            </w:r>
          </w:p>
        </w:tc>
        <w:tc>
          <w:tcPr>
            <w:tcW w:w="2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考察扶持的及时情况</w:t>
            </w:r>
          </w:p>
        </w:tc>
        <w:tc>
          <w:tcPr>
            <w:tcW w:w="18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3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0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03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83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28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6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3.2</w:t>
            </w:r>
            <w:r>
              <w:rPr>
                <w:rFonts w:hint="eastAsia" w:ascii="宋体" w:hAnsi="宋体" w:eastAsia="宋体" w:cs="宋体"/>
                <w:i w:val="0"/>
                <w:iCs w:val="0"/>
                <w:color w:val="000000"/>
                <w:kern w:val="0"/>
                <w:sz w:val="18"/>
                <w:szCs w:val="18"/>
                <w:u w:val="none"/>
                <w:lang w:val="en-US" w:eastAsia="zh-CN" w:bidi="ar"/>
              </w:rPr>
              <w:t>万元</w:t>
            </w:r>
          </w:p>
        </w:tc>
        <w:tc>
          <w:tcPr>
            <w:tcW w:w="333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0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提高脱贫户家庭生活水平</w:t>
            </w:r>
          </w:p>
        </w:tc>
        <w:tc>
          <w:tcPr>
            <w:tcW w:w="2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考察是否提高脱贫户家庭生活水平</w:t>
            </w:r>
          </w:p>
        </w:tc>
        <w:tc>
          <w:tcPr>
            <w:tcW w:w="18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33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20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受益群众满意度</w:t>
            </w:r>
          </w:p>
        </w:tc>
        <w:tc>
          <w:tcPr>
            <w:tcW w:w="2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考察脱贫家庭的满意程度</w:t>
            </w:r>
          </w:p>
        </w:tc>
        <w:tc>
          <w:tcPr>
            <w:tcW w:w="18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w:t>
            </w:r>
          </w:p>
        </w:tc>
        <w:tc>
          <w:tcPr>
            <w:tcW w:w="33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jc w:val="left"/>
        <w:outlineLvl w:val="1"/>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rPr>
          <w:rFonts w:ascii="Times New Roman" w:hAnsi="Times New Roman" w:eastAsia="仿宋_GB2312" w:cs="Times New Roman"/>
          <w:vanish/>
          <w:sz w:val="28"/>
        </w:rPr>
      </w:pPr>
    </w:p>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13.2022年津华原油管道专项业务费</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通过每月对管道的巡视，发现管道安全隐患及由此造成的各种纠纷，及时解决，减少事故发生; 通过发放管道保护法、张贴标语等，提高管道保护意识，形成全社会保护管道安全的良好氛围。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巡线次数</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每月巡线次数</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次</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《中华人民共和国石油天然气管道保护法》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巡线覆盖范围</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每月巡线覆盖范围占比</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根据2022年管道保护、宣传工作计划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及时率</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处理管道隐患及时率</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根据2022年管道保护、宣传工作计划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提高管道保护意识</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考察是否提高管道保护意识</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根据2022年管道保护、宣传工作计划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考察人们群众的满意程度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
      <w:pPr>
        <w:pStyle w:val="2"/>
        <w:jc w:val="both"/>
      </w:pPr>
    </w:p>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14.2022年精准招商项目资金</w:t>
      </w:r>
      <w:r>
        <w:rPr>
          <w:rFonts w:ascii="Times New Roman" w:hAnsi="Times New Roman" w:eastAsia="仿宋_GB2312" w:cs="Times New Roman"/>
          <w:sz w:val="28"/>
        </w:rPr>
        <w:t>绩效目标表</w:t>
      </w:r>
    </w:p>
    <w:tbl>
      <w:tblPr>
        <w:tblStyle w:val="9"/>
        <w:tblW w:w="14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1"/>
        <w:gridCol w:w="2261"/>
        <w:gridCol w:w="1979"/>
        <w:gridCol w:w="3032"/>
        <w:gridCol w:w="1740"/>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tblHeader/>
          <w:jc w:val="center"/>
        </w:trPr>
        <w:tc>
          <w:tcPr>
            <w:tcW w:w="2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1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 xml:space="preserve">2022年预计参加的招商活动有518、厦门经洽会、南宁招商会、北京招商、上海进博会、深圳招商、天津投资贸易洽谈会、西安国际家具博览会、青岛全国摩托车及配件展示交易会，来加大招商引资力度，强化招商引资成果，促进更多立县强县大项目，好项目落户大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1" w:hRule="atLeast"/>
          <w:tblHeader/>
          <w:jc w:val="center"/>
        </w:trPr>
        <w:tc>
          <w:tcPr>
            <w:tcW w:w="2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0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组织召开招商活动</w:t>
            </w:r>
          </w:p>
        </w:tc>
        <w:tc>
          <w:tcPr>
            <w:tcW w:w="3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完成年度工作计划</w:t>
            </w:r>
          </w:p>
        </w:tc>
        <w:tc>
          <w:tcPr>
            <w:tcW w:w="1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次</w:t>
            </w:r>
          </w:p>
        </w:tc>
        <w:tc>
          <w:tcPr>
            <w:tcW w:w="26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招商活动质量</w:t>
            </w:r>
          </w:p>
        </w:tc>
        <w:tc>
          <w:tcPr>
            <w:tcW w:w="3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考察招商活动完成质量</w:t>
            </w:r>
          </w:p>
        </w:tc>
        <w:tc>
          <w:tcPr>
            <w:tcW w:w="1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良好</w:t>
            </w:r>
          </w:p>
        </w:tc>
        <w:tc>
          <w:tcPr>
            <w:tcW w:w="26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完成及时性</w:t>
            </w:r>
          </w:p>
        </w:tc>
        <w:tc>
          <w:tcPr>
            <w:tcW w:w="3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考察招商活动完成及时性</w:t>
            </w:r>
          </w:p>
        </w:tc>
        <w:tc>
          <w:tcPr>
            <w:tcW w:w="1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6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9"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032"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成本控制在预算内</w:t>
            </w:r>
          </w:p>
        </w:tc>
        <w:tc>
          <w:tcPr>
            <w:tcW w:w="1740"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万元</w:t>
            </w:r>
          </w:p>
        </w:tc>
        <w:tc>
          <w:tcPr>
            <w:tcW w:w="26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促进大项目，好项目落户大城</w:t>
            </w:r>
          </w:p>
        </w:tc>
        <w:tc>
          <w:tcPr>
            <w:tcW w:w="3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促进更多立县强县大项目，好项目落户大城</w:t>
            </w:r>
          </w:p>
        </w:tc>
        <w:tc>
          <w:tcPr>
            <w:tcW w:w="1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6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1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6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15.2022年粮食监督检查专项业务费</w:t>
      </w:r>
      <w:r>
        <w:rPr>
          <w:rFonts w:ascii="Times New Roman" w:hAnsi="Times New Roman" w:eastAsia="仿宋_GB2312" w:cs="Times New Roman"/>
          <w:sz w:val="28"/>
        </w:rPr>
        <w:t>绩效目标表</w:t>
      </w:r>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2283"/>
        <w:gridCol w:w="1998"/>
        <w:gridCol w:w="3425"/>
        <w:gridCol w:w="1855"/>
        <w:gridCol w:w="2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734"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对县辖区内的粮食经营企业及个人进行粮食流通监督检查，确保辖区内粮食市场规范有序，保障粮食安全。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2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执法次数</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对辖区内进行监督检查次数</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次</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执法办案结案率</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执法办案结案率</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办案及时率</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反映案件受理及时、办结及时</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9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42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8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万元</w:t>
            </w:r>
          </w:p>
        </w:tc>
        <w:tc>
          <w:tcPr>
            <w:tcW w:w="217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根据往年经费支出数值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2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保障粮食安全</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通过监督检查保障粮食安全</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8" w:hRule="atLeast"/>
          <w:jc w:val="center"/>
        </w:trPr>
        <w:tc>
          <w:tcPr>
            <w:tcW w:w="242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群众对督查效果满意度</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16.2022年粮食信息统计调查专项业务费</w:t>
      </w:r>
      <w:r>
        <w:rPr>
          <w:rFonts w:ascii="Times New Roman" w:hAnsi="Times New Roman" w:eastAsia="仿宋_GB2312" w:cs="Times New Roman"/>
          <w:sz w:val="28"/>
        </w:rPr>
        <w:t>绩效目标表</w:t>
      </w:r>
    </w:p>
    <w:tbl>
      <w:tblPr>
        <w:tblStyle w:val="9"/>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4"/>
        <w:gridCol w:w="2254"/>
        <w:gridCol w:w="1973"/>
        <w:gridCol w:w="3382"/>
        <w:gridCol w:w="1831"/>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5" w:hRule="atLeast"/>
          <w:tblHeader/>
          <w:jc w:val="center"/>
        </w:trPr>
        <w:tc>
          <w:tcPr>
            <w:tcW w:w="2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585"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对粮食产、购、销、存、加工企业等进行统计调研与收集，满足对粮食数据的需求，确保粮食产、购、销、存、加工等数据以及仓储设施、国有资产、经济效益等宏观信息及时上报、汇总，保证数据信息全面、完整、正确、及时，促进粮食产业政策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6" w:hRule="atLeast"/>
          <w:tblHeader/>
          <w:jc w:val="center"/>
        </w:trPr>
        <w:tc>
          <w:tcPr>
            <w:tcW w:w="2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3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统计调查数量</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反映统计调查数量情况</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家</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达标率</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反映统计调查工作实施情况</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2022年底前完成</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3"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382"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831"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万元</w:t>
            </w:r>
          </w:p>
        </w:tc>
        <w:tc>
          <w:tcPr>
            <w:tcW w:w="214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5" w:hRule="atLeast"/>
          <w:jc w:val="center"/>
        </w:trPr>
        <w:tc>
          <w:tcPr>
            <w:tcW w:w="2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促进粮食产业政策有效落实</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促进粮食产业政策有效落实</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6" w:hRule="atLeast"/>
          <w:jc w:val="center"/>
        </w:trPr>
        <w:tc>
          <w:tcPr>
            <w:tcW w:w="2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反映服务对象满意度的情况</w:t>
            </w:r>
          </w:p>
        </w:tc>
        <w:tc>
          <w:tcPr>
            <w:tcW w:w="18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17.2022年粮油质检站运营项目资金</w:t>
      </w:r>
      <w:r>
        <w:rPr>
          <w:rFonts w:ascii="Times New Roman" w:hAnsi="Times New Roman" w:eastAsia="仿宋_GB2312" w:cs="Times New Roman"/>
          <w:sz w:val="28"/>
        </w:rPr>
        <w:t>绩效目标表</w:t>
      </w:r>
    </w:p>
    <w:tbl>
      <w:tblPr>
        <w:tblStyle w:val="9"/>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9"/>
        <w:gridCol w:w="2296"/>
        <w:gridCol w:w="2009"/>
        <w:gridCol w:w="3445"/>
        <w:gridCol w:w="1865"/>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blHeader/>
          <w:jc w:val="center"/>
        </w:trPr>
        <w:tc>
          <w:tcPr>
            <w:tcW w:w="243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00"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通过粮食检化，保障人民群众用粮安全，保证广大人民群众吃得放心、安心。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blHeader/>
          <w:jc w:val="center"/>
        </w:trPr>
        <w:tc>
          <w:tcPr>
            <w:tcW w:w="243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243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0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检验份数</w:t>
            </w:r>
          </w:p>
        </w:tc>
        <w:tc>
          <w:tcPr>
            <w:tcW w:w="34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全年检验样品份数</w:t>
            </w:r>
          </w:p>
        </w:tc>
        <w:tc>
          <w:tcPr>
            <w:tcW w:w="1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份</w:t>
            </w:r>
          </w:p>
        </w:tc>
        <w:tc>
          <w:tcPr>
            <w:tcW w:w="21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243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0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操作流程达标率</w:t>
            </w:r>
          </w:p>
        </w:tc>
        <w:tc>
          <w:tcPr>
            <w:tcW w:w="34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操作流程达标率</w:t>
            </w:r>
          </w:p>
        </w:tc>
        <w:tc>
          <w:tcPr>
            <w:tcW w:w="1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243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0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检验完成及时率</w:t>
            </w:r>
          </w:p>
        </w:tc>
        <w:tc>
          <w:tcPr>
            <w:tcW w:w="34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检验完成及时率</w:t>
            </w:r>
          </w:p>
        </w:tc>
        <w:tc>
          <w:tcPr>
            <w:tcW w:w="1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243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00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6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万元</w:t>
            </w:r>
          </w:p>
        </w:tc>
        <w:tc>
          <w:tcPr>
            <w:tcW w:w="21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43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0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促进食品安全</w:t>
            </w:r>
          </w:p>
        </w:tc>
        <w:tc>
          <w:tcPr>
            <w:tcW w:w="34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为食品安全提供可靠依据</w:t>
            </w:r>
          </w:p>
        </w:tc>
        <w:tc>
          <w:tcPr>
            <w:tcW w:w="1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有效</w:t>
            </w:r>
          </w:p>
        </w:tc>
        <w:tc>
          <w:tcPr>
            <w:tcW w:w="21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7" w:hRule="atLeast"/>
          <w:jc w:val="center"/>
        </w:trPr>
        <w:tc>
          <w:tcPr>
            <w:tcW w:w="243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受益群众满意度</w:t>
            </w:r>
          </w:p>
        </w:tc>
        <w:tc>
          <w:tcPr>
            <w:tcW w:w="34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考察人民群众的满意程度</w:t>
            </w:r>
          </w:p>
        </w:tc>
        <w:tc>
          <w:tcPr>
            <w:tcW w:w="1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18.2022年律师服务费</w:t>
      </w:r>
      <w:r>
        <w:rPr>
          <w:rFonts w:ascii="Times New Roman" w:hAnsi="Times New Roman" w:eastAsia="仿宋_GB2312" w:cs="Times New Roman"/>
          <w:sz w:val="28"/>
        </w:rPr>
        <w:t>绩效目标表</w:t>
      </w:r>
    </w:p>
    <w:tbl>
      <w:tblPr>
        <w:tblStyle w:val="9"/>
        <w:tblW w:w="13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2251"/>
        <w:gridCol w:w="1970"/>
        <w:gridCol w:w="3377"/>
        <w:gridCol w:w="1829"/>
        <w:gridCol w:w="21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8" w:hRule="atLeast"/>
          <w:tblHeader/>
          <w:jc w:val="center"/>
        </w:trPr>
        <w:tc>
          <w:tcPr>
            <w:tcW w:w="23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568"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通过聘请律师事务所，获得法律方面专业的咨询服务，确保相关工作合理合法进行。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8" w:hRule="atLeast"/>
          <w:tblHeader/>
          <w:jc w:val="center"/>
        </w:trPr>
        <w:tc>
          <w:tcPr>
            <w:tcW w:w="23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39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聘请律师事务所数量</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聘请律师事务所数量</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家</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根据与我局签订合同的事务所数量确定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法律咨询服务质量</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法律咨询服务质量</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良好</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获得咨询服务时效性</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获得咨询服务时效性</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3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万元</w:t>
            </w:r>
          </w:p>
        </w:tc>
        <w:tc>
          <w:tcPr>
            <w:tcW w:w="214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39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确保单位工作依法进行</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考察单位相关工作是否合理合法进行</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确保</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8" w:hRule="atLeast"/>
          <w:jc w:val="center"/>
        </w:trPr>
        <w:tc>
          <w:tcPr>
            <w:tcW w:w="239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考察相关工作人员的满意程度</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pStyle w:val="2"/>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19.2022年农产品成本调查和重要商品应急价格调查监测资金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 xml:space="preserve">建立重要生活必需品、农产品、农资、日用工业品、工业生产资料价格应急监测体系，做好粮油肉蛋菜等民生商品价格，工农业生产资料、房地产、交通运输、教育等重要商品和服务价格监测工作，及时发现苗头性问题，增强宏观调控的预见性和针对性。做好重要节假日期间和重大自然灾害、突发公共事件后的应急价格监测工作，提供市场波动信息，为政府增强宏观调控提供准确可靠信息。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县本级向市报送的文字材料篇数</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向市报送信息和调研报告的篇数</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篇</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季度价格监测数据考核分数</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国家每季度按照数据上报的及时性和准确性给各省市打分，并予以全国通报</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分</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国家发改委《价格监测质量监督考核办法》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县本级监测数据上报汇总完成时效</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平均每月完成上报数据汇总分析3次</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次</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国家发改委《价格异常波动监测预警制度》、《价格监测报告制度》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项目完成总成本</w:t>
            </w:r>
          </w:p>
        </w:tc>
        <w:tc>
          <w:tcPr>
            <w:tcW w:w="3402"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各项明细开支控制在标准和定额内，项目完成总成本不超过预算数</w:t>
            </w:r>
          </w:p>
        </w:tc>
        <w:tc>
          <w:tcPr>
            <w:tcW w:w="1843"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0.25</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县本级业务科室采用数据次数</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局业务科室为决策活动采用数据次数</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次</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县本级有关领导的满意度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争取价格调控处及有关领导满意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满意度回访问卷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pPr>
      <w:r>
        <w:rPr>
          <w:rFonts w:ascii="Times New Roman" w:hAnsi="Times New Roman" w:eastAsia="仿宋_GB2312" w:cs="Times New Roman"/>
          <w:vanish/>
          <w:sz w:val="28"/>
        </w:rPr>
        <w:t>{ TC 2、办公自动化（OA）和督查督办系统升级及推广费绩效目标表 \f C \l 1 }</w:t>
      </w:r>
    </w:p>
    <w:p/>
    <w:p>
      <w:pPr>
        <w:pStyle w:val="2"/>
      </w:pPr>
    </w:p>
    <w:p/>
    <w:p>
      <w:pPr>
        <w:pStyle w:val="2"/>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20.2022年双创双服活动专项业务费</w:t>
      </w:r>
      <w:r>
        <w:rPr>
          <w:rFonts w:ascii="Times New Roman" w:hAnsi="Times New Roman" w:eastAsia="仿宋_GB2312" w:cs="Times New Roman"/>
          <w:sz w:val="28"/>
        </w:rPr>
        <w:t>绩效目标表</w:t>
      </w:r>
    </w:p>
    <w:tbl>
      <w:tblPr>
        <w:tblStyle w:val="9"/>
        <w:tblW w:w="13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2251"/>
        <w:gridCol w:w="1970"/>
        <w:gridCol w:w="3377"/>
        <w:gridCol w:w="1829"/>
        <w:gridCol w:w="21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tblHeader/>
          <w:jc w:val="center"/>
        </w:trPr>
        <w:tc>
          <w:tcPr>
            <w:tcW w:w="23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56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通过印发活动实施意见、实施方案、宣传材料及各类通知文件材料等，组织动员、调度、推进、平台培训等各类会议，提高民生水平，提升工作效能和营商环境</w:t>
            </w:r>
            <w:r>
              <w:rPr>
                <w:rFonts w:hint="eastAsia" w:ascii="宋体" w:hAnsi="宋体" w:cs="宋体"/>
                <w:i w:val="0"/>
                <w:iCs w:val="0"/>
                <w:color w:val="000000"/>
                <w:kern w:val="0"/>
                <w:sz w:val="18"/>
                <w:szCs w:val="18"/>
                <w:u w:val="none"/>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tblHeader/>
          <w:jc w:val="center"/>
        </w:trPr>
        <w:tc>
          <w:tcPr>
            <w:tcW w:w="23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jc w:val="center"/>
        </w:trPr>
        <w:tc>
          <w:tcPr>
            <w:tcW w:w="239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实施方案、意见等各类材料</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印制实施方案、意见等各类材料数量</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1000</w:t>
            </w:r>
            <w:r>
              <w:rPr>
                <w:rFonts w:hint="eastAsia" w:ascii="宋体" w:hAnsi="宋体" w:eastAsia="宋体" w:cs="宋体"/>
                <w:i w:val="0"/>
                <w:iCs w:val="0"/>
                <w:color w:val="000000"/>
                <w:kern w:val="0"/>
                <w:sz w:val="18"/>
                <w:szCs w:val="18"/>
                <w:u w:val="none"/>
                <w:lang w:val="en-US" w:eastAsia="zh-CN" w:bidi="ar"/>
              </w:rPr>
              <w:t>份</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根据往年工作情况，结合下年度工作计划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制作完成率</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制作完成率</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根据往年工作情况，结合下年度工作计划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完成工作的时效性</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根据往年工作情况，结合下年度工作计划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jc w:val="center"/>
        </w:trPr>
        <w:tc>
          <w:tcPr>
            <w:tcW w:w="239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1" w:type="dxa"/>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0" w:type="dxa"/>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377" w:type="dxa"/>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万元</w:t>
            </w:r>
          </w:p>
        </w:tc>
        <w:tc>
          <w:tcPr>
            <w:tcW w:w="214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根据往年工作情况，结合下年度工作计划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39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提高民生水平</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考察是否提高民生水平</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根据往年支出确定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39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市场主体满意度</w:t>
            </w:r>
          </w:p>
        </w:tc>
        <w:tc>
          <w:tcPr>
            <w:tcW w:w="33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市场主体满意度</w:t>
            </w:r>
          </w:p>
        </w:tc>
        <w:tc>
          <w:tcPr>
            <w:tcW w:w="18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4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rPr>
          <w:rFonts w:hint="eastAsia" w:ascii="Times New Roman" w:hAnsi="Times New Roman" w:eastAsia="仿宋_GB2312" w:cs="Times New Roman"/>
          <w:sz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21.2022年天然气应急保障项目资金</w:t>
      </w:r>
      <w:r>
        <w:rPr>
          <w:rFonts w:ascii="Times New Roman" w:hAnsi="Times New Roman" w:eastAsia="仿宋_GB2312" w:cs="Times New Roman"/>
          <w:sz w:val="28"/>
        </w:rPr>
        <w:t>绩效目标表</w:t>
      </w:r>
    </w:p>
    <w:tbl>
      <w:tblPr>
        <w:tblStyle w:val="9"/>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2280"/>
        <w:gridCol w:w="1996"/>
        <w:gridCol w:w="3420"/>
        <w:gridCol w:w="1853"/>
        <w:gridCol w:w="2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tblHeader/>
          <w:jc w:val="center"/>
        </w:trPr>
        <w:tc>
          <w:tcPr>
            <w:tcW w:w="24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717"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该项目用于出现天然气短缺的紧急情况，保障全县居民用气量充足及全县冬季取暖安全稳定运行。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tblHeader/>
          <w:jc w:val="center"/>
        </w:trPr>
        <w:tc>
          <w:tcPr>
            <w:tcW w:w="24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2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居民户数</w:t>
            </w:r>
          </w:p>
        </w:tc>
        <w:tc>
          <w:tcPr>
            <w:tcW w:w="34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天然气短缺时保障居民户数</w:t>
            </w:r>
          </w:p>
        </w:tc>
        <w:tc>
          <w:tcPr>
            <w:tcW w:w="18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14.8</w:t>
            </w:r>
            <w:r>
              <w:rPr>
                <w:rFonts w:hint="eastAsia" w:ascii="宋体" w:hAnsi="宋体" w:eastAsia="宋体" w:cs="宋体"/>
                <w:i w:val="0"/>
                <w:iCs w:val="0"/>
                <w:color w:val="000000"/>
                <w:kern w:val="0"/>
                <w:sz w:val="18"/>
                <w:szCs w:val="18"/>
                <w:u w:val="none"/>
                <w:lang w:val="en-US" w:eastAsia="zh-CN" w:bidi="ar"/>
              </w:rPr>
              <w:t>万户</w:t>
            </w:r>
          </w:p>
        </w:tc>
        <w:tc>
          <w:tcPr>
            <w:tcW w:w="21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2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覆盖率</w:t>
            </w:r>
          </w:p>
        </w:tc>
        <w:tc>
          <w:tcPr>
            <w:tcW w:w="34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覆盖居民占比</w:t>
            </w:r>
          </w:p>
        </w:tc>
        <w:tc>
          <w:tcPr>
            <w:tcW w:w="18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2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到位率</w:t>
            </w:r>
          </w:p>
        </w:tc>
        <w:tc>
          <w:tcPr>
            <w:tcW w:w="34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出现用气短缺时资金到位率</w:t>
            </w:r>
          </w:p>
        </w:tc>
        <w:tc>
          <w:tcPr>
            <w:tcW w:w="18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2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9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42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5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3000</w:t>
            </w:r>
            <w:r>
              <w:rPr>
                <w:rFonts w:hint="eastAsia" w:ascii="宋体" w:hAnsi="宋体" w:eastAsia="宋体" w:cs="宋体"/>
                <w:i w:val="0"/>
                <w:iCs w:val="0"/>
                <w:color w:val="000000"/>
                <w:kern w:val="0"/>
                <w:sz w:val="18"/>
                <w:szCs w:val="18"/>
                <w:u w:val="none"/>
                <w:lang w:val="en-US" w:eastAsia="zh-CN" w:bidi="ar"/>
              </w:rPr>
              <w:t>万元</w:t>
            </w:r>
          </w:p>
        </w:tc>
        <w:tc>
          <w:tcPr>
            <w:tcW w:w="21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242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天然气保供</w:t>
            </w:r>
          </w:p>
        </w:tc>
        <w:tc>
          <w:tcPr>
            <w:tcW w:w="34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保障天然气供应充足</w:t>
            </w:r>
          </w:p>
        </w:tc>
        <w:tc>
          <w:tcPr>
            <w:tcW w:w="18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w:t>
            </w:r>
          </w:p>
        </w:tc>
        <w:tc>
          <w:tcPr>
            <w:tcW w:w="21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2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人民群众满意度</w:t>
            </w:r>
          </w:p>
        </w:tc>
        <w:tc>
          <w:tcPr>
            <w:tcW w:w="34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考察人民群众满意程度</w:t>
            </w:r>
          </w:p>
        </w:tc>
        <w:tc>
          <w:tcPr>
            <w:tcW w:w="185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jc w:val="both"/>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22.2022年外资入统项目资金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委托会计事务所对外商投资企业（大城弘亚再生资源利用有限公司）留存收益资金进行审计，确定企业外方投资金额，及时上报入统，保障上报数据真实、准确。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外商投资资金进行审计</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完成外商投资企业外商投资资金审计及评估</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家</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全市实际利用外资目标任务分解表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达到上级入统要求</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达到上级入统要求</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全市实际利用外资目标任务分解表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完成资金审计的时效性</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全市实际利用外资目标任务分解表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万元</w:t>
            </w:r>
          </w:p>
        </w:tc>
        <w:tc>
          <w:tcPr>
            <w:tcW w:w="21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河北省会计师事务所审计服务收费标准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保障上报数据真实、准确</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保障上报数据真实、准确</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全市实际利用外资目标任务分解表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推动全县经济发展</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提高实际利用外资率，推动全县经济高质量发展</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全市实际利用外资完成情况通报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企业对国家政策的满意度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23.2022年委托招商代理项目资金</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 xml:space="preserve">按照《大城县招商引资委托代理办法》，预计聘请招商代理1名，拓宽招商引资渠道充分调动社会各界参与我县招商引资的积极性和主动性，促进更多立县强县大项目，好项目落户大城，为我县经济发展注入活力。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招商代理数量</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招商代理数量</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个</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《大城县招商引资委托代理办法》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招商项目质量</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招商项目质量</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良好</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《大城县招商引资委托代理办法》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任务完成及时性</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考察完成及时情况</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《大城县招商引资委托代理办法》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成本控制在预算内</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《大城县招商引资委托代理办法》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促进大项目，好项目落户大城</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促进更多立县强县大项目，好项目落户大城</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《大城县招商引资委托代理办法》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调查问卷</w:t>
            </w:r>
          </w:p>
        </w:tc>
      </w:tr>
    </w:tbl>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jc w:val="both"/>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24.2022年优化营商环境专项业务费</w:t>
      </w:r>
      <w:r>
        <w:rPr>
          <w:rFonts w:ascii="Times New Roman" w:hAnsi="Times New Roman" w:eastAsia="仿宋_GB2312" w:cs="Times New Roman"/>
          <w:sz w:val="28"/>
        </w:rPr>
        <w:t>绩效目标表</w:t>
      </w:r>
    </w:p>
    <w:tbl>
      <w:tblPr>
        <w:tblStyle w:val="9"/>
        <w:tblW w:w="14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1"/>
        <w:gridCol w:w="2261"/>
        <w:gridCol w:w="1979"/>
        <w:gridCol w:w="3391"/>
        <w:gridCol w:w="1837"/>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18"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协调督导推进全县“优化营商环境”活动，开展各类专项活动，提升工作效能和营商环境，提升高质量发展水平。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4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240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实施方案、意见等各类材料</w:t>
            </w:r>
          </w:p>
        </w:tc>
        <w:tc>
          <w:tcPr>
            <w:tcW w:w="33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印制实施方案、意见等各类材料数量</w:t>
            </w:r>
          </w:p>
        </w:tc>
        <w:tc>
          <w:tcPr>
            <w:tcW w:w="18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1200</w:t>
            </w:r>
            <w:r>
              <w:rPr>
                <w:rFonts w:hint="eastAsia" w:ascii="宋体" w:hAnsi="宋体" w:eastAsia="宋体" w:cs="宋体"/>
                <w:i w:val="0"/>
                <w:iCs w:val="0"/>
                <w:color w:val="000000"/>
                <w:kern w:val="0"/>
                <w:sz w:val="18"/>
                <w:szCs w:val="18"/>
                <w:u w:val="none"/>
                <w:lang w:val="en-US" w:eastAsia="zh-CN" w:bidi="ar"/>
              </w:rPr>
              <w:t>份</w:t>
            </w:r>
          </w:p>
        </w:tc>
        <w:tc>
          <w:tcPr>
            <w:tcW w:w="21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根据省市工作要求及下年度工作计划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制作完成率</w:t>
            </w:r>
          </w:p>
        </w:tc>
        <w:tc>
          <w:tcPr>
            <w:tcW w:w="33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制作完成率</w:t>
            </w:r>
          </w:p>
        </w:tc>
        <w:tc>
          <w:tcPr>
            <w:tcW w:w="18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根据省市工作要求及下年度工作计划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33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工作完成时效性</w:t>
            </w:r>
          </w:p>
        </w:tc>
        <w:tc>
          <w:tcPr>
            <w:tcW w:w="18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根据省市工作要求及下年度工作计划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5" w:hRule="atLeast"/>
          <w:jc w:val="center"/>
        </w:trPr>
        <w:tc>
          <w:tcPr>
            <w:tcW w:w="240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339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83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万元</w:t>
            </w:r>
          </w:p>
        </w:tc>
        <w:tc>
          <w:tcPr>
            <w:tcW w:w="215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根据往年支出数值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jc w:val="center"/>
        </w:trPr>
        <w:tc>
          <w:tcPr>
            <w:tcW w:w="2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提升营商环境</w:t>
            </w:r>
          </w:p>
        </w:tc>
        <w:tc>
          <w:tcPr>
            <w:tcW w:w="33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考察是否提升营商环境</w:t>
            </w:r>
          </w:p>
        </w:tc>
        <w:tc>
          <w:tcPr>
            <w:tcW w:w="18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w:t>
            </w:r>
          </w:p>
        </w:tc>
        <w:tc>
          <w:tcPr>
            <w:tcW w:w="21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营商环境完成情况总结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7" w:hRule="atLeast"/>
          <w:jc w:val="center"/>
        </w:trPr>
        <w:tc>
          <w:tcPr>
            <w:tcW w:w="240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市场主体满意度</w:t>
            </w:r>
          </w:p>
        </w:tc>
        <w:tc>
          <w:tcPr>
            <w:tcW w:w="339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考察项目实施后，市场主体的满意程度</w:t>
            </w:r>
          </w:p>
        </w:tc>
        <w:tc>
          <w:tcPr>
            <w:tcW w:w="18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w:t>
            </w:r>
          </w:p>
        </w:tc>
        <w:tc>
          <w:tcPr>
            <w:tcW w:w="21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
      <w:pPr>
        <w:pStyle w:val="2"/>
      </w:pPr>
    </w:p>
    <w:p>
      <w:pPr>
        <w:numPr>
          <w:ilvl w:val="0"/>
          <w:numId w:val="0"/>
        </w:numPr>
        <w:jc w:val="left"/>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25.2022年招商引资专项资金</w:t>
      </w:r>
      <w:r>
        <w:rPr>
          <w:rFonts w:ascii="Times New Roman" w:hAnsi="Times New Roman" w:eastAsia="仿宋_GB2312" w:cs="Times New Roman"/>
          <w:sz w:val="28"/>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预计2022年招商人员赴外地参加招商业务培训5场次，预计接待韩国等境外客商及香港、深圳、澳门境内客商共计10场次，拉动全县经济发展，为我县经济发展注入活力</w:t>
            </w:r>
            <w:r>
              <w:rPr>
                <w:rFonts w:hint="eastAsia" w:ascii="宋体" w:hAnsi="宋体" w:cs="宋体"/>
                <w:i w:val="0"/>
                <w:iCs w:val="0"/>
                <w:color w:val="000000"/>
                <w:kern w:val="0"/>
                <w:sz w:val="18"/>
                <w:szCs w:val="18"/>
                <w:u w:val="none"/>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2"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招商接待次数</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接待来访客商次数</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次</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招商活动</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签约次数</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次</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完成及时性</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考察工作完成的及时情况</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8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40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成本控制在预算内</w:t>
            </w:r>
          </w:p>
        </w:tc>
        <w:tc>
          <w:tcPr>
            <w:tcW w:w="184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万元</w:t>
            </w:r>
          </w:p>
        </w:tc>
        <w:tc>
          <w:tcPr>
            <w:tcW w:w="215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《大城县2022年精准招商专项行动实施方案》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促进大项目，好项目落户大城</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促进大项目，好项目落户大城</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招商落地项目数量及质量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4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1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21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企业调查问卷</w:t>
            </w:r>
          </w:p>
        </w:tc>
      </w:tr>
    </w:tbl>
    <w:p>
      <w:pPr>
        <w:pStyle w:val="2"/>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pStyle w:val="2"/>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26.2022年争列省市重点项目专项业务费</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01"/>
        <w:gridCol w:w="1965"/>
        <w:gridCol w:w="2925"/>
        <w:gridCol w:w="1695"/>
        <w:gridCol w:w="3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组织我县申报省市重点项目工作，争取将我县项目列入省市重点建设项目，争取列入省重点项目1项，市重点项目16项，促进经济发展，解决就业问题。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6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0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列入省重点项目数量</w:t>
            </w:r>
          </w:p>
        </w:tc>
        <w:tc>
          <w:tcPr>
            <w:tcW w:w="2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列入省重点项目数量</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项</w:t>
            </w:r>
          </w:p>
        </w:tc>
        <w:tc>
          <w:tcPr>
            <w:tcW w:w="31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0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列入市重点项目数量</w:t>
            </w:r>
          </w:p>
        </w:tc>
        <w:tc>
          <w:tcPr>
            <w:tcW w:w="2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列入市重点项目数量</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16</w:t>
            </w:r>
            <w:r>
              <w:rPr>
                <w:rFonts w:hint="eastAsia" w:ascii="宋体" w:hAnsi="宋体" w:eastAsia="宋体" w:cs="宋体"/>
                <w:i w:val="0"/>
                <w:iCs w:val="0"/>
                <w:color w:val="000000"/>
                <w:kern w:val="0"/>
                <w:sz w:val="18"/>
                <w:szCs w:val="18"/>
                <w:u w:val="none"/>
                <w:lang w:val="en-US" w:eastAsia="zh-CN" w:bidi="ar"/>
              </w:rPr>
              <w:t>项</w:t>
            </w:r>
          </w:p>
        </w:tc>
        <w:tc>
          <w:tcPr>
            <w:tcW w:w="31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0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项目指标达标率</w:t>
            </w:r>
          </w:p>
        </w:tc>
        <w:tc>
          <w:tcPr>
            <w:tcW w:w="2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项目指标达标率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1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01"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6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完成及时率</w:t>
            </w:r>
          </w:p>
        </w:tc>
        <w:tc>
          <w:tcPr>
            <w:tcW w:w="292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按规定时限完成</w:t>
            </w:r>
          </w:p>
        </w:tc>
        <w:tc>
          <w:tcPr>
            <w:tcW w:w="169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16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01"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6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成本控制数</w:t>
            </w:r>
          </w:p>
        </w:tc>
        <w:tc>
          <w:tcPr>
            <w:tcW w:w="292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成本控制在预算额度范围内</w:t>
            </w:r>
          </w:p>
        </w:tc>
        <w:tc>
          <w:tcPr>
            <w:tcW w:w="169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316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0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项目建设解决就业</w:t>
            </w:r>
          </w:p>
        </w:tc>
        <w:tc>
          <w:tcPr>
            <w:tcW w:w="2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对解决就业作用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《廊坊市发展和改革委员会关于报送2021年市重点产业项目的通知》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0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19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促进县域经济发展</w:t>
            </w:r>
          </w:p>
        </w:tc>
        <w:tc>
          <w:tcPr>
            <w:tcW w:w="2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对促进县域经济发展的作用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促进</w:t>
            </w:r>
          </w:p>
        </w:tc>
        <w:tc>
          <w:tcPr>
            <w:tcW w:w="31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县域经济发展水平提升度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584" w:lineRule="exact"/>
              <w:jc w:val="center"/>
              <w:rPr>
                <w:rFonts w:ascii="Times New Roman" w:hAnsi="Times New Roman" w:eastAsia="仿宋_GB2312" w:cs="Times New Roman"/>
              </w:rPr>
            </w:pPr>
          </w:p>
        </w:tc>
        <w:tc>
          <w:tcPr>
            <w:tcW w:w="19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6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92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重点项目单位满意度</w:t>
            </w:r>
          </w:p>
        </w:tc>
        <w:tc>
          <w:tcPr>
            <w:tcW w:w="16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31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numPr>
          <w:ilvl w:val="0"/>
          <w:numId w:val="0"/>
        </w:numPr>
        <w:jc w:val="left"/>
        <w:outlineLvl w:val="1"/>
      </w:pPr>
      <w:r>
        <w:rPr>
          <w:rFonts w:ascii="Times New Roman" w:hAnsi="Times New Roman" w:eastAsia="仿宋_GB2312" w:cs="Times New Roman"/>
          <w:vanish/>
          <w:sz w:val="28"/>
        </w:rPr>
        <w:t>{ TC 2、办公自动化（OA）和督查督办系统升级及推广费绩效目标表 \f C \l 1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27.2021年第二批省商贸流通发展专项资金</w:t>
      </w:r>
      <w:r>
        <w:rPr>
          <w:rFonts w:ascii="Times New Roman" w:hAnsi="Times New Roman" w:eastAsia="仿宋_GB2312" w:cs="Times New Roman"/>
          <w:sz w:val="28"/>
        </w:rPr>
        <w:t>绩效目标表</w:t>
      </w:r>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2283"/>
        <w:gridCol w:w="1998"/>
        <w:gridCol w:w="3425"/>
        <w:gridCol w:w="1855"/>
        <w:gridCol w:w="2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734"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用于对廊坊明珠集团（大城）有限公司生鲜超市进行改造提升，提升购物环境水平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242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便民市场数量</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享受</w:t>
            </w:r>
            <w:r>
              <w:rPr>
                <w:rFonts w:hint="eastAsia" w:ascii="宋体" w:hAnsi="宋体" w:cs="宋体"/>
                <w:i w:val="0"/>
                <w:iCs w:val="0"/>
                <w:color w:val="000000"/>
                <w:kern w:val="0"/>
                <w:sz w:val="18"/>
                <w:szCs w:val="18"/>
                <w:u w:val="none"/>
                <w:lang w:val="en-US" w:eastAsia="zh-CN" w:bidi="ar"/>
              </w:rPr>
              <w:t>奖补</w:t>
            </w:r>
            <w:r>
              <w:rPr>
                <w:rFonts w:hint="eastAsia" w:ascii="宋体" w:hAnsi="宋体" w:eastAsia="宋体" w:cs="宋体"/>
                <w:i w:val="0"/>
                <w:iCs w:val="0"/>
                <w:color w:val="000000"/>
                <w:kern w:val="0"/>
                <w:sz w:val="18"/>
                <w:szCs w:val="18"/>
                <w:u w:val="none"/>
                <w:lang w:val="en-US" w:eastAsia="zh-CN" w:bidi="ar"/>
              </w:rPr>
              <w:t>的便民市场数量</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个</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验收通过率</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项目验收通过率</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完成时限</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补贴发放时限</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2022年3月底前</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9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奖励金额</w:t>
            </w:r>
          </w:p>
        </w:tc>
        <w:tc>
          <w:tcPr>
            <w:tcW w:w="342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享受奖补的金额</w:t>
            </w:r>
          </w:p>
        </w:tc>
        <w:tc>
          <w:tcPr>
            <w:tcW w:w="185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万元</w:t>
            </w:r>
          </w:p>
        </w:tc>
        <w:tc>
          <w:tcPr>
            <w:tcW w:w="217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2" w:hRule="atLeast"/>
          <w:jc w:val="center"/>
        </w:trPr>
        <w:tc>
          <w:tcPr>
            <w:tcW w:w="242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改善市场环境实现便民消费</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对改善市场环境，实现便民消费的影响</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进一步提高</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冀财建【2021】183号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2" w:hRule="atLeast"/>
          <w:jc w:val="center"/>
        </w:trPr>
        <w:tc>
          <w:tcPr>
            <w:tcW w:w="242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对改善消费环境及设施满意度</w:t>
            </w:r>
          </w:p>
        </w:tc>
        <w:tc>
          <w:tcPr>
            <w:tcW w:w="34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对改善消费环境及建设改造设施的满意度</w:t>
            </w:r>
          </w:p>
        </w:tc>
        <w:tc>
          <w:tcPr>
            <w:tcW w:w="18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85</w:t>
            </w:r>
            <w:r>
              <w:rPr>
                <w:rFonts w:hint="eastAsia" w:ascii="宋体" w:hAnsi="宋体" w:eastAsia="宋体" w:cs="宋体"/>
                <w:i w:val="0"/>
                <w:iCs w:val="0"/>
                <w:color w:val="000000"/>
                <w:kern w:val="0"/>
                <w:sz w:val="18"/>
                <w:szCs w:val="18"/>
                <w:u w:val="none"/>
                <w:lang w:val="en-US" w:eastAsia="zh-CN" w:bidi="ar"/>
              </w:rPr>
              <w:t>%</w:t>
            </w:r>
          </w:p>
        </w:tc>
        <w:tc>
          <w:tcPr>
            <w:tcW w:w="21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冀财建【2021】183号</w:t>
            </w:r>
          </w:p>
        </w:tc>
      </w:tr>
    </w:tbl>
    <w:p>
      <w:pPr>
        <w:pStyle w:val="2"/>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jc w:val="both"/>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28.2021年中央外经贸发展资金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6"/>
        <w:gridCol w:w="2145"/>
        <w:gridCol w:w="2880"/>
        <w:gridCol w:w="1800"/>
        <w:gridCol w:w="2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 xml:space="preserve">补贴资金及时发放到位，引导企业优质高效开拓国际市场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4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支持企业海外专刊数量</w:t>
            </w:r>
          </w:p>
        </w:tc>
        <w:tc>
          <w:tcPr>
            <w:tcW w:w="28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支持企业海外专刊数量</w:t>
            </w: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家</w:t>
            </w:r>
          </w:p>
        </w:tc>
        <w:tc>
          <w:tcPr>
            <w:tcW w:w="28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《河北省财政厅关于调整2021年中央外经贸发展专项资金预算指标的通知》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获得海外专刊支持的企业出口业绩</w:t>
            </w:r>
          </w:p>
        </w:tc>
        <w:tc>
          <w:tcPr>
            <w:tcW w:w="28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获得海外专刊支持的企业出口业绩</w:t>
            </w: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高于往年</w:t>
            </w:r>
          </w:p>
        </w:tc>
        <w:tc>
          <w:tcPr>
            <w:tcW w:w="28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省市反馈的企业出口数据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资金拨付及时性</w:t>
            </w:r>
          </w:p>
        </w:tc>
        <w:tc>
          <w:tcPr>
            <w:tcW w:w="28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资金拨付及时性</w:t>
            </w: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8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《河北省财政厅关于调整2021年中央外经贸发展专项资金预算指标的通知》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46"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45"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补贴总金额</w:t>
            </w:r>
          </w:p>
        </w:tc>
        <w:tc>
          <w:tcPr>
            <w:tcW w:w="2880"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上级给予补贴的金额</w:t>
            </w:r>
          </w:p>
        </w:tc>
        <w:tc>
          <w:tcPr>
            <w:tcW w:w="1800" w:type="dxa"/>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2.14</w:t>
            </w:r>
            <w:r>
              <w:rPr>
                <w:rFonts w:hint="eastAsia" w:ascii="宋体" w:hAnsi="宋体" w:eastAsia="宋体" w:cs="宋体"/>
                <w:i w:val="0"/>
                <w:iCs w:val="0"/>
                <w:color w:val="000000"/>
                <w:kern w:val="0"/>
                <w:sz w:val="18"/>
                <w:szCs w:val="18"/>
                <w:u w:val="none"/>
                <w:lang w:val="en-US" w:eastAsia="zh-CN" w:bidi="ar"/>
              </w:rPr>
              <w:t>万元</w:t>
            </w:r>
          </w:p>
        </w:tc>
        <w:tc>
          <w:tcPr>
            <w:tcW w:w="288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《河北省财政厅关于调整2021年中央外经贸发展专项资金预算指标的通知》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外贸企业高质量发展</w:t>
            </w:r>
          </w:p>
        </w:tc>
        <w:tc>
          <w:tcPr>
            <w:tcW w:w="28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对外贸企业高质量发展的作用</w:t>
            </w: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提升促进</w:t>
            </w:r>
          </w:p>
        </w:tc>
        <w:tc>
          <w:tcPr>
            <w:tcW w:w="28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省市反馈的企业出口数据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28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受益对象满意度</w:t>
            </w: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28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调查问卷</w:t>
            </w:r>
          </w:p>
        </w:tc>
      </w:tr>
    </w:tbl>
    <w:p>
      <w:pPr>
        <w:pStyle w:val="2"/>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p>
    <w:p>
      <w:pPr>
        <w:pStyle w:val="2"/>
      </w:pPr>
    </w:p>
    <w:p>
      <w:pPr>
        <w:pStyle w:val="2"/>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outlineLvl w:val="1"/>
        <w:rPr>
          <w:rFonts w:hint="default" w:ascii="宋体" w:hAnsi="宋体" w:eastAsia="宋体" w:cs="宋体"/>
          <w:lang w:val="en-US" w:eastAsia="zh-CN"/>
        </w:rPr>
      </w:pPr>
      <w:r>
        <w:rPr>
          <w:rFonts w:hint="eastAsia" w:ascii="宋体" w:hAnsi="宋体" w:eastAsia="宋体" w:cs="宋体"/>
          <w:lang w:eastAsia="zh-CN"/>
        </w:rPr>
        <w:t>大城县发展和改革局本级</w:t>
      </w:r>
      <w:r>
        <w:rPr>
          <w:rFonts w:hint="eastAsia" w:ascii="宋体" w:hAnsi="宋体" w:eastAsia="宋体" w:cs="宋体"/>
          <w:lang w:val="en-US" w:eastAsia="zh-CN"/>
        </w:rPr>
        <w:t xml:space="preserve">                                                                                                     </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20"/>
              <w:spacing w:line="584" w:lineRule="exact"/>
            </w:pPr>
            <w:r>
              <w:t>政府采购项目来源</w:t>
            </w:r>
          </w:p>
        </w:tc>
        <w:tc>
          <w:tcPr>
            <w:tcW w:w="1134" w:type="dxa"/>
            <w:vMerge w:val="restart"/>
            <w:vAlign w:val="center"/>
          </w:tcPr>
          <w:p>
            <w:pPr>
              <w:pStyle w:val="20"/>
              <w:spacing w:line="584" w:lineRule="exact"/>
            </w:pPr>
            <w:r>
              <w:t>采购物品名称</w:t>
            </w:r>
          </w:p>
        </w:tc>
        <w:tc>
          <w:tcPr>
            <w:tcW w:w="1134" w:type="dxa"/>
            <w:vMerge w:val="restart"/>
            <w:vAlign w:val="center"/>
          </w:tcPr>
          <w:p>
            <w:pPr>
              <w:pStyle w:val="20"/>
              <w:spacing w:line="584" w:lineRule="exact"/>
            </w:pPr>
            <w:r>
              <w:t>政府采购目录序号</w:t>
            </w:r>
          </w:p>
        </w:tc>
        <w:tc>
          <w:tcPr>
            <w:tcW w:w="709" w:type="dxa"/>
            <w:vMerge w:val="restart"/>
            <w:vAlign w:val="center"/>
          </w:tcPr>
          <w:p>
            <w:pPr>
              <w:pStyle w:val="20"/>
              <w:spacing w:line="584" w:lineRule="exact"/>
            </w:pPr>
            <w:r>
              <w:t>计量  单位</w:t>
            </w:r>
          </w:p>
        </w:tc>
        <w:tc>
          <w:tcPr>
            <w:tcW w:w="850" w:type="dxa"/>
            <w:vMerge w:val="restart"/>
            <w:vAlign w:val="center"/>
          </w:tcPr>
          <w:p>
            <w:pPr>
              <w:pStyle w:val="20"/>
              <w:spacing w:line="584" w:lineRule="exact"/>
            </w:pPr>
            <w:r>
              <w:t>数量</w:t>
            </w:r>
          </w:p>
        </w:tc>
        <w:tc>
          <w:tcPr>
            <w:tcW w:w="850" w:type="dxa"/>
            <w:vMerge w:val="restart"/>
            <w:vAlign w:val="center"/>
          </w:tcPr>
          <w:p>
            <w:pPr>
              <w:pStyle w:val="20"/>
              <w:spacing w:line="584" w:lineRule="exact"/>
            </w:pPr>
            <w:r>
              <w:t>单价</w:t>
            </w:r>
          </w:p>
        </w:tc>
        <w:tc>
          <w:tcPr>
            <w:tcW w:w="7712" w:type="dxa"/>
            <w:gridSpan w:val="8"/>
            <w:vAlign w:val="center"/>
          </w:tcPr>
          <w:p>
            <w:pPr>
              <w:pStyle w:val="20"/>
              <w:spacing w:line="584" w:lineRule="exact"/>
            </w:pPr>
            <w:r>
              <w:t>政府采购金额（当年</w:t>
            </w:r>
            <w:r>
              <w:rPr>
                <w:rFonts w:hint="eastAsia"/>
                <w:lang w:eastAsia="zh-CN"/>
              </w:rPr>
              <w:t>单位</w:t>
            </w:r>
            <w:r>
              <w:t>预算安排资金）</w:t>
            </w:r>
          </w:p>
        </w:tc>
        <w:tc>
          <w:tcPr>
            <w:tcW w:w="964" w:type="dxa"/>
            <w:vMerge w:val="restart"/>
            <w:vAlign w:val="center"/>
          </w:tcPr>
          <w:p>
            <w:pPr>
              <w:pStyle w:val="20"/>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20"/>
              <w:spacing w:line="584" w:lineRule="exact"/>
            </w:pPr>
            <w:r>
              <w:t>项目名称</w:t>
            </w:r>
          </w:p>
        </w:tc>
        <w:tc>
          <w:tcPr>
            <w:tcW w:w="964" w:type="dxa"/>
            <w:vAlign w:val="center"/>
          </w:tcPr>
          <w:p>
            <w:pPr>
              <w:pStyle w:val="20"/>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20"/>
              <w:spacing w:line="584" w:lineRule="exact"/>
            </w:pPr>
            <w:r>
              <w:t>合计</w:t>
            </w:r>
          </w:p>
        </w:tc>
        <w:tc>
          <w:tcPr>
            <w:tcW w:w="964" w:type="dxa"/>
            <w:vAlign w:val="center"/>
          </w:tcPr>
          <w:p>
            <w:pPr>
              <w:pStyle w:val="20"/>
              <w:spacing w:line="584" w:lineRule="exact"/>
            </w:pPr>
            <w:r>
              <w:t>一般公共预算拨款</w:t>
            </w:r>
          </w:p>
        </w:tc>
        <w:tc>
          <w:tcPr>
            <w:tcW w:w="964" w:type="dxa"/>
            <w:vAlign w:val="center"/>
          </w:tcPr>
          <w:p>
            <w:pPr>
              <w:pStyle w:val="20"/>
              <w:spacing w:line="584" w:lineRule="exact"/>
            </w:pPr>
            <w:r>
              <w:t>基金预算拨款</w:t>
            </w:r>
          </w:p>
        </w:tc>
        <w:tc>
          <w:tcPr>
            <w:tcW w:w="964" w:type="dxa"/>
            <w:vAlign w:val="center"/>
          </w:tcPr>
          <w:p>
            <w:pPr>
              <w:pStyle w:val="20"/>
              <w:spacing w:line="584" w:lineRule="exact"/>
            </w:pPr>
            <w:r>
              <w:t>国有资本经营预算拨款</w:t>
            </w:r>
          </w:p>
        </w:tc>
        <w:tc>
          <w:tcPr>
            <w:tcW w:w="964" w:type="dxa"/>
            <w:vAlign w:val="center"/>
          </w:tcPr>
          <w:p>
            <w:pPr>
              <w:pStyle w:val="20"/>
              <w:spacing w:line="584" w:lineRule="exact"/>
            </w:pPr>
            <w:r>
              <w:t>财政专户核拨</w:t>
            </w:r>
          </w:p>
        </w:tc>
        <w:tc>
          <w:tcPr>
            <w:tcW w:w="964" w:type="dxa"/>
            <w:vAlign w:val="center"/>
          </w:tcPr>
          <w:p>
            <w:pPr>
              <w:pStyle w:val="20"/>
              <w:spacing w:line="584" w:lineRule="exact"/>
            </w:pPr>
            <w:r>
              <w:t>单位    资金</w:t>
            </w:r>
          </w:p>
        </w:tc>
        <w:tc>
          <w:tcPr>
            <w:tcW w:w="964" w:type="dxa"/>
            <w:vAlign w:val="center"/>
          </w:tcPr>
          <w:p>
            <w:pPr>
              <w:pStyle w:val="20"/>
              <w:spacing w:line="584" w:lineRule="exact"/>
            </w:pPr>
            <w:r>
              <w:t>财政拨    款结转</w:t>
            </w:r>
          </w:p>
        </w:tc>
        <w:tc>
          <w:tcPr>
            <w:tcW w:w="964" w:type="dxa"/>
            <w:vAlign w:val="center"/>
          </w:tcPr>
          <w:p>
            <w:pPr>
              <w:pStyle w:val="20"/>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4"/>
              <w:spacing w:line="584" w:lineRule="exact"/>
            </w:pPr>
          </w:p>
        </w:tc>
        <w:tc>
          <w:tcPr>
            <w:tcW w:w="964" w:type="dxa"/>
            <w:vAlign w:val="center"/>
          </w:tcPr>
          <w:p>
            <w:pPr>
              <w:pStyle w:val="25"/>
              <w:spacing w:line="584" w:lineRule="exact"/>
            </w:pPr>
          </w:p>
        </w:tc>
        <w:tc>
          <w:tcPr>
            <w:tcW w:w="1134" w:type="dxa"/>
            <w:vAlign w:val="center"/>
          </w:tcPr>
          <w:p>
            <w:pPr>
              <w:pStyle w:val="24"/>
              <w:spacing w:line="584" w:lineRule="exact"/>
            </w:pPr>
          </w:p>
        </w:tc>
        <w:tc>
          <w:tcPr>
            <w:tcW w:w="1134" w:type="dxa"/>
            <w:vAlign w:val="center"/>
          </w:tcPr>
          <w:p>
            <w:pPr>
              <w:pStyle w:val="24"/>
              <w:spacing w:line="584" w:lineRule="exact"/>
            </w:pPr>
          </w:p>
        </w:tc>
        <w:tc>
          <w:tcPr>
            <w:tcW w:w="709" w:type="dxa"/>
            <w:vAlign w:val="center"/>
          </w:tcPr>
          <w:p>
            <w:pPr>
              <w:pStyle w:val="26"/>
              <w:spacing w:line="584" w:lineRule="exact"/>
            </w:pPr>
          </w:p>
        </w:tc>
        <w:tc>
          <w:tcPr>
            <w:tcW w:w="850" w:type="dxa"/>
            <w:vAlign w:val="center"/>
          </w:tcPr>
          <w:p>
            <w:pPr>
              <w:pStyle w:val="25"/>
              <w:spacing w:line="584" w:lineRule="exact"/>
            </w:pPr>
          </w:p>
        </w:tc>
        <w:tc>
          <w:tcPr>
            <w:tcW w:w="850"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c>
          <w:tcPr>
            <w:tcW w:w="964" w:type="dxa"/>
            <w:vAlign w:val="center"/>
          </w:tcPr>
          <w:p>
            <w:pPr>
              <w:pStyle w:val="25"/>
              <w:spacing w:line="584" w:lineRule="exact"/>
            </w:pPr>
          </w:p>
        </w:tc>
      </w:tr>
    </w:tbl>
    <w:p>
      <w:pPr>
        <w:pStyle w:val="2"/>
        <w:jc w:val="left"/>
        <w:sectPr>
          <w:footerReference r:id="rId3" w:type="default"/>
          <w:pgSz w:w="16839" w:h="11907" w:orient="landscape"/>
          <w:pgMar w:top="1361" w:right="1020" w:bottom="1361" w:left="1020" w:header="851" w:footer="992" w:gutter="0"/>
          <w:cols w:space="720" w:num="1"/>
          <w:docGrid w:type="lines" w:linePitch="312" w:charSpace="0"/>
        </w:sect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r>
        <w:rPr>
          <w:rFonts w:hint="eastAsia" w:ascii="方正仿宋_GBK" w:hAnsi="方正仿宋_GBK" w:eastAsia="方正仿宋_GBK" w:cs="方正仿宋_GBK"/>
          <w:color w:val="000000"/>
          <w:lang w:eastAsia="zh-CN"/>
        </w:rPr>
        <w:t>本单位</w:t>
      </w:r>
      <w:r>
        <w:rPr>
          <w:rFonts w:hint="eastAsia" w:ascii="方正仿宋_GBK" w:hAnsi="方正仿宋_GBK" w:eastAsia="方正仿宋_GBK" w:cs="方正仿宋_GBK"/>
          <w:color w:val="000000"/>
          <w:lang w:val="en-US" w:eastAsia="zh-CN"/>
        </w:rPr>
        <w:t>2022年无政府采购预算，空表列示。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大城县发展和改革局本级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462.03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大城县发展和改革局本级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275.79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YwOWY4MWM1ZDZmZTk4MzUzNmIxZGM3OGYxYzA4MzkifQ=="/>
  </w:docVars>
  <w:rsids>
    <w:rsidRoot w:val="00D347CC"/>
    <w:rsid w:val="004A54AA"/>
    <w:rsid w:val="00611165"/>
    <w:rsid w:val="00B80935"/>
    <w:rsid w:val="00D347CC"/>
    <w:rsid w:val="02732F88"/>
    <w:rsid w:val="027C5214"/>
    <w:rsid w:val="033F6241"/>
    <w:rsid w:val="04D04473"/>
    <w:rsid w:val="05263572"/>
    <w:rsid w:val="094F64F1"/>
    <w:rsid w:val="099D18DF"/>
    <w:rsid w:val="0B7600D9"/>
    <w:rsid w:val="0BCC35FC"/>
    <w:rsid w:val="0BCD419B"/>
    <w:rsid w:val="0C133CE7"/>
    <w:rsid w:val="0D1D3A97"/>
    <w:rsid w:val="0D79668F"/>
    <w:rsid w:val="0F2C6FE0"/>
    <w:rsid w:val="10347FA3"/>
    <w:rsid w:val="10FA5273"/>
    <w:rsid w:val="13945EE9"/>
    <w:rsid w:val="16840CA4"/>
    <w:rsid w:val="16C34659"/>
    <w:rsid w:val="17CB154E"/>
    <w:rsid w:val="191E3943"/>
    <w:rsid w:val="1A7F369B"/>
    <w:rsid w:val="1B395C34"/>
    <w:rsid w:val="1E1643EB"/>
    <w:rsid w:val="1F617814"/>
    <w:rsid w:val="1FAB771A"/>
    <w:rsid w:val="21C27070"/>
    <w:rsid w:val="22F036AC"/>
    <w:rsid w:val="276571DE"/>
    <w:rsid w:val="27800A53"/>
    <w:rsid w:val="27991BF9"/>
    <w:rsid w:val="290E256A"/>
    <w:rsid w:val="2A6957C8"/>
    <w:rsid w:val="2D761967"/>
    <w:rsid w:val="2EB122C1"/>
    <w:rsid w:val="31BA4361"/>
    <w:rsid w:val="31BB4978"/>
    <w:rsid w:val="330C6D0A"/>
    <w:rsid w:val="345B2549"/>
    <w:rsid w:val="34796F56"/>
    <w:rsid w:val="34B025C1"/>
    <w:rsid w:val="34D735DC"/>
    <w:rsid w:val="355B45F3"/>
    <w:rsid w:val="363C5FCD"/>
    <w:rsid w:val="3A572A48"/>
    <w:rsid w:val="3BED2703"/>
    <w:rsid w:val="3C5A766D"/>
    <w:rsid w:val="3DC14A8D"/>
    <w:rsid w:val="3EFC1D95"/>
    <w:rsid w:val="3F4D75FA"/>
    <w:rsid w:val="3F8A033F"/>
    <w:rsid w:val="41435B6B"/>
    <w:rsid w:val="419F3CB9"/>
    <w:rsid w:val="42293D69"/>
    <w:rsid w:val="42534A61"/>
    <w:rsid w:val="449E2BE4"/>
    <w:rsid w:val="45662B5D"/>
    <w:rsid w:val="465161EB"/>
    <w:rsid w:val="46E71798"/>
    <w:rsid w:val="48475164"/>
    <w:rsid w:val="48657501"/>
    <w:rsid w:val="48B325DE"/>
    <w:rsid w:val="48CC544E"/>
    <w:rsid w:val="4B3F2B00"/>
    <w:rsid w:val="4C16015D"/>
    <w:rsid w:val="4C4F0870"/>
    <w:rsid w:val="4EB3158A"/>
    <w:rsid w:val="4F750978"/>
    <w:rsid w:val="54371630"/>
    <w:rsid w:val="55E73D2F"/>
    <w:rsid w:val="56837089"/>
    <w:rsid w:val="56FC2143"/>
    <w:rsid w:val="577B1697"/>
    <w:rsid w:val="5A4E49B8"/>
    <w:rsid w:val="5B595267"/>
    <w:rsid w:val="5BE53187"/>
    <w:rsid w:val="5D841173"/>
    <w:rsid w:val="5DCE34D6"/>
    <w:rsid w:val="5EB03D8B"/>
    <w:rsid w:val="5EBA5C30"/>
    <w:rsid w:val="5EE12129"/>
    <w:rsid w:val="637473B8"/>
    <w:rsid w:val="64496497"/>
    <w:rsid w:val="649E5BA1"/>
    <w:rsid w:val="6598105F"/>
    <w:rsid w:val="665C5C0C"/>
    <w:rsid w:val="66805D9E"/>
    <w:rsid w:val="679A21E8"/>
    <w:rsid w:val="683D585C"/>
    <w:rsid w:val="687C0C91"/>
    <w:rsid w:val="695B7C61"/>
    <w:rsid w:val="69A62455"/>
    <w:rsid w:val="6D0D4676"/>
    <w:rsid w:val="6D686D7A"/>
    <w:rsid w:val="6F60051B"/>
    <w:rsid w:val="6F615B68"/>
    <w:rsid w:val="708D6624"/>
    <w:rsid w:val="71F91157"/>
    <w:rsid w:val="723E510A"/>
    <w:rsid w:val="72AB3117"/>
    <w:rsid w:val="73512F8D"/>
    <w:rsid w:val="75512308"/>
    <w:rsid w:val="766308F1"/>
    <w:rsid w:val="78EF6552"/>
    <w:rsid w:val="7A3A3474"/>
    <w:rsid w:val="7A411B9B"/>
    <w:rsid w:val="7AA20F5D"/>
    <w:rsid w:val="7CFD5A20"/>
    <w:rsid w:val="7E91334F"/>
    <w:rsid w:val="7ECA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99"/>
    <w:pPr>
      <w:snapToGrid w:val="0"/>
      <w:spacing w:line="570" w:lineRule="exact"/>
      <w:jc w:val="center"/>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正文文本1"/>
    <w:basedOn w:val="1"/>
    <w:qFormat/>
    <w:uiPriority w:val="0"/>
    <w:rPr>
      <w:sz w:val="32"/>
    </w:rPr>
  </w:style>
  <w:style w:type="paragraph" w:customStyle="1" w:styleId="14">
    <w:name w:val="Heading 2"/>
    <w:basedOn w:val="1"/>
    <w:qFormat/>
    <w:uiPriority w:val="0"/>
    <w:pPr>
      <w:ind w:left="760"/>
    </w:pPr>
    <w:rPr>
      <w:rFonts w:ascii="微软雅黑" w:hAnsi="微软雅黑" w:eastAsia="微软雅黑"/>
      <w:b/>
      <w:sz w:val="32"/>
    </w:rPr>
  </w:style>
  <w:style w:type="paragraph" w:customStyle="1" w:styleId="15">
    <w:name w:val="页脚1"/>
    <w:basedOn w:val="1"/>
    <w:qFormat/>
    <w:uiPriority w:val="0"/>
    <w:pPr>
      <w:tabs>
        <w:tab w:val="center" w:pos="4153"/>
        <w:tab w:val="right" w:pos="8306"/>
      </w:tabs>
    </w:pPr>
    <w:rPr>
      <w:sz w:val="18"/>
    </w:rPr>
  </w:style>
  <w:style w:type="character" w:customStyle="1" w:styleId="16">
    <w:name w:val="font41"/>
    <w:basedOn w:val="10"/>
    <w:qFormat/>
    <w:uiPriority w:val="0"/>
    <w:rPr>
      <w:rFonts w:hint="eastAsia" w:ascii="宋体" w:hAnsi="宋体" w:eastAsia="宋体" w:cs="宋体"/>
      <w:color w:val="000000"/>
      <w:sz w:val="22"/>
      <w:szCs w:val="22"/>
      <w:u w:val="none"/>
    </w:rPr>
  </w:style>
  <w:style w:type="character" w:customStyle="1" w:styleId="17">
    <w:name w:val="font21"/>
    <w:basedOn w:val="10"/>
    <w:qFormat/>
    <w:uiPriority w:val="0"/>
    <w:rPr>
      <w:rFonts w:hint="default" w:ascii="Calibri" w:hAnsi="Calibri" w:cs="Calibri"/>
      <w:color w:val="000000"/>
      <w:sz w:val="22"/>
      <w:szCs w:val="22"/>
      <w:u w:val="none"/>
    </w:rPr>
  </w:style>
  <w:style w:type="character" w:customStyle="1" w:styleId="18">
    <w:name w:val="font31"/>
    <w:basedOn w:val="10"/>
    <w:qFormat/>
    <w:uiPriority w:val="0"/>
    <w:rPr>
      <w:rFonts w:hint="eastAsia" w:ascii="宋体" w:hAnsi="宋体" w:eastAsia="宋体" w:cs="宋体"/>
      <w:color w:val="000000"/>
      <w:sz w:val="22"/>
      <w:szCs w:val="22"/>
      <w:u w:val="none"/>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6">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24411</Words>
  <Characters>26607</Characters>
  <Lines>23</Lines>
  <Paragraphs>6</Paragraphs>
  <TotalTime>10</TotalTime>
  <ScaleCrop>false</ScaleCrop>
  <LinksUpToDate>false</LinksUpToDate>
  <CharactersWithSpaces>26678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2023-12-28T07:00:46Z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E8F324BF07EC42B0B2159CBB4BE17433</vt:lpwstr>
  </property>
</Properties>
</file>