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大尚屯镇人民政府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大尚屯镇人民政府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楷体_GB2312" w:cs="Times New Roman"/>
          <w:b/>
          <w:sz w:val="32"/>
          <w:szCs w:val="32"/>
        </w:rPr>
      </w:pPr>
      <w:r>
        <w:rPr>
          <w:rFonts w:ascii="Times New Roman" w:hAnsi="黑体" w:eastAsia="黑体" w:cs="Times New Roman"/>
          <w:sz w:val="32"/>
          <w:szCs w:val="32"/>
        </w:rPr>
        <w:t>一、部门职责及机构设置情况</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（七）按照干部管理权限，负责对干部的教育、培训、选拔、考核和监督工作；协助管理上级有关部门驻镇单位的干部；做好人才服务工作。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rPr>
              <w:t>大尚屯镇人民政府</w:t>
            </w:r>
            <w:r>
              <w:rPr>
                <w:rFonts w:hint="eastAsia" w:ascii="Times New Roman" w:hAnsi="Times New Roman" w:eastAsia="仿宋_GB2312" w:cs="Times New Roman"/>
                <w:b/>
                <w:lang w:eastAsia="zh-CN"/>
              </w:rPr>
              <w:t>（</w:t>
            </w:r>
            <w:r>
              <w:rPr>
                <w:rFonts w:hint="eastAsia" w:ascii="Times New Roman" w:hAnsi="Times New Roman" w:eastAsia="仿宋_GB2312" w:cs="Times New Roman"/>
                <w:b/>
                <w:lang w:val="en-US" w:eastAsia="zh-CN"/>
              </w:rPr>
              <w:t>本级</w:t>
            </w:r>
            <w:r>
              <w:rPr>
                <w:rFonts w:hint="eastAsia" w:ascii="Times New Roman" w:hAnsi="Times New Roman" w:eastAsia="仿宋_GB2312" w:cs="Times New Roman"/>
                <w:b/>
                <w:lang w:eastAsia="zh-CN"/>
              </w:rPr>
              <w:t>）</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rPr>
        <w:t>大尚屯镇人民政府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2898.77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2848.06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0.7</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2898.77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2825.66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2504.07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321.59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73.1</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安监经费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妇联基层组织建设经费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基层党建带团建经费、建档立卡贫困户扶贫帮扶专项经费、农村环境整治经费、退役军人服务站工作经费、信访维稳经费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2898.77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846.78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881.98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增加绩效奖金工资</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工资调标等</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减少35.2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减少土地整理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321.59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val="en-US" w:eastAsia="zh-CN"/>
        </w:rPr>
        <w:t>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Times New Roman" w:hAnsi="黑体" w:eastAsia="黑体" w:cs="Times New Roman"/>
          <w:sz w:val="32"/>
          <w:szCs w:val="32"/>
        </w:rPr>
      </w:pPr>
      <w:r>
        <w:rPr>
          <w:rFonts w:hint="eastAsia" w:ascii="楷体_GB2312" w:eastAsia="楷体_GB2312" w:cs="Times New Roman"/>
          <w:b/>
          <w:sz w:val="32"/>
          <w:szCs w:val="32"/>
        </w:rPr>
        <w:t>（一）总体绩效目标</w:t>
      </w:r>
    </w:p>
    <w:p>
      <w:pPr>
        <w:pStyle w:val="25"/>
        <w:rPr>
          <w:rFonts w:ascii="楷体_GB2312" w:eastAsia="楷体_GB2312" w:cs="Times New Roman"/>
          <w:b/>
          <w:sz w:val="32"/>
          <w:szCs w:val="32"/>
        </w:rPr>
      </w:pPr>
      <w:r>
        <w:rPr>
          <w:rFonts w:ascii="Times New Roman" w:hAnsi="Times New Roman" w:eastAsia="仿宋_GB2312" w:cs="Times New Roman"/>
          <w:kern w:val="2"/>
          <w:sz w:val="32"/>
          <w:szCs w:val="32"/>
          <w:lang w:val="en-US" w:eastAsia="zh-CN" w:bidi="ar-SA"/>
        </w:rPr>
        <w:t>2023年大尚屯镇人民政府将继续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不断优化产业结构，全力推动全镇经济稳步推进。始终坚持把经济发展作为首务，充分发挥区位、交通和农业资源优势，积极探索农业发展模式，努力破除瓶颈制约，推动改变全镇传统种植，全力培育壮大农业产业龙头，发展农业产业化经营，进一步增加农民收益；同时，积极抢抓历史和现实机遇，以大气污染防治为契机，淘汰落后产能，规范和完善企业相关手续，培植帮扶重点民营企业做大做强；牢抓京津冀一体化重大历史机遇，积极发掘招商线索，扩大招商范围，着力引进投资规模大、经济效益好、环境污染少的产业带动强的龙头企业。全力做好信访矛盾纠纷排查化解工作，建立排查化解制度，落实责任捆绑机制，积极主动作为，及时化解矛盾隐患，为全镇各项事业顺利开展打好稳定基础；持续做好生态环境整治工作，坚持不懈抓好“散乱污”及秸秆焚烧的治理力度，严格落实河长制工作，继续强化日常巡查和管控措施，加大依法打击力度，确保治理工作取得实效；认真落实安全生产责任制，建立完善各种预警和应急机制，切实提高应对和处置突发性公共安全事件的能力和水平，严防各类安全事故的发生；弘扬积极向上的人文精神，引导镇域内农民逐步养成科学文明的生活方式，提高农民的整体素质，营造生机勃勃、科学健康、文明向上、和谐安定的人文环境。强力推进乡村振兴建设，持续推进农村人居环境整治工作；全面做好基础设施建设，积极争取上级建设资金，改善镇域内路、桥、校等基础设施建设，努力提升广大人民群众的生活幸福指数。</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1.通过开展农村环境治理工作，提升农村居民生活质量。</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绩效目标：通过及时处理镇区出现的生活垃圾、工业垃圾，宣传环境治理政策，保持镇区环境卫生、整洁，提升群众自觉爱护环境的意识，提升群众生活质量。</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农业服务中心对59个村街垃圾点进行摸底排查，实现农村环境达标率、垃圾及时处理率、生产生活环境得到提高，达到主管部门整体要求，全镇7万余人受益，村容村貌得到改善，建立农村环境治理长效工作机制，打造绿色宜居乡村。</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2.通过开展妇联工作，加强妇联基层组织建设。</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逐渐填补妇联基层组织建设空白点，实现妇女工作精细化，全面提升基层妇联组织建设规范化水平，进一步加强基层妇女组织建设，充分地发挥基层妇女组织的作用，推动我镇妇女工作和妇女事业的更好发展。</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镇妇联通过建设不少于10个妇女之家，每年第二季度、第四季度按期分别举办1次评选优秀妇女活动，实现基层妇女组织进一步建设，培养农村妇女后备干部，提升农村妇女在家庭、社会中的影响力，创造一个和谐美满的社会。</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3.通过开展基层党建带团建工作，带动团组织建设。</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党建办通过开展多种形式的党性教育活动和业务培训活动，活动次数不低于12次，每次参加人数不少于20人，按照绩效考核标准对党建团建工作进行考核，实现党建团建工作考核合格率，党建团建工作水平的提高，建立以党带团长效工作机制，推动建立广泛覆盖、富有活力的基层组织。</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4.通过开展贫困户帮扶工作，提高贫困户生活质量。</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绩效目标：通过实施建档立卡贫困户帮扶项目，改善贫困户在日常生活，解决实际困难，最终实现贫困户不愁吃、不愁穿、保障子女义务教育、基本医疗、保障住房目标。</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扶贫办通过对27户建档立卡贫困户发放2000元/户的慰问金，每年慰问次数不少于12次，实现慰问金发放准确率，及时率、到位率、贫困户扶贫政策知晓率的提高，达到准管部门要求，项目经费控制在5.4万元，建立长效管理机制，确保贫困户生活质量有效提高，实现贫困户家庭收入有效增长，使贫困户对政府扶贫工作达到满意，提升贫困户家庭幸福感。</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5.通过开展退役军人服务工作，切实维护退役军人合法利益。</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绩效目标：切实维护好退役军人合法权益，成立退役军人服务站，保证机构、人员、经费，切实把广大退役军人工作和生活保障好，激励他们为改革发展和社会稳定作出积极贡献。</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退役军人服务站通过做好就业、创业、扶持、走访慰问、帮扶解困、信访接待、权益保障等工作，走访帮扶不低于50次，实现退役军人慰问金发放及时准确，按期完成退役军人生活技能培训计划，鼓励退役军人自主创业，减少退役军人信访投诉情况发生，达到主管部门要求,建立长效工作机制，切实维护好退役军人合法利益。</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6.通过创建人大代表联络站，方便代表联系群众，拉近代表与群众的距离，提升辖区社会稳定水平。</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绩效目标：为群众解决了大量最关心、最直接、最现实的问题的同时，进一步拉近了人大代表和群众之间的距离，有效促进了基层社会的和谐稳定。</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通过人大代表联络站，了解关心人大代表对的工作，学习，生活情况，为人大代表履行代表职责提供条件。建立人大代表联络站个数不低于4个，为各级人大代表联系人民群众搭建平台，是新形势下密切代表与人民群众联系的纽带和桥梁。</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7.保障完成国防动员宣传教育、征兵、应急抢险等工作任务</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绩效目标：完成国防动员宣传教育、征兵、应急抢险等工作任务，完成</w:t>
      </w:r>
      <w:r>
        <w:rPr>
          <w:rFonts w:hint="eastAsia" w:eastAsia="仿宋_GB2312" w:cs="Times New Roman"/>
          <w:kern w:val="2"/>
          <w:sz w:val="32"/>
          <w:szCs w:val="32"/>
          <w:lang w:val="en-US" w:eastAsia="zh-CN" w:bidi="ar-SA"/>
        </w:rPr>
        <w:t>县人民武装</w:t>
      </w:r>
      <w:r>
        <w:rPr>
          <w:rFonts w:ascii="Times New Roman" w:hAnsi="Times New Roman" w:eastAsia="仿宋_GB2312" w:cs="Times New Roman"/>
          <w:kern w:val="2"/>
          <w:sz w:val="32"/>
          <w:szCs w:val="32"/>
          <w:lang w:val="en-US" w:eastAsia="zh-CN" w:bidi="ar-SA"/>
        </w:rPr>
        <w:t>部交办的各项任务，响应上级命令参加训练集结等工作。</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绩效指标：完成</w:t>
      </w:r>
      <w:r>
        <w:rPr>
          <w:rFonts w:hint="eastAsia" w:eastAsia="仿宋_GB2312" w:cs="Times New Roman"/>
          <w:kern w:val="2"/>
          <w:sz w:val="32"/>
          <w:szCs w:val="32"/>
          <w:lang w:val="en-US" w:eastAsia="zh-CN" w:bidi="ar-SA"/>
        </w:rPr>
        <w:t>县人民武装</w:t>
      </w:r>
      <w:r>
        <w:rPr>
          <w:rFonts w:ascii="Times New Roman" w:hAnsi="Times New Roman" w:eastAsia="仿宋_GB2312" w:cs="Times New Roman"/>
          <w:kern w:val="2"/>
          <w:sz w:val="32"/>
          <w:szCs w:val="32"/>
          <w:lang w:val="en-US" w:eastAsia="zh-CN" w:bidi="ar-SA"/>
        </w:rPr>
        <w:t>部交办的各项任务，响应上级命令参加训练集结等工作。每年训练民兵人数不低于100人，战备，训练物资更新补充，提升国防宣传、征兵工作知晓率。</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Times New Roman" w:hAnsi="Times New Roman"/>
          <w:kern w:val="0"/>
          <w:sz w:val="32"/>
          <w:szCs w:val="32"/>
        </w:rPr>
      </w:pPr>
      <w:r>
        <w:rPr>
          <w:rFonts w:hint="eastAsia" w:ascii="仿宋" w:hAnsi="仿宋" w:eastAsia="仿宋" w:cs="仿宋"/>
          <w:b/>
          <w:bCs/>
          <w:kern w:val="0"/>
          <w:sz w:val="32"/>
          <w:szCs w:val="32"/>
        </w:rPr>
        <w:t>1.完善制度建设。</w:t>
      </w:r>
      <w:r>
        <w:rPr>
          <w:rFonts w:hint="eastAsia" w:ascii="仿宋" w:hAnsi="仿宋" w:eastAsia="仿宋"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ÂËÎ" w:hAnsi="·ÂËÎ" w:cs="·ÂËÎ"/>
          <w:kern w:val="0"/>
          <w:sz w:val="32"/>
          <w:szCs w:val="32"/>
        </w:rPr>
      </w:pPr>
      <w:r>
        <w:rPr>
          <w:rFonts w:hint="eastAsia" w:ascii="仿宋" w:hAnsi="仿宋" w:eastAsia="仿宋" w:cs="仿宋"/>
          <w:b/>
          <w:bCs/>
          <w:kern w:val="0"/>
          <w:sz w:val="32"/>
          <w:szCs w:val="32"/>
        </w:rPr>
        <w:t>2.加强支出管理。</w:t>
      </w:r>
      <w:r>
        <w:rPr>
          <w:rFonts w:hint="eastAsia" w:ascii="仿宋" w:hAnsi="仿宋" w:eastAsia="仿宋" w:cs="仿宋"/>
          <w:color w:val="000000"/>
          <w:kern w:val="0"/>
          <w:sz w:val="32"/>
          <w:szCs w:val="32"/>
        </w:rPr>
        <w:t>通过优化支出结构、编细编实预算、加快履行政府采购手续、尽快启动项目、及时支付资金、</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Times New Roman" w:hAnsi="Times New Roman"/>
          <w:kern w:val="0"/>
          <w:sz w:val="32"/>
          <w:szCs w:val="32"/>
        </w:rPr>
      </w:pPr>
      <w:r>
        <w:rPr>
          <w:rFonts w:hint="eastAsia" w:ascii="仿宋" w:hAnsi="仿宋" w:eastAsia="仿宋" w:cs="仿宋"/>
          <w:b/>
          <w:bCs/>
          <w:kern w:val="0"/>
          <w:sz w:val="32"/>
          <w:szCs w:val="32"/>
        </w:rPr>
        <w:t>3.加强绩效运行监控。</w:t>
      </w:r>
      <w:r>
        <w:rPr>
          <w:rFonts w:hint="eastAsia" w:ascii="仿宋" w:hAnsi="仿宋" w:eastAsia="仿宋"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Times New Roman" w:hAnsi="Times New Roman"/>
          <w:kern w:val="0"/>
          <w:sz w:val="32"/>
          <w:szCs w:val="32"/>
        </w:rPr>
      </w:pPr>
      <w:r>
        <w:rPr>
          <w:rFonts w:hint="eastAsia" w:ascii="仿宋" w:hAnsi="仿宋" w:eastAsia="仿宋" w:cs="仿宋"/>
          <w:b/>
          <w:bCs/>
          <w:kern w:val="0"/>
          <w:sz w:val="32"/>
          <w:szCs w:val="32"/>
        </w:rPr>
        <w:t>4.做好绩效自评。</w:t>
      </w:r>
      <w:r>
        <w:rPr>
          <w:rFonts w:hint="eastAsia" w:ascii="仿宋" w:hAnsi="仿宋" w:eastAsia="仿宋" w:cs="仿宋"/>
          <w:kern w:val="0"/>
          <w:sz w:val="32"/>
          <w:szCs w:val="32"/>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5.规范财务资产管理。</w:t>
      </w:r>
      <w:r>
        <w:rPr>
          <w:rFonts w:hint="eastAsia" w:ascii="仿宋" w:hAnsi="仿宋" w:eastAsia="仿宋"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6.加强内部监督。</w:t>
      </w:r>
      <w:r>
        <w:rPr>
          <w:rFonts w:hint="eastAsia" w:ascii="仿宋" w:hAnsi="仿宋" w:eastAsia="仿宋"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pPr>
      <w:r>
        <w:rPr>
          <w:rFonts w:hint="eastAsia" w:ascii="仿宋" w:hAnsi="仿宋" w:eastAsia="仿宋" w:cs="仿宋"/>
          <w:b/>
          <w:bCs/>
          <w:kern w:val="0"/>
          <w:sz w:val="32"/>
          <w:szCs w:val="32"/>
        </w:rPr>
        <w:t>7.加强宣传培训调研等。</w:t>
      </w:r>
      <w:r>
        <w:rPr>
          <w:rFonts w:hint="eastAsia" w:ascii="仿宋" w:hAnsi="仿宋" w:eastAsia="仿宋" w:cs="仿宋"/>
          <w:kern w:val="0"/>
          <w:sz w:val="32"/>
          <w:szCs w:val="32"/>
        </w:rPr>
        <w:t>加强人员培训，提高本部门职工业务素质；加强调研，提出优化财政资金配置、提高资金使用效益的意见；加大宣传力度，强化预算绩效管理意识，促进预算绩</w:t>
      </w:r>
      <w:r>
        <w:rPr>
          <w:rFonts w:ascii="仿宋" w:hAnsi="仿宋" w:eastAsia="仿宋" w:cs="仿宋"/>
          <w:kern w:val="0"/>
          <w:sz w:val="32"/>
          <w:szCs w:val="32"/>
        </w:rPr>
        <w:t xml:space="preserve"> </w:t>
      </w:r>
      <w:r>
        <w:rPr>
          <w:rFonts w:hint="eastAsia" w:ascii="仿宋" w:hAnsi="仿宋" w:eastAsia="仿宋" w:cs="仿宋"/>
          <w:kern w:val="0"/>
          <w:sz w:val="32"/>
          <w:szCs w:val="32"/>
        </w:rPr>
        <w:t>效管理水平进一步提升。</w:t>
      </w:r>
    </w:p>
    <w:p>
      <w:pPr>
        <w:spacing w:line="584" w:lineRule="exact"/>
        <w:ind w:firstLine="640" w:firstLineChars="200"/>
        <w:rPr>
          <w:rFonts w:ascii="仿宋_GB2312" w:eastAsia="仿宋_GB2312" w:cs="Times New Roman"/>
          <w:sz w:val="32"/>
          <w:szCs w:val="32"/>
        </w:rPr>
      </w:pPr>
    </w:p>
    <w:p>
      <w:pPr>
        <w:pStyle w:val="2"/>
        <w:rPr>
          <w:rFonts w:ascii="仿宋_GB2312" w:eastAsia="仿宋_GB2312" w:cs="Times New Roman"/>
          <w:sz w:val="32"/>
          <w:szCs w:val="32"/>
        </w:rPr>
      </w:pPr>
    </w:p>
    <w:p>
      <w:pPr>
        <w:pStyle w:val="2"/>
        <w:rPr>
          <w:rFonts w:ascii="仿宋_GB2312" w:eastAsia="仿宋_GB2312" w:cs="Times New Roman"/>
          <w:sz w:val="32"/>
          <w:szCs w:val="32"/>
        </w:rPr>
      </w:pPr>
    </w:p>
    <w:p>
      <w:pPr>
        <w:pStyle w:val="2"/>
        <w:rPr>
          <w:rFonts w:ascii="仿宋_GB2312" w:eastAsia="仿宋_GB2312" w:cs="Times New Roman"/>
          <w:sz w:val="32"/>
          <w:szCs w:val="32"/>
        </w:rPr>
      </w:pPr>
    </w:p>
    <w:p>
      <w:pPr>
        <w:pStyle w:val="2"/>
        <w:rPr>
          <w:rFonts w:ascii="仿宋_GB2312" w:eastAsia="仿宋_GB2312" w:cs="Times New Roman"/>
          <w:sz w:val="32"/>
          <w:szCs w:val="32"/>
        </w:rPr>
      </w:pPr>
    </w:p>
    <w:p>
      <w:pPr>
        <w:pStyle w:val="2"/>
        <w:rPr>
          <w:rFonts w:ascii="仿宋_GB2312" w:eastAsia="仿宋_GB2312" w:cs="Times New Roman"/>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0"/>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部门产出</w:t>
            </w:r>
          </w:p>
        </w:tc>
        <w:tc>
          <w:tcPr>
            <w:tcW w:w="825" w:type="dxa"/>
            <w:tcBorders>
              <w:tl2br w:val="nil"/>
              <w:tr2bl w:val="nil"/>
            </w:tcBorders>
            <w:vAlign w:val="center"/>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数量</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工作实际完成率</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工作的实际产出数与计划产出数的比率</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反映工作的实际产出数与计划产出数的比率</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825" w:type="dxa"/>
            <w:tcBorders>
              <w:tl2br w:val="nil"/>
              <w:tr2bl w:val="nil"/>
            </w:tcBorders>
            <w:vAlign w:val="center"/>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质量</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重点工作完成达标率　</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工作的质量达标产出数与实际产出数的比率。　</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反映工作的质量达标产出数与实际产出数的比率。　</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825" w:type="dxa"/>
            <w:tcBorders>
              <w:tl2br w:val="nil"/>
              <w:tr2bl w:val="nil"/>
            </w:tcBorders>
            <w:vAlign w:val="center"/>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时效</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重点工作完成及时率　</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工作的质量达标产出数与实际产出数的比率。</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反映工作的质量达标产出数与实际产出数的比率。</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825" w:type="dxa"/>
            <w:tcBorders>
              <w:tl2br w:val="nil"/>
              <w:tr2bl w:val="nil"/>
            </w:tcBorders>
            <w:vAlign w:val="center"/>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成本</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一般性支出压减率　</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按支出科目压减一般性支出的实际情况</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反映按支出科目压减一般性支出的实际情况反映</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部门</w:t>
            </w:r>
            <w:r>
              <w:rPr>
                <w:rFonts w:hint="eastAsia" w:ascii="宋体" w:hAnsi="宋体" w:eastAsia="宋体" w:cs="宋体"/>
                <w:i w:val="0"/>
                <w:iCs w:val="0"/>
                <w:color w:val="000000"/>
                <w:kern w:val="0"/>
                <w:sz w:val="18"/>
                <w:szCs w:val="18"/>
                <w:u w:val="none"/>
                <w:lang w:val="en-US" w:eastAsia="zh-CN"/>
              </w:rPr>
              <w:t>效果</w:t>
            </w:r>
          </w:p>
        </w:tc>
        <w:tc>
          <w:tcPr>
            <w:tcW w:w="825"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社会效益</w:t>
            </w:r>
          </w:p>
          <w:p>
            <w:pPr>
              <w:widowControl/>
              <w:jc w:val="left"/>
              <w:textAlignment w:val="center"/>
              <w:rPr>
                <w:rFonts w:ascii="方正书宋_GBK" w:eastAsia="方正书宋_GBK"/>
              </w:rPr>
            </w:pP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全镇经济发展稳步提升　</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部门工作对经济发展所带来的直接或间接影响情况</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反映部门工作对经济发展所带来的直接或间接影响情况</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文字描述</w:t>
            </w:r>
          </w:p>
        </w:tc>
        <w:tc>
          <w:tcPr>
            <w:tcW w:w="488" w:type="dxa"/>
            <w:tcBorders>
              <w:tl2br w:val="nil"/>
              <w:tr2bl w:val="nil"/>
            </w:tcBorders>
            <w:vAlign w:val="top"/>
          </w:tcPr>
          <w:p>
            <w:pPr>
              <w:widowControl/>
              <w:jc w:val="left"/>
              <w:textAlignment w:val="center"/>
              <w:rPr>
                <w:rFonts w:ascii="方正书宋_GBK" w:eastAsia="方正书宋_GBK"/>
              </w:rPr>
            </w:pP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稳步提升</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经济</w:t>
            </w:r>
          </w:p>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效益</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辖区居民生活水平显著提升　　</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部门工作对社会发展所带来的直接或间接影响情况</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反映部门工作对社会发展所带来的直接或间接影响情况</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文字描述</w:t>
            </w:r>
          </w:p>
        </w:tc>
        <w:tc>
          <w:tcPr>
            <w:tcW w:w="488" w:type="dxa"/>
            <w:tcBorders>
              <w:tl2br w:val="nil"/>
              <w:tr2bl w:val="nil"/>
            </w:tcBorders>
            <w:vAlign w:val="top"/>
          </w:tcPr>
          <w:p>
            <w:pPr>
              <w:widowControl/>
              <w:jc w:val="left"/>
              <w:textAlignment w:val="center"/>
              <w:rPr>
                <w:rFonts w:ascii="方正书宋_GBK" w:eastAsia="方正书宋_GBK"/>
              </w:rPr>
            </w:pP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显著提升</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生态</w:t>
            </w:r>
          </w:p>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效益</w:t>
            </w:r>
          </w:p>
        </w:tc>
        <w:tc>
          <w:tcPr>
            <w:tcW w:w="89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辖区生态环境显著提升　</w:t>
            </w:r>
          </w:p>
        </w:tc>
        <w:tc>
          <w:tcPr>
            <w:tcW w:w="2172"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部门工作对生态环境所带来的直接或间接影响情况</w:t>
            </w:r>
          </w:p>
        </w:tc>
        <w:tc>
          <w:tcPr>
            <w:tcW w:w="148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反映部门工作对生态环境所带来的直接或间接影响情况</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文字描述</w:t>
            </w:r>
          </w:p>
        </w:tc>
        <w:tc>
          <w:tcPr>
            <w:tcW w:w="488" w:type="dxa"/>
            <w:tcBorders>
              <w:tl2br w:val="nil"/>
              <w:tr2bl w:val="nil"/>
            </w:tcBorders>
            <w:vAlign w:val="top"/>
          </w:tcPr>
          <w:p>
            <w:pPr>
              <w:widowControl/>
              <w:jc w:val="left"/>
              <w:textAlignment w:val="center"/>
              <w:rPr>
                <w:rFonts w:ascii="方正书宋_GBK" w:eastAsia="方正书宋_GBK"/>
              </w:rPr>
            </w:pP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显著提升</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可持续影响</w:t>
            </w:r>
          </w:p>
        </w:tc>
        <w:tc>
          <w:tcPr>
            <w:tcW w:w="897"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群众满意度　</w:t>
            </w:r>
          </w:p>
        </w:tc>
        <w:tc>
          <w:tcPr>
            <w:tcW w:w="2172"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社会公众或服务对象对部门工作效果的满意程度</w:t>
            </w:r>
          </w:p>
        </w:tc>
        <w:tc>
          <w:tcPr>
            <w:tcW w:w="1483"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反映社会公众或服务对象对部门工作效果的满意程度</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90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rPr>
              <w:t>满意度</w:t>
            </w:r>
          </w:p>
        </w:tc>
        <w:tc>
          <w:tcPr>
            <w:tcW w:w="897"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工作实际完成率</w:t>
            </w:r>
          </w:p>
        </w:tc>
        <w:tc>
          <w:tcPr>
            <w:tcW w:w="2172"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工作的实际产出数与计划产出数的比率</w:t>
            </w:r>
          </w:p>
        </w:tc>
        <w:tc>
          <w:tcPr>
            <w:tcW w:w="1483" w:type="dxa"/>
            <w:tcBorders>
              <w:tl2br w:val="nil"/>
              <w:tr2bl w:val="nil"/>
            </w:tcBorders>
            <w:noWrap/>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反映工作的实际产出数与计划产出数的比率</w:t>
            </w:r>
          </w:p>
        </w:tc>
        <w:tc>
          <w:tcPr>
            <w:tcW w:w="54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488"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100</w:t>
            </w:r>
          </w:p>
        </w:tc>
        <w:tc>
          <w:tcPr>
            <w:tcW w:w="573"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w:t>
            </w:r>
          </w:p>
        </w:tc>
        <w:tc>
          <w:tcPr>
            <w:tcW w:w="1277" w:type="dxa"/>
            <w:tcBorders>
              <w:tl2br w:val="nil"/>
              <w:tr2bl w:val="nil"/>
            </w:tcBorders>
            <w:vAlign w:val="top"/>
          </w:tcPr>
          <w:p>
            <w:pPr>
              <w:widowControl/>
              <w:jc w:val="left"/>
              <w:textAlignment w:val="center"/>
              <w:rPr>
                <w:rFonts w:ascii="方正书宋_GBK" w:eastAsia="方正书宋_GBK"/>
              </w:rPr>
            </w:pPr>
            <w:r>
              <w:rPr>
                <w:rFonts w:hint="default" w:ascii="宋体" w:hAnsi="宋体" w:eastAsia="宋体" w:cs="宋体"/>
                <w:i w:val="0"/>
                <w:iCs w:val="0"/>
                <w:color w:val="000000"/>
                <w:kern w:val="0"/>
                <w:sz w:val="18"/>
                <w:szCs w:val="18"/>
                <w:u w:val="none"/>
                <w:lang w:val="en-US" w:eastAsia="zh-CN"/>
              </w:rPr>
              <w:t>工作安排</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pStyle w:val="2"/>
        <w:rPr>
          <w:rFonts w:ascii="Times New Roman" w:hAnsi="黑体" w:eastAsia="黑体" w:cs="Times New Roman"/>
          <w:sz w:val="32"/>
          <w:szCs w:val="32"/>
        </w:rPr>
      </w:pPr>
    </w:p>
    <w:p>
      <w:pPr>
        <w:pStyle w:val="2"/>
        <w:rPr>
          <w:rFonts w:ascii="Times New Roman" w:hAnsi="黑体" w:eastAsia="黑体" w:cs="Times New Roman"/>
          <w:sz w:val="32"/>
          <w:szCs w:val="32"/>
        </w:rPr>
      </w:pPr>
    </w:p>
    <w:p>
      <w:pPr>
        <w:pStyle w:val="2"/>
        <w:rPr>
          <w:rFonts w:ascii="Times New Roman" w:hAnsi="黑体" w:eastAsia="黑体" w:cs="Times New Roman"/>
          <w:sz w:val="32"/>
          <w:szCs w:val="32"/>
        </w:rPr>
      </w:pPr>
    </w:p>
    <w:p>
      <w:pPr>
        <w:pStyle w:val="2"/>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tbl>
      <w:tblPr>
        <w:tblStyle w:val="10"/>
        <w:tblpPr w:leftFromText="180" w:rightFromText="180" w:vertAnchor="text" w:horzAnchor="page" w:tblpX="1508" w:tblpY="743"/>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rPr>
              <w:t>每年都安排农村环境整治项目资金，对农村环境进行清理整治，使我镇垃圾及时有效处理，发现一处，整理一处，不留死角，实现我镇环境质量明显改善，建立农村环境整治长效管理机制，打造绿色宜居乡村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数量指标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排查村街数量</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反映排查村街的数量</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=59个</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质量指标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环境质量达标率</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反映环境质量达标率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时效指标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垃圾及时处理率</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垃圾发现及时处理率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成本指标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项目经费预算控制量</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反映项目经费预算控制量</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宋体" w:hAnsi="宋体" w:eastAsia="宋体" w:cs="宋体"/>
                <w:i w:val="0"/>
                <w:iCs w:val="0"/>
                <w:color w:val="000000"/>
                <w:kern w:val="0"/>
                <w:sz w:val="18"/>
                <w:szCs w:val="18"/>
                <w:u w:val="none"/>
                <w:lang w:val="en-US" w:eastAsia="zh-CN"/>
              </w:rPr>
              <w:t>≤50万元</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社会效益指标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受益人口数量</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受益人口数量</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7万人</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生态效益指标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环境提升情况</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反映环境提升情况</w:t>
            </w: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提升</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可持续影响指标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长效管理机制</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反映长效管理机制是否健全</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健全</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《廊坊市人民政府办公室关于严格农村生活垃圾管理的通知》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服务对象满意度指标</w:t>
            </w:r>
          </w:p>
        </w:tc>
        <w:tc>
          <w:tcPr>
            <w:tcW w:w="198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群众满意度</w:t>
            </w:r>
          </w:p>
        </w:tc>
        <w:tc>
          <w:tcPr>
            <w:tcW w:w="3402"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反映群众满意度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eastAsia" w:ascii="宋体" w:hAnsi="宋体" w:eastAsia="宋体" w:cs="宋体"/>
                <w:i w:val="0"/>
                <w:iCs w:val="0"/>
                <w:color w:val="000000"/>
                <w:kern w:val="0"/>
                <w:sz w:val="18"/>
                <w:szCs w:val="18"/>
                <w:u w:val="none"/>
                <w:lang w:val="en-US" w:eastAsia="zh-CN"/>
              </w:rPr>
              <w:t>≥90%</w:t>
            </w:r>
          </w:p>
        </w:tc>
        <w:tc>
          <w:tcPr>
            <w:tcW w:w="2155" w:type="dxa"/>
            <w:shd w:val="clear" w:color="auto" w:fill="auto"/>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实际调查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 xml:space="preserve"> 2023年农村环境整治经费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2023年乡镇武装部武装工作经费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保障完成国防动员宣传教育、征兵、应急抢险等工作任务</w:t>
            </w:r>
          </w:p>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民兵训练人员数量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反映民兵训练人员数量</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100人</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民兵训练质量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反映民兵训练质量</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default" w:ascii="宋体" w:hAnsi="宋体" w:cs="宋体"/>
                <w:i w:val="0"/>
                <w:iCs w:val="0"/>
                <w:color w:val="000000"/>
                <w:sz w:val="18"/>
                <w:szCs w:val="18"/>
                <w:u w:val="none"/>
                <w:lang w:val="en-US" w:eastAsia="zh-CN"/>
              </w:rPr>
              <w:t>符合上级部门训练要求</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征兵时间</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反映春节秋季征兵时间</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default" w:ascii="宋体" w:hAnsi="宋体" w:cs="宋体"/>
                <w:i w:val="0"/>
                <w:iCs w:val="0"/>
                <w:color w:val="000000"/>
                <w:sz w:val="18"/>
                <w:szCs w:val="18"/>
                <w:u w:val="none"/>
                <w:lang w:val="en-US" w:eastAsia="zh-CN"/>
              </w:rPr>
              <w:t>根据上级部门规定时限完成</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战备、训练物资更新补充</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反映战备、训练物资更新补充</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default" w:ascii="宋体" w:hAnsi="宋体" w:cs="宋体"/>
                <w:i w:val="0"/>
                <w:iCs w:val="0"/>
                <w:color w:val="000000"/>
                <w:sz w:val="18"/>
                <w:szCs w:val="18"/>
                <w:u w:val="none"/>
                <w:lang w:val="en-US" w:eastAsia="zh-CN"/>
              </w:rPr>
              <w:t>保证战备训练物资完成率100%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国防宣传、征兵工作知晓率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反映国防宣传、征兵工作知晓率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80%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服务对象满意度指标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参加训练人员满意度</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反映参加训练人员满意度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关于下达2020年农村综合改革示范点补助资金的通知--东魏各庄村扶持壮大村集体经济</w:t>
      </w:r>
      <w:r>
        <w:rPr>
          <w:rFonts w:hint="eastAsia" w:ascii="Times New Roman" w:hAnsi="Times New Roman" w:eastAsia="仿宋_GB2312" w:cs="Times New Roman"/>
          <w:sz w:val="28"/>
          <w:lang w:val="en-US" w:eastAsia="zh-CN"/>
        </w:rPr>
        <w:t>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实施品牌战略，以此带动农村增收，实现村集体经济收入可持续增加</w:t>
            </w:r>
          </w:p>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扶持村级集体经济发展项目开工率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反映扶持村级集体经济发展项目开工率</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项目（工程）验收合格率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反映项目（工程）验收合格率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项目（工程）完成及时率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反映项目（工程）完成及时率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项目预算资金控制量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反映项目预算资金控制量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=0.7万元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经济效益指标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村集体资产增长率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反应村集体资产增长率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80%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经济效益指标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村集体经济年收入</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反映村集体经济年收入</w:t>
            </w:r>
          </w:p>
        </w:tc>
        <w:tc>
          <w:tcPr>
            <w:tcW w:w="1843" w:type="dxa"/>
            <w:shd w:val="clear" w:color="auto" w:fill="auto"/>
            <w:vAlign w:val="center"/>
          </w:tcPr>
          <w:p>
            <w:pPr>
              <w:spacing w:line="584" w:lineRule="exact"/>
              <w:jc w:val="left"/>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10%</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受益人口数</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反映受益人口数</w:t>
            </w:r>
          </w:p>
        </w:tc>
        <w:tc>
          <w:tcPr>
            <w:tcW w:w="1843" w:type="dxa"/>
            <w:shd w:val="clear" w:color="auto" w:fill="auto"/>
            <w:vAlign w:val="center"/>
          </w:tcPr>
          <w:p>
            <w:pPr>
              <w:spacing w:line="584" w:lineRule="exact"/>
              <w:jc w:val="left"/>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2000人</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服务对象满意度指标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服务对象满意度指标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受益人口满意度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 xml:space="preserve"> 2023年妇联基层组织建设经费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rPr>
              <w:t>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数量指标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评选活动次数</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反映当年举办活动次数</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2个</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质量指标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举办活动质量达标率</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反映开展活动质量达标率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时效指标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按期举办活动完成率（%）</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反映举办活动按期完成的占总活动的比率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成本指标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项目经费预算控制量</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反映项目经费预算控制量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1万元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社会效益指标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妇女在社会中地位提升情况</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提升妇女在社会中积极影响</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985" w:type="dxa"/>
            <w:shd w:val="clear" w:color="auto" w:fill="auto"/>
            <w:vAlign w:val="top"/>
          </w:tcPr>
          <w:p>
            <w:pPr>
              <w:widowControl/>
              <w:jc w:val="left"/>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妇女后备干部建设情况</w:t>
            </w:r>
          </w:p>
        </w:tc>
        <w:tc>
          <w:tcPr>
            <w:tcW w:w="3402" w:type="dxa"/>
            <w:shd w:val="clear" w:color="auto" w:fill="auto"/>
            <w:vAlign w:val="top"/>
          </w:tcPr>
          <w:p>
            <w:pPr>
              <w:widowControl/>
              <w:jc w:val="left"/>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反映妇女后备干部建设情况</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满意度指标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群众满意度</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反映群众满意度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pStyle w:val="2"/>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 xml:space="preserve"> 2023年基层党建团建工作经费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rPr>
              <w:t>基层党建团建工作主要是以带团干部队伍建设为关键，以带基层组织建设为基础，重视对党员的综合素质以及道德素养提升，推动建立广泛覆盖、富有活力的基层组织</w:t>
            </w:r>
            <w:r>
              <w:rPr>
                <w:rFonts w:hint="eastAsia" w:ascii="宋体" w:hAnsi="宋体" w:cs="宋体"/>
                <w:i w:val="0"/>
                <w:iCs w:val="0"/>
                <w:color w:val="000000"/>
                <w:kern w:val="0"/>
                <w:sz w:val="18"/>
                <w:szCs w:val="18"/>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党性教育参加</w:t>
            </w:r>
            <w:r>
              <w:rPr>
                <w:rFonts w:hint="eastAsia" w:ascii="宋体" w:hAnsi="宋体" w:cs="宋体"/>
                <w:i w:val="0"/>
                <w:iCs w:val="0"/>
                <w:color w:val="000000"/>
                <w:kern w:val="0"/>
                <w:sz w:val="18"/>
                <w:szCs w:val="18"/>
                <w:u w:val="none"/>
                <w:lang w:val="en-US" w:eastAsia="zh-CN"/>
              </w:rPr>
              <w:t>数</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反映本年度开展党性教育参加人数</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12次</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党建团建工作考核合格率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反映党建团建工作考核合格率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党建团建活动的完成及时率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反映党建团建活动的完成及时率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项目经费控制量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反映项目经费预算控制量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1万元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经济效益指标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党建团建工作组织工作能力</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提升党建团建组织工作能力</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政策知识知晓率</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提升了党建团建政策知识知晓率</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985" w:type="dxa"/>
            <w:shd w:val="clear" w:color="auto" w:fill="auto"/>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建立长效管理制度</w:t>
            </w:r>
          </w:p>
        </w:tc>
        <w:tc>
          <w:tcPr>
            <w:tcW w:w="3402" w:type="dxa"/>
            <w:shd w:val="clear" w:color="auto" w:fill="auto"/>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反映建立长效管理制度是否健全</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健全</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满意度指标</w:t>
            </w:r>
          </w:p>
        </w:tc>
        <w:tc>
          <w:tcPr>
            <w:tcW w:w="1985"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群众满意度</w:t>
            </w:r>
          </w:p>
        </w:tc>
        <w:tc>
          <w:tcPr>
            <w:tcW w:w="3402" w:type="dxa"/>
            <w:shd w:val="clear" w:color="auto" w:fill="auto"/>
            <w:vAlign w:val="top"/>
          </w:tcPr>
          <w:p>
            <w:pPr>
              <w:widowControl/>
              <w:jc w:val="left"/>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反映群众满意度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 xml:space="preserve"> 2023年建档立卡脱贫户生产生活补助金经费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rPr>
              <w:t>基层党建团建工作主要是以带团干部队伍建设为关键，以带基层组织建设为基础，重视对党员的综合素质以及道德素养提升，推动建立广泛覆盖、富有活力的基层组织</w:t>
            </w:r>
            <w:r>
              <w:rPr>
                <w:rFonts w:hint="eastAsia" w:ascii="宋体" w:hAnsi="宋体" w:cs="宋体"/>
                <w:i w:val="0"/>
                <w:iCs w:val="0"/>
                <w:color w:val="000000"/>
                <w:kern w:val="0"/>
                <w:sz w:val="18"/>
                <w:szCs w:val="18"/>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走访慰问次数</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反映年度内帮扶走访慰问次数</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=27户</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慰问金发放准确率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反映慰问金发放准确率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慰问金到位率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实际到位慰问金的比率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贫困户慰问金发放标准</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反映贫困户慰问金发放标准</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5.4万元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社会效益指标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扶贫政策知晓率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反映扶贫政策知晓率</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长效管理机制</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反映长效管理机制是否健全</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贫困户满意度</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eastAsia="宋体" w:cs="宋体"/>
                <w:i w:val="0"/>
                <w:iCs w:val="0"/>
                <w:color w:val="000000"/>
                <w:kern w:val="0"/>
                <w:sz w:val="18"/>
                <w:szCs w:val="18"/>
                <w:u w:val="none"/>
                <w:lang w:val="en-US" w:eastAsia="zh-CN"/>
              </w:rPr>
              <w:t>反映贫困户满意度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95%</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2023年人大代表联络站经费经费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cs="宋体"/>
                <w:i w:val="0"/>
                <w:iCs w:val="0"/>
                <w:color w:val="000000"/>
                <w:sz w:val="18"/>
                <w:szCs w:val="18"/>
                <w:u w:val="none"/>
                <w:lang w:val="en-US" w:eastAsia="zh-CN"/>
              </w:rPr>
              <w:t>通过创建人大代表联络站，方便代表联系群众，拉近代表与群众的距离，提升辖区社会稳定水平。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联络站建立个数</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反映联络站建立个数</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4个</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群众对联络站建立的评价</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反映群众对联络站建立的评价</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联络站建立完成的实限</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反映联络站建立完成的实限</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项目经费预算控制量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反映项目经费预算控制量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8万元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社会稳定水平</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反映社会稳定水平</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生态效益指标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代表联系群众工作环境提升情况</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代表联系群众工作环境提升情况</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sz w:val="18"/>
                <w:szCs w:val="18"/>
                <w:u w:val="none"/>
                <w:lang w:val="en-US" w:eastAsia="zh-CN"/>
              </w:rPr>
              <w:t>可持续影响指标</w:t>
            </w:r>
          </w:p>
        </w:tc>
        <w:tc>
          <w:tcPr>
            <w:tcW w:w="1985" w:type="dxa"/>
            <w:shd w:val="clear" w:color="auto" w:fill="auto"/>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cs="宋体"/>
                <w:i w:val="0"/>
                <w:iCs w:val="0"/>
                <w:color w:val="000000"/>
                <w:sz w:val="18"/>
                <w:szCs w:val="18"/>
                <w:u w:val="none"/>
                <w:lang w:val="en-US" w:eastAsia="zh-CN"/>
              </w:rPr>
              <w:t>联络站制度健全性</w:t>
            </w:r>
          </w:p>
        </w:tc>
        <w:tc>
          <w:tcPr>
            <w:tcW w:w="3402" w:type="dxa"/>
            <w:shd w:val="clear" w:color="auto" w:fill="auto"/>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cs="宋体"/>
                <w:i w:val="0"/>
                <w:iCs w:val="0"/>
                <w:color w:val="000000"/>
                <w:sz w:val="18"/>
                <w:szCs w:val="18"/>
                <w:u w:val="none"/>
                <w:lang w:val="en-US" w:eastAsia="zh-CN"/>
              </w:rPr>
              <w:t>联络站制度健全性</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健全</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服务对象满意度指标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群众满意度</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反映群众满意度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95%</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p>
    <w:p>
      <w:pPr>
        <w:numPr>
          <w:ilvl w:val="0"/>
          <w:numId w:val="0"/>
        </w:numPr>
        <w:ind w:firstLine="280" w:firstLineChars="100"/>
        <w:jc w:val="left"/>
        <w:outlineLvl w:val="1"/>
        <w:rPr>
          <w:rFonts w:hint="eastAsia" w:ascii="Times New Roman" w:hAnsi="Times New Roman" w:eastAsia="仿宋_GB2312" w:cs="Times New Roman"/>
          <w:sz w:val="28"/>
          <w:lang w:val="en-US" w:eastAsia="zh-CN"/>
        </w:rPr>
      </w:pPr>
    </w:p>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w:t>
      </w:r>
      <w:r>
        <w:rPr>
          <w:rFonts w:hint="eastAsia" w:ascii="Times New Roman" w:hAnsi="Times New Roman" w:eastAsia="仿宋_GB2312" w:cs="Times New Roman"/>
          <w:sz w:val="28"/>
        </w:rPr>
        <w:t>退役军人服务站工作经费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9"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cs="宋体"/>
                <w:i w:val="0"/>
                <w:iCs w:val="0"/>
                <w:color w:val="000000"/>
                <w:sz w:val="18"/>
                <w:szCs w:val="18"/>
                <w:u w:val="none"/>
                <w:lang w:val="en-US" w:eastAsia="zh-CN"/>
              </w:rPr>
              <w:t>专门成立退役军人事务工作机构，全面做好就业创业扶持、走访慰问、帮扶解困、信访接待、权益保障等工作，切实把广大退役军人工作和生活保障好，激励他们为改革发展和社会稳定作出积极贡献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产出指标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数量指标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帮扶退役军人数量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反映帮扶退役军人数量</w:t>
            </w:r>
          </w:p>
        </w:tc>
        <w:tc>
          <w:tcPr>
            <w:tcW w:w="1843" w:type="dxa"/>
            <w:shd w:val="clear" w:color="auto" w:fill="auto"/>
            <w:vAlign w:val="top"/>
          </w:tcPr>
          <w:p>
            <w:pPr>
              <w:widowControl/>
              <w:jc w:val="left"/>
              <w:textAlignment w:val="center"/>
              <w:rPr>
                <w:rFonts w:hint="default"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50人</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质量指标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慰问金发放完成准确率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反映慰问金发放完成准确率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时效指标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培训计划按期完成率</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反映培训计划按期完成率</w:t>
            </w:r>
          </w:p>
        </w:tc>
        <w:tc>
          <w:tcPr>
            <w:tcW w:w="1843" w:type="dxa"/>
            <w:shd w:val="clear" w:color="auto" w:fill="auto"/>
            <w:vAlign w:val="top"/>
          </w:tcPr>
          <w:p>
            <w:pPr>
              <w:widowControl/>
              <w:jc w:val="left"/>
              <w:textAlignment w:val="center"/>
              <w:rPr>
                <w:rFonts w:ascii="Times New Roman" w:hAnsi="Times New Roman" w:eastAsia="仿宋_GB2312" w:cs="Times New Roman"/>
              </w:rPr>
            </w:pPr>
            <w:r>
              <w:rPr>
                <w:rFonts w:hint="eastAsia" w:ascii="宋体" w:hAnsi="宋体" w:cs="宋体"/>
                <w:i w:val="0"/>
                <w:iCs w:val="0"/>
                <w:color w:val="000000"/>
                <w:kern w:val="2"/>
                <w:sz w:val="18"/>
                <w:szCs w:val="18"/>
                <w:u w:val="none"/>
                <w:lang w:val="en-US" w:eastAsia="zh-CN" w:bidi="ar-SA"/>
              </w:rPr>
              <w:t>=100%</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成本指标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项目经费预算控制量</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反映项目经费预算控制量</w:t>
            </w:r>
          </w:p>
        </w:tc>
        <w:tc>
          <w:tcPr>
            <w:tcW w:w="1843" w:type="dxa"/>
            <w:shd w:val="clear" w:color="auto" w:fill="auto"/>
            <w:vAlign w:val="top"/>
          </w:tcPr>
          <w:p>
            <w:pPr>
              <w:widowControl/>
              <w:jc w:val="left"/>
              <w:textAlignment w:val="center"/>
              <w:rPr>
                <w:rFonts w:hint="default" w:ascii="Times New Roman" w:hAnsi="Times New Roman" w:eastAsia="仿宋_GB2312" w:cs="Times New Roman"/>
                <w:lang w:val="en-US" w:eastAsia="zh-CN"/>
              </w:rPr>
            </w:pPr>
            <w:r>
              <w:rPr>
                <w:rFonts w:hint="default" w:ascii="宋体" w:hAnsi="宋体" w:eastAsia="宋体" w:cs="宋体"/>
                <w:i w:val="0"/>
                <w:iCs w:val="0"/>
                <w:color w:val="000000"/>
                <w:kern w:val="0"/>
                <w:sz w:val="18"/>
                <w:szCs w:val="18"/>
                <w:u w:val="none"/>
                <w:lang w:val="en-US" w:eastAsia="zh-CN"/>
              </w:rPr>
              <w:t>≤</w:t>
            </w:r>
            <w:r>
              <w:rPr>
                <w:rFonts w:hint="eastAsia" w:ascii="宋体" w:hAnsi="宋体" w:eastAsia="宋体" w:cs="宋体"/>
                <w:i w:val="0"/>
                <w:iCs w:val="0"/>
                <w:color w:val="000000"/>
                <w:kern w:val="0"/>
                <w:sz w:val="18"/>
                <w:szCs w:val="18"/>
                <w:u w:val="none"/>
                <w:lang w:val="en-US" w:eastAsia="zh-CN"/>
              </w:rPr>
              <w:t>3万元</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效果指标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自主创业退役军人的比例</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自主创业退役军人占总退役军人的比例</w:t>
            </w:r>
          </w:p>
        </w:tc>
        <w:tc>
          <w:tcPr>
            <w:tcW w:w="1843" w:type="dxa"/>
            <w:shd w:val="clear" w:color="auto" w:fill="auto"/>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b/>
              </w:rPr>
            </w:pPr>
          </w:p>
        </w:tc>
        <w:tc>
          <w:tcPr>
            <w:tcW w:w="2268" w:type="dxa"/>
            <w:shd w:val="clear" w:color="auto" w:fill="auto"/>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98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退役军人信访投诉情况</w:t>
            </w:r>
          </w:p>
        </w:tc>
        <w:tc>
          <w:tcPr>
            <w:tcW w:w="3402"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反映退役军人信访投诉情况</w:t>
            </w:r>
          </w:p>
        </w:tc>
        <w:tc>
          <w:tcPr>
            <w:tcW w:w="1843" w:type="dxa"/>
            <w:shd w:val="clear" w:color="auto" w:fill="auto"/>
            <w:vAlign w:val="center"/>
          </w:tcPr>
          <w:p>
            <w:pPr>
              <w:widowControl/>
              <w:jc w:val="left"/>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w:t>
            </w:r>
          </w:p>
        </w:tc>
        <w:tc>
          <w:tcPr>
            <w:tcW w:w="2155" w:type="dxa"/>
            <w:shd w:val="clear" w:color="auto" w:fill="auto"/>
            <w:vAlign w:val="top"/>
          </w:tcPr>
          <w:p>
            <w:pPr>
              <w:widowControl/>
              <w:jc w:val="left"/>
              <w:textAlignment w:val="center"/>
              <w:rPr>
                <w:rFonts w:hint="default"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满意度指标</w:t>
            </w:r>
          </w:p>
        </w:tc>
        <w:tc>
          <w:tcPr>
            <w:tcW w:w="2268" w:type="dxa"/>
            <w:shd w:val="clear" w:color="auto" w:fill="auto"/>
            <w:vAlign w:val="center"/>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满意度指标</w:t>
            </w:r>
          </w:p>
        </w:tc>
        <w:tc>
          <w:tcPr>
            <w:tcW w:w="198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退役军人满意度</w:t>
            </w:r>
          </w:p>
        </w:tc>
        <w:tc>
          <w:tcPr>
            <w:tcW w:w="3402"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反映退役军人的满意程度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rPr>
            </w:pPr>
            <w:r>
              <w:rPr>
                <w:rFonts w:hint="default" w:ascii="宋体" w:hAnsi="宋体" w:cs="宋体"/>
                <w:i w:val="0"/>
                <w:iCs w:val="0"/>
                <w:color w:val="000000"/>
                <w:sz w:val="18"/>
                <w:szCs w:val="18"/>
                <w:u w:val="none"/>
                <w:lang w:val="en-US" w:eastAsia="zh-CN"/>
              </w:rPr>
              <w:t>≥</w:t>
            </w:r>
            <w:r>
              <w:rPr>
                <w:rFonts w:hint="eastAsia" w:ascii="宋体" w:hAnsi="宋体" w:cs="宋体"/>
                <w:i w:val="0"/>
                <w:iCs w:val="0"/>
                <w:color w:val="000000"/>
                <w:sz w:val="18"/>
                <w:szCs w:val="18"/>
                <w:u w:val="none"/>
                <w:lang w:val="en-US" w:eastAsia="zh-CN"/>
              </w:rPr>
              <w:t>95%</w:t>
            </w:r>
          </w:p>
        </w:tc>
        <w:tc>
          <w:tcPr>
            <w:tcW w:w="2155" w:type="dxa"/>
            <w:shd w:val="clear" w:color="auto" w:fill="auto"/>
            <w:vAlign w:val="top"/>
          </w:tcPr>
          <w:p>
            <w:pPr>
              <w:widowControl/>
              <w:jc w:val="left"/>
              <w:textAlignment w:val="center"/>
              <w:rPr>
                <w:rFonts w:hint="eastAsia" w:ascii="宋体" w:hAnsi="宋体" w:cs="宋体" w:eastAsiaTheme="minorEastAsia"/>
                <w:i w:val="0"/>
                <w:iCs w:val="0"/>
                <w:color w:val="000000"/>
                <w:kern w:val="2"/>
                <w:sz w:val="18"/>
                <w:szCs w:val="18"/>
                <w:u w:val="none"/>
                <w:lang w:val="en-US" w:eastAsia="zh-CN" w:bidi="ar-SA"/>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大尚屯镇人民政府</w:t>
      </w:r>
      <w:r>
        <w:t xml:space="preserve">                                                                                                  单位：万元</w:t>
      </w:r>
    </w:p>
    <w:tbl>
      <w:tblPr>
        <w:tblStyle w:val="10"/>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8"/>
              <w:spacing w:line="584" w:lineRule="exact"/>
            </w:pPr>
            <w:r>
              <w:t>政府采购项目来源</w:t>
            </w:r>
          </w:p>
        </w:tc>
        <w:tc>
          <w:tcPr>
            <w:tcW w:w="1134" w:type="dxa"/>
            <w:vMerge w:val="restart"/>
            <w:vAlign w:val="center"/>
          </w:tcPr>
          <w:p>
            <w:pPr>
              <w:pStyle w:val="18"/>
              <w:spacing w:line="584" w:lineRule="exact"/>
            </w:pPr>
            <w:r>
              <w:t>采购物品名称</w:t>
            </w:r>
          </w:p>
        </w:tc>
        <w:tc>
          <w:tcPr>
            <w:tcW w:w="1134" w:type="dxa"/>
            <w:vMerge w:val="restart"/>
            <w:vAlign w:val="center"/>
          </w:tcPr>
          <w:p>
            <w:pPr>
              <w:pStyle w:val="18"/>
              <w:spacing w:line="584" w:lineRule="exact"/>
            </w:pPr>
            <w:r>
              <w:t>政府采购目录序号</w:t>
            </w:r>
          </w:p>
        </w:tc>
        <w:tc>
          <w:tcPr>
            <w:tcW w:w="709" w:type="dxa"/>
            <w:vMerge w:val="restart"/>
            <w:vAlign w:val="center"/>
          </w:tcPr>
          <w:p>
            <w:pPr>
              <w:pStyle w:val="18"/>
              <w:spacing w:line="584" w:lineRule="exact"/>
            </w:pPr>
            <w:r>
              <w:t>计量  单位</w:t>
            </w:r>
          </w:p>
        </w:tc>
        <w:tc>
          <w:tcPr>
            <w:tcW w:w="850" w:type="dxa"/>
            <w:vMerge w:val="restart"/>
            <w:vAlign w:val="center"/>
          </w:tcPr>
          <w:p>
            <w:pPr>
              <w:pStyle w:val="18"/>
              <w:spacing w:line="584" w:lineRule="exact"/>
            </w:pPr>
            <w:r>
              <w:t>数量</w:t>
            </w:r>
          </w:p>
        </w:tc>
        <w:tc>
          <w:tcPr>
            <w:tcW w:w="850" w:type="dxa"/>
            <w:vMerge w:val="restart"/>
            <w:vAlign w:val="center"/>
          </w:tcPr>
          <w:p>
            <w:pPr>
              <w:pStyle w:val="18"/>
              <w:spacing w:line="584" w:lineRule="exact"/>
            </w:pPr>
            <w:r>
              <w:t>单价</w:t>
            </w:r>
          </w:p>
        </w:tc>
        <w:tc>
          <w:tcPr>
            <w:tcW w:w="7712" w:type="dxa"/>
            <w:gridSpan w:val="8"/>
            <w:vAlign w:val="center"/>
          </w:tcPr>
          <w:p>
            <w:pPr>
              <w:pStyle w:val="18"/>
              <w:spacing w:line="584" w:lineRule="exact"/>
            </w:pPr>
            <w:r>
              <w:t>政府采购金额（当年部门预算安排资金）</w:t>
            </w:r>
          </w:p>
        </w:tc>
        <w:tc>
          <w:tcPr>
            <w:tcW w:w="964" w:type="dxa"/>
            <w:vMerge w:val="restart"/>
            <w:vAlign w:val="center"/>
          </w:tcPr>
          <w:p>
            <w:pPr>
              <w:pStyle w:val="18"/>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8"/>
              <w:spacing w:line="584" w:lineRule="exact"/>
            </w:pPr>
            <w:r>
              <w:t>项目名称</w:t>
            </w:r>
          </w:p>
        </w:tc>
        <w:tc>
          <w:tcPr>
            <w:tcW w:w="964" w:type="dxa"/>
            <w:vAlign w:val="center"/>
          </w:tcPr>
          <w:p>
            <w:pPr>
              <w:pStyle w:val="18"/>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8"/>
              <w:spacing w:line="584" w:lineRule="exact"/>
            </w:pPr>
            <w:r>
              <w:t>合计</w:t>
            </w:r>
          </w:p>
        </w:tc>
        <w:tc>
          <w:tcPr>
            <w:tcW w:w="964" w:type="dxa"/>
            <w:vAlign w:val="center"/>
          </w:tcPr>
          <w:p>
            <w:pPr>
              <w:pStyle w:val="18"/>
              <w:spacing w:line="584" w:lineRule="exact"/>
            </w:pPr>
            <w:r>
              <w:t>一般公共预算拨款</w:t>
            </w:r>
          </w:p>
        </w:tc>
        <w:tc>
          <w:tcPr>
            <w:tcW w:w="964" w:type="dxa"/>
            <w:vAlign w:val="center"/>
          </w:tcPr>
          <w:p>
            <w:pPr>
              <w:pStyle w:val="18"/>
              <w:spacing w:line="584" w:lineRule="exact"/>
            </w:pPr>
            <w:r>
              <w:t>基金预算拨款</w:t>
            </w:r>
          </w:p>
        </w:tc>
        <w:tc>
          <w:tcPr>
            <w:tcW w:w="964" w:type="dxa"/>
            <w:vAlign w:val="center"/>
          </w:tcPr>
          <w:p>
            <w:pPr>
              <w:pStyle w:val="18"/>
              <w:spacing w:line="584" w:lineRule="exact"/>
            </w:pPr>
            <w:r>
              <w:t>国有资本经营预算拨款</w:t>
            </w:r>
          </w:p>
        </w:tc>
        <w:tc>
          <w:tcPr>
            <w:tcW w:w="964" w:type="dxa"/>
            <w:vAlign w:val="center"/>
          </w:tcPr>
          <w:p>
            <w:pPr>
              <w:pStyle w:val="18"/>
              <w:spacing w:line="584" w:lineRule="exact"/>
            </w:pPr>
            <w:r>
              <w:t>财政专户核拨</w:t>
            </w:r>
          </w:p>
        </w:tc>
        <w:tc>
          <w:tcPr>
            <w:tcW w:w="964" w:type="dxa"/>
            <w:vAlign w:val="center"/>
          </w:tcPr>
          <w:p>
            <w:pPr>
              <w:pStyle w:val="18"/>
              <w:spacing w:line="584" w:lineRule="exact"/>
            </w:pPr>
            <w:r>
              <w:t>单位    资金</w:t>
            </w:r>
          </w:p>
        </w:tc>
        <w:tc>
          <w:tcPr>
            <w:tcW w:w="964" w:type="dxa"/>
            <w:vAlign w:val="center"/>
          </w:tcPr>
          <w:p>
            <w:pPr>
              <w:pStyle w:val="18"/>
              <w:spacing w:line="584" w:lineRule="exact"/>
            </w:pPr>
            <w:r>
              <w:t>财政拨    款结转</w:t>
            </w:r>
          </w:p>
        </w:tc>
        <w:tc>
          <w:tcPr>
            <w:tcW w:w="964" w:type="dxa"/>
            <w:vAlign w:val="center"/>
          </w:tcPr>
          <w:p>
            <w:pPr>
              <w:pStyle w:val="18"/>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2"/>
              <w:spacing w:line="584" w:lineRule="exact"/>
            </w:pPr>
            <w:r>
              <w:t>合  计</w:t>
            </w:r>
          </w:p>
        </w:tc>
        <w:tc>
          <w:tcPr>
            <w:tcW w:w="964" w:type="dxa"/>
            <w:vAlign w:val="center"/>
          </w:tcPr>
          <w:p>
            <w:pPr>
              <w:pStyle w:val="23"/>
              <w:spacing w:line="584" w:lineRule="exact"/>
            </w:pPr>
          </w:p>
        </w:tc>
        <w:tc>
          <w:tcPr>
            <w:tcW w:w="1134" w:type="dxa"/>
            <w:vAlign w:val="center"/>
          </w:tcPr>
          <w:p>
            <w:pPr>
              <w:pStyle w:val="24"/>
              <w:spacing w:line="584" w:lineRule="exact"/>
            </w:pPr>
          </w:p>
        </w:tc>
        <w:tc>
          <w:tcPr>
            <w:tcW w:w="1134" w:type="dxa"/>
            <w:vAlign w:val="center"/>
          </w:tcPr>
          <w:p>
            <w:pPr>
              <w:pStyle w:val="24"/>
              <w:spacing w:line="584" w:lineRule="exact"/>
            </w:pPr>
          </w:p>
        </w:tc>
        <w:tc>
          <w:tcPr>
            <w:tcW w:w="709" w:type="dxa"/>
            <w:vAlign w:val="center"/>
          </w:tcPr>
          <w:p>
            <w:pPr>
              <w:pStyle w:val="22"/>
              <w:spacing w:line="584" w:lineRule="exact"/>
            </w:pPr>
          </w:p>
        </w:tc>
        <w:tc>
          <w:tcPr>
            <w:tcW w:w="850" w:type="dxa"/>
            <w:vAlign w:val="center"/>
          </w:tcPr>
          <w:p>
            <w:pPr>
              <w:pStyle w:val="23"/>
              <w:spacing w:line="584" w:lineRule="exact"/>
            </w:pPr>
          </w:p>
        </w:tc>
        <w:tc>
          <w:tcPr>
            <w:tcW w:w="850"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2"/>
              <w:spacing w:line="584" w:lineRule="exact"/>
            </w:pPr>
          </w:p>
        </w:tc>
        <w:tc>
          <w:tcPr>
            <w:tcW w:w="964" w:type="dxa"/>
            <w:vAlign w:val="center"/>
          </w:tcPr>
          <w:p>
            <w:pPr>
              <w:pStyle w:val="23"/>
              <w:spacing w:line="584" w:lineRule="exact"/>
            </w:pPr>
          </w:p>
        </w:tc>
        <w:tc>
          <w:tcPr>
            <w:tcW w:w="1134" w:type="dxa"/>
            <w:vAlign w:val="center"/>
          </w:tcPr>
          <w:p>
            <w:pPr>
              <w:pStyle w:val="24"/>
              <w:spacing w:line="584" w:lineRule="exact"/>
            </w:pPr>
          </w:p>
        </w:tc>
        <w:tc>
          <w:tcPr>
            <w:tcW w:w="1134" w:type="dxa"/>
            <w:vAlign w:val="center"/>
          </w:tcPr>
          <w:p>
            <w:pPr>
              <w:pStyle w:val="24"/>
              <w:spacing w:line="584" w:lineRule="exact"/>
            </w:pPr>
          </w:p>
        </w:tc>
        <w:tc>
          <w:tcPr>
            <w:tcW w:w="709" w:type="dxa"/>
            <w:vAlign w:val="center"/>
          </w:tcPr>
          <w:p>
            <w:pPr>
              <w:pStyle w:val="22"/>
              <w:spacing w:line="584" w:lineRule="exact"/>
            </w:pPr>
          </w:p>
        </w:tc>
        <w:tc>
          <w:tcPr>
            <w:tcW w:w="850" w:type="dxa"/>
            <w:vAlign w:val="center"/>
          </w:tcPr>
          <w:p>
            <w:pPr>
              <w:pStyle w:val="23"/>
              <w:spacing w:line="584" w:lineRule="exact"/>
            </w:pPr>
          </w:p>
        </w:tc>
        <w:tc>
          <w:tcPr>
            <w:tcW w:w="850"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c>
          <w:tcPr>
            <w:tcW w:w="964" w:type="dxa"/>
            <w:vAlign w:val="center"/>
          </w:tcPr>
          <w:p>
            <w:pPr>
              <w:pStyle w:val="23"/>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19"/>
              <w:spacing w:line="584" w:lineRule="exact"/>
            </w:pPr>
          </w:p>
        </w:tc>
        <w:tc>
          <w:tcPr>
            <w:tcW w:w="1134" w:type="dxa"/>
            <w:vAlign w:val="center"/>
          </w:tcPr>
          <w:p>
            <w:pPr>
              <w:pStyle w:val="20"/>
              <w:spacing w:line="584" w:lineRule="exact"/>
            </w:pPr>
          </w:p>
        </w:tc>
        <w:tc>
          <w:tcPr>
            <w:tcW w:w="1134" w:type="dxa"/>
            <w:vAlign w:val="center"/>
          </w:tcPr>
          <w:p>
            <w:pPr>
              <w:pStyle w:val="20"/>
              <w:spacing w:line="584" w:lineRule="exact"/>
            </w:pPr>
          </w:p>
        </w:tc>
        <w:tc>
          <w:tcPr>
            <w:tcW w:w="709" w:type="dxa"/>
            <w:vAlign w:val="center"/>
          </w:tcPr>
          <w:p>
            <w:pPr>
              <w:pStyle w:val="21"/>
              <w:spacing w:line="584" w:lineRule="exact"/>
            </w:pPr>
          </w:p>
        </w:tc>
        <w:tc>
          <w:tcPr>
            <w:tcW w:w="850" w:type="dxa"/>
            <w:vAlign w:val="center"/>
          </w:tcPr>
          <w:p>
            <w:pPr>
              <w:pStyle w:val="19"/>
              <w:spacing w:line="584" w:lineRule="exact"/>
            </w:pPr>
          </w:p>
        </w:tc>
        <w:tc>
          <w:tcPr>
            <w:tcW w:w="850"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c>
          <w:tcPr>
            <w:tcW w:w="964" w:type="dxa"/>
            <w:vAlign w:val="center"/>
          </w:tcPr>
          <w:p>
            <w:pPr>
              <w:pStyle w:val="19"/>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大尚屯镇人民政府</w:t>
      </w:r>
      <w:r>
        <w:rPr>
          <w:rFonts w:ascii="Times New Roman" w:hAnsi="Times New Roman" w:eastAsia="仿宋_GB2312" w:cs="Times New Roman"/>
          <w:sz w:val="32"/>
          <w:szCs w:val="32"/>
        </w:rPr>
        <w:t>上年末固定资产金额</w:t>
      </w:r>
      <w:r>
        <w:rPr>
          <w:rFonts w:hint="eastAsia" w:ascii="Times New Roman" w:hAnsi="Times New Roman" w:eastAsia="仿宋_GB2312" w:cs="Times New Roman"/>
          <w:sz w:val="32"/>
          <w:szCs w:val="32"/>
          <w:lang w:val="en-US" w:eastAsia="zh-CN"/>
        </w:rPr>
        <w:t>894.49</w:t>
      </w:r>
      <w:r>
        <w:rPr>
          <w:rFonts w:ascii="Times New Roman" w:hAnsi="Times New Roman" w:eastAsia="仿宋_GB2312" w:cs="Times New Roman"/>
          <w:sz w:val="32"/>
          <w:szCs w:val="32"/>
        </w:rPr>
        <w:t>为万元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bookmarkStart w:id="2" w:name="_GoBack"/>
      <w:bookmarkEnd w:id="2"/>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大城县大尚屯镇人民政府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3</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894.49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12286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305.10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9420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266.75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538.83</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2000000000000000000"/>
    <w:charset w:val="86"/>
    <w:family w:val="roman"/>
    <w:pitch w:val="default"/>
    <w:sig w:usb0="00000000" w:usb1="00000000"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ÂËÎ">
    <w:altName w:val="Segoe Print"/>
    <w:panose1 w:val="00000000000000000000"/>
    <w:charset w:val="00"/>
    <w:family w:val="auto"/>
    <w:pitch w:val="default"/>
    <w:sig w:usb0="00000000" w:usb1="00000000" w:usb2="00000000" w:usb3="00000000" w:csb0="0000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NzgxOGZmN2EwNDQzNDExYzRjZGIyOTdkMTdhYzE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7B3588F"/>
    <w:rsid w:val="13E306DA"/>
    <w:rsid w:val="1BD22B4C"/>
    <w:rsid w:val="1C502F39"/>
    <w:rsid w:val="21951F22"/>
    <w:rsid w:val="371D6986"/>
    <w:rsid w:val="38201805"/>
    <w:rsid w:val="3E576259"/>
    <w:rsid w:val="3E8B454E"/>
    <w:rsid w:val="3F655022"/>
    <w:rsid w:val="445323EB"/>
    <w:rsid w:val="57E040E2"/>
    <w:rsid w:val="58A142E1"/>
    <w:rsid w:val="5E3E0DA2"/>
    <w:rsid w:val="5F0B3CB4"/>
    <w:rsid w:val="5FB12DBB"/>
    <w:rsid w:val="5FC04A63"/>
    <w:rsid w:val="66981A78"/>
    <w:rsid w:val="687D1153"/>
    <w:rsid w:val="68FA37F4"/>
    <w:rsid w:val="69860A6D"/>
    <w:rsid w:val="6B1D22BB"/>
    <w:rsid w:val="6D844A6F"/>
    <w:rsid w:val="6DAA49A5"/>
    <w:rsid w:val="71E7368C"/>
    <w:rsid w:val="7434612B"/>
    <w:rsid w:val="7E4F6457"/>
    <w:rsid w:val="DFFB1F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qFormat/>
    <w:uiPriority w:val="0"/>
    <w:pPr>
      <w:ind w:firstLine="420" w:firstLineChars="200"/>
    </w:pPr>
  </w:style>
  <w:style w:type="paragraph" w:styleId="4">
    <w:name w:val="Balloon Text"/>
    <w:basedOn w:val="1"/>
    <w:link w:val="15"/>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toc 1"/>
    <w:basedOn w:val="1"/>
    <w:next w:val="1"/>
    <w:qFormat/>
    <w:uiPriority w:val="39"/>
    <w:rPr>
      <w:rFonts w:ascii="Times New Roman" w:hAnsi="Times New Roman" w:eastAsia="宋体" w:cs="Times New Roman"/>
      <w:szCs w:val="24"/>
    </w:rPr>
  </w:style>
  <w:style w:type="paragraph" w:styleId="8">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9">
    <w:name w:val="toc 2"/>
    <w:basedOn w:val="1"/>
    <w:next w:val="1"/>
    <w:qFormat/>
    <w:uiPriority w:val="39"/>
    <w:pPr>
      <w:ind w:left="420" w:leftChars="200"/>
    </w:pPr>
    <w:rPr>
      <w:rFonts w:ascii="Times New Roman" w:hAnsi="Times New Roman" w:eastAsia="宋体" w:cs="Times New Roman"/>
      <w:szCs w:val="24"/>
    </w:rPr>
  </w:style>
  <w:style w:type="character" w:styleId="12">
    <w:name w:val="footnote reference"/>
    <w:semiHidden/>
    <w:unhideWhenUsed/>
    <w:qFormat/>
    <w:uiPriority w:val="99"/>
    <w:rPr>
      <w:vertAlign w:val="superscript"/>
    </w:rPr>
  </w:style>
  <w:style w:type="character" w:customStyle="1" w:styleId="13">
    <w:name w:val="页眉 Char"/>
    <w:basedOn w:val="11"/>
    <w:link w:val="6"/>
    <w:qFormat/>
    <w:uiPriority w:val="99"/>
    <w:rPr>
      <w:rFonts w:ascii="Times New Roman" w:hAnsi="Times New Roman" w:eastAsia="宋体" w:cs="Times New Roman"/>
      <w:sz w:val="18"/>
      <w:szCs w:val="18"/>
    </w:rPr>
  </w:style>
  <w:style w:type="character" w:customStyle="1" w:styleId="14">
    <w:name w:val="页脚 Char"/>
    <w:basedOn w:val="11"/>
    <w:link w:val="5"/>
    <w:qFormat/>
    <w:uiPriority w:val="99"/>
    <w:rPr>
      <w:rFonts w:ascii="Times New Roman" w:hAnsi="Times New Roman" w:eastAsia="宋体" w:cs="Times New Roman"/>
      <w:sz w:val="18"/>
      <w:szCs w:val="18"/>
    </w:rPr>
  </w:style>
  <w:style w:type="character" w:customStyle="1" w:styleId="15">
    <w:name w:val="批注框文本 Char"/>
    <w:basedOn w:val="11"/>
    <w:link w:val="4"/>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11"/>
    <w:link w:val="8"/>
    <w:semiHidden/>
    <w:qFormat/>
    <w:uiPriority w:val="99"/>
    <w:rPr>
      <w:rFonts w:ascii="Calibri" w:hAnsi="Calibri" w:eastAsia="宋体" w:cs="Times New Roman"/>
      <w:sz w:val="18"/>
      <w:szCs w:val="18"/>
    </w:rPr>
  </w:style>
  <w:style w:type="paragraph" w:customStyle="1" w:styleId="18">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0">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1">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2">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4">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9345</Words>
  <Characters>9673</Characters>
  <Lines>35</Lines>
  <Paragraphs>10</Paragraphs>
  <TotalTime>0</TotalTime>
  <ScaleCrop>false</ScaleCrop>
  <LinksUpToDate>false</LinksUpToDate>
  <CharactersWithSpaces>9821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忽忽</cp:lastModifiedBy>
  <cp:lastPrinted>2023-01-29T09:01:00Z</cp:lastPrinted>
  <dcterms:modified xsi:type="dcterms:W3CDTF">2024-01-16T01:41:05Z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B0D095E88D4C4609B8BC143FC4A791A1</vt:lpwstr>
  </property>
</Properties>
</file>