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rPr>
        <w:t>大城县行政审批局</w:t>
      </w:r>
    </w:p>
    <w:p>
      <w:pPr>
        <w:tabs>
          <w:tab w:val="left" w:pos="2728"/>
        </w:tabs>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第二部分   201</w:t>
      </w:r>
      <w:r>
        <w:rPr>
          <w:rFonts w:hint="eastAsia" w:asciiTheme="minorEastAsia" w:hAnsiTheme="minorEastAsia" w:eastAsiaTheme="minorEastAsia"/>
          <w:sz w:val="32"/>
          <w:szCs w:val="32"/>
        </w:rPr>
        <w:t>9</w:t>
      </w:r>
      <w:r>
        <w:rPr>
          <w:rFonts w:asciiTheme="minorEastAsia" w:hAnsiTheme="minorEastAsia" w:eastAsiaTheme="minorEastAsia"/>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第三部分</w:t>
      </w:r>
      <w:r>
        <w:rPr>
          <w:rFonts w:hint="eastAsia" w:eastAsia="黑体"/>
          <w:sz w:val="32"/>
          <w:szCs w:val="32"/>
        </w:rPr>
        <w:t xml:space="preserve">  </w:t>
      </w:r>
      <w:r>
        <w:rPr>
          <w:rFonts w:eastAsia="黑体"/>
          <w:sz w:val="32"/>
          <w:szCs w:val="32"/>
        </w:rPr>
        <w:t>名词解释</w:t>
      </w:r>
    </w:p>
    <w:p>
      <w:pPr>
        <w:widowControl/>
        <w:spacing w:line="580" w:lineRule="exact"/>
        <w:ind w:firstLine="640" w:firstLineChars="200"/>
        <w:rPr>
          <w:rFonts w:asciiTheme="minorEastAsia" w:hAnsiTheme="minorEastAsia" w:eastAsiaTheme="minorEastAsia"/>
          <w:sz w:val="20"/>
          <w:szCs w:val="32"/>
        </w:rPr>
      </w:pPr>
      <w:r>
        <w:rPr>
          <w:rFonts w:asciiTheme="minorEastAsia" w:hAnsiTheme="minorEastAsia" w:eastAsiaTheme="minorEastAsia"/>
          <w:sz w:val="32"/>
          <w:szCs w:val="32"/>
        </w:rPr>
        <w:t>第</w:t>
      </w:r>
      <w:r>
        <w:rPr>
          <w:rFonts w:hint="eastAsia" w:asciiTheme="minorEastAsia" w:hAnsiTheme="minorEastAsia" w:eastAsiaTheme="minorEastAsia"/>
          <w:sz w:val="32"/>
          <w:szCs w:val="32"/>
        </w:rPr>
        <w:t>四</w:t>
      </w:r>
      <w:r>
        <w:rPr>
          <w:rFonts w:asciiTheme="minorEastAsia" w:hAnsiTheme="minorEastAsia" w:eastAsiaTheme="minorEastAsia"/>
          <w:sz w:val="32"/>
          <w:szCs w:val="32"/>
        </w:rPr>
        <w:t>部分</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w:t>
      </w:r>
      <w:r>
        <w:rPr>
          <w:rFonts w:asciiTheme="minorEastAsia" w:hAnsiTheme="minorEastAsia" w:eastAsiaTheme="minorEastAsia"/>
          <w:sz w:val="32"/>
          <w:szCs w:val="32"/>
        </w:rPr>
        <w:t>年度部门决算报表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
    <w:p/>
    <w:p/>
    <w:p/>
    <w:p/>
    <w:p>
      <w:pPr>
        <w:widowControl/>
        <w:jc w:val="center"/>
        <w:rPr>
          <w:rFonts w:asciiTheme="majorEastAsia" w:hAnsiTheme="majorEastAsia" w:eastAsiaTheme="majorEastAsia"/>
          <w:color w:val="000000" w:themeColor="text1"/>
          <w:sz w:val="84"/>
          <w:szCs w:val="84"/>
        </w:rPr>
      </w:pPr>
      <w:r>
        <w:rPr>
          <w:rFonts w:hint="eastAsia" w:asciiTheme="majorEastAsia" w:hAnsiTheme="majorEastAsia" w:eastAsiaTheme="majorEastAsia"/>
          <w:color w:val="000000" w:themeColor="text1"/>
          <w:sz w:val="84"/>
          <w:szCs w:val="84"/>
        </w:rPr>
        <w:t>第一部分 部门概况</w:t>
      </w:r>
    </w:p>
    <w:p/>
    <w:p/>
    <w:p/>
    <w:p/>
    <w:p/>
    <w:p/>
    <w:p/>
    <w:p/>
    <w:p>
      <w:pPr>
        <w:pStyle w:val="2"/>
        <w:spacing w:before="0" w:after="0" w:line="600" w:lineRule="exact"/>
        <w:ind w:firstLine="800" w:firstLineChars="25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（一）贯彻执行党中央</w:t>
      </w:r>
      <w:r>
        <w:rPr>
          <w:rFonts w:hint="eastAsia" w:ascii="仿宋_GB2312" w:hAnsi="仿宋" w:eastAsia="仿宋_GB2312"/>
          <w:sz w:val="32"/>
          <w:szCs w:val="32"/>
          <w:lang w:eastAsia="zh-CN"/>
        </w:rPr>
        <w:t>、</w:t>
      </w:r>
      <w:r>
        <w:rPr>
          <w:rFonts w:hint="eastAsia" w:ascii="仿宋_GB2312" w:hAnsi="仿宋" w:eastAsia="仿宋_GB2312"/>
          <w:sz w:val="32"/>
          <w:szCs w:val="32"/>
        </w:rPr>
        <w:t>国务院、省委省政府、市委市政府和县委县政府“放管服”改革、行政审批制度改革、政务服务管理、公共资源交易市场管理有关方针政策和法律法规。拟定有关政策，协调指导并监督实施。</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（二）组织协调全县“放管服”改革工作。指导、督促贯彻落实</w:t>
      </w:r>
      <w:bookmarkStart w:id="1" w:name="_GoBack"/>
      <w:bookmarkEnd w:id="1"/>
      <w:r>
        <w:rPr>
          <w:rFonts w:hint="eastAsia" w:ascii="仿宋_GB2312" w:hAnsi="仿宋" w:eastAsia="仿宋_GB2312"/>
          <w:sz w:val="32"/>
          <w:szCs w:val="32"/>
          <w:lang w:eastAsia="zh-CN"/>
        </w:rPr>
        <w:t>党中央、国务院</w:t>
      </w:r>
      <w:r>
        <w:rPr>
          <w:rFonts w:hint="eastAsia" w:ascii="仿宋_GB2312" w:hAnsi="仿宋" w:eastAsia="仿宋_GB2312"/>
          <w:sz w:val="32"/>
          <w:szCs w:val="32"/>
        </w:rPr>
        <w:t>、省委省政府、市委市政府和县委县政府“放管服”改革重要领域、关键环节重大政策措施，承担县推进政府职能转变和“放管服”改革的日常工作。</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负责办理划转至县行政审批局的行政审批事项，并对审批行为承担相应的法律责任；负责对划入的行政审批事项进行流程再造和环节优化，负责与监管部门的联系沟通，建立健全审批与监管的有效衔接机制。</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五）指导协调全县政务服务管理工作，负责优化政务服务供给，降低制度性交易成本，提升政务服务效能；负责推进行政审批服务便民化；指导协调县有关部门为公民、法人或其他组织提供规范、高效、优质的政务服务。</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六）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七）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级公共资源交易活动的联动执法工作。</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八）统筹推进全县“互联网+政务服务”工作，构建全县一体化政务服务平台。推进政务服务事项网上办理，形成管理机构、实体大厅、网上平台“三体一位”的管理模式，推进全县电子证照库建设，推进全县政务服务平台规范化、标准化、集约化建设和互联互通、数据共享。</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九）建立健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（十）负责监督和指导镇（区）便民服务中心管理，不断优化镇（区）便民服务中心建设，建立完善县镇（区）政务服务联动工作机制。</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（十一）完成县委、县政府交办的其他任务。</w:t>
      </w:r>
    </w:p>
    <w:p>
      <w:pPr>
        <w:spacing w:line="560" w:lineRule="exact"/>
        <w:ind w:firstLine="640" w:firstLineChars="200"/>
        <w:jc w:val="left"/>
        <w:rPr>
          <w:rFonts w:ascii="黑体" w:eastAsia="黑体" w:cs="黑体" w:hAnsiTheme="minorHAnsi"/>
          <w:kern w:val="0"/>
          <w:sz w:val="32"/>
          <w:szCs w:val="32"/>
        </w:rPr>
      </w:pPr>
      <w:r>
        <w:rPr>
          <w:rFonts w:hint="eastAsia" w:ascii="黑体" w:eastAsia="黑体" w:cs="黑体" w:hAnsiTheme="minorHAnsi"/>
          <w:kern w:val="0"/>
          <w:sz w:val="32"/>
          <w:szCs w:val="32"/>
        </w:rPr>
        <w:t>二、机构设置</w:t>
      </w:r>
    </w:p>
    <w:p>
      <w:pPr>
        <w:spacing w:line="560" w:lineRule="exact"/>
        <w:ind w:firstLine="640" w:firstLineChars="200"/>
        <w:jc w:val="left"/>
        <w:rPr>
          <w:rFonts w:ascii="黑体" w:eastAsia="黑体" w:cs="黑体" w:hAnsiTheme="minorHAnsi"/>
          <w:kern w:val="0"/>
          <w:sz w:val="32"/>
          <w:szCs w:val="32"/>
        </w:rPr>
      </w:pPr>
      <w:r>
        <w:rPr>
          <w:rFonts w:hint="eastAsia" w:ascii="仿宋_GB2312" w:eastAsia="仿宋_GB2312" w:cs="ArialUnicodeMS" w:hAnsiTheme="minorHAnsi"/>
          <w:kern w:val="0"/>
          <w:sz w:val="32"/>
          <w:szCs w:val="32"/>
        </w:rPr>
        <w:t>从决算编报单位构成看，纳入2019 年度本部门决算汇编</w:t>
      </w:r>
    </w:p>
    <w:p>
      <w:pPr>
        <w:spacing w:line="560" w:lineRule="exact"/>
        <w:jc w:val="center"/>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围的独立核算单位（以下简称“单位”）共1个，具体情况如下：</w:t>
      </w:r>
    </w:p>
    <w:tbl>
      <w:tblPr>
        <w:tblStyle w:val="13"/>
        <w:tblpPr w:leftFromText="180" w:rightFromText="180" w:vertAnchor="text" w:horzAnchor="margin" w:tblpY="85"/>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76"/>
        <w:gridCol w:w="2554"/>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376"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554"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407"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hAnsiTheme="minorHAnsi"/>
                <w:b/>
                <w:kern w:val="0"/>
                <w:sz w:val="28"/>
                <w:szCs w:val="28"/>
              </w:rPr>
            </w:pPr>
            <w:r>
              <w:rPr>
                <w:rFonts w:hint="eastAsia" w:ascii="仿宋_GB2312" w:eastAsia="仿宋_GB2312" w:cs="ArialUnicodeMS" w:hAnsiTheme="minorHAnsi"/>
                <w:b/>
                <w:kern w:val="0"/>
                <w:sz w:val="28"/>
                <w:szCs w:val="28"/>
              </w:rPr>
              <w:t>1</w:t>
            </w:r>
          </w:p>
        </w:tc>
        <w:tc>
          <w:tcPr>
            <w:tcW w:w="3376" w:type="dxa"/>
          </w:tcPr>
          <w:p>
            <w:pPr>
              <w:spacing w:after="0" w:line="560" w:lineRule="exact"/>
              <w:rPr>
                <w:rFonts w:ascii="仿宋_GB2312" w:eastAsia="仿宋_GB2312" w:cs="ArialUnicodeMS" w:hAnsiTheme="minorHAnsi"/>
                <w:b/>
                <w:kern w:val="0"/>
                <w:sz w:val="28"/>
                <w:szCs w:val="28"/>
              </w:rPr>
            </w:pPr>
            <w:r>
              <w:rPr>
                <w:rFonts w:hint="eastAsia" w:ascii="仿宋_GB2312" w:eastAsia="仿宋_GB2312" w:cs="ArialUnicodeMS" w:hAnsiTheme="minorHAnsi"/>
                <w:b/>
                <w:kern w:val="0"/>
                <w:sz w:val="28"/>
                <w:szCs w:val="28"/>
              </w:rPr>
              <w:t>大城县行政审批局(本级)</w:t>
            </w:r>
          </w:p>
        </w:tc>
        <w:tc>
          <w:tcPr>
            <w:tcW w:w="2554" w:type="dxa"/>
          </w:tcPr>
          <w:p>
            <w:pPr>
              <w:spacing w:after="0" w:line="560" w:lineRule="exact"/>
              <w:jc w:val="center"/>
              <w:rPr>
                <w:rFonts w:ascii="仿宋_GB2312" w:eastAsia="仿宋_GB2312" w:cs="ArialUnicodeMS" w:hAnsiTheme="minorHAnsi"/>
                <w:b/>
                <w:kern w:val="0"/>
                <w:sz w:val="28"/>
                <w:szCs w:val="28"/>
              </w:rPr>
            </w:pPr>
            <w:r>
              <w:rPr>
                <w:rFonts w:hint="eastAsia" w:ascii="仿宋_GB2312" w:eastAsia="仿宋_GB2312" w:cs="ArialUnicodeMS" w:hAnsiTheme="minorHAnsi"/>
                <w:b/>
                <w:kern w:val="0"/>
                <w:sz w:val="28"/>
                <w:szCs w:val="28"/>
              </w:rPr>
              <w:t>行政单位</w:t>
            </w:r>
          </w:p>
        </w:tc>
        <w:tc>
          <w:tcPr>
            <w:tcW w:w="2407" w:type="dxa"/>
          </w:tcPr>
          <w:p>
            <w:pPr>
              <w:spacing w:after="0" w:line="560" w:lineRule="exact"/>
              <w:jc w:val="center"/>
              <w:rPr>
                <w:rFonts w:ascii="仿宋_GB2312" w:eastAsia="仿宋_GB2312" w:cs="ArialUnicodeMS" w:hAnsiTheme="minorHAnsi"/>
                <w:b/>
                <w:kern w:val="0"/>
                <w:sz w:val="28"/>
                <w:szCs w:val="28"/>
              </w:rPr>
            </w:pPr>
            <w:r>
              <w:rPr>
                <w:rFonts w:hint="eastAsia" w:ascii="仿宋_GB2312" w:eastAsia="仿宋_GB2312" w:cs="ArialUnicodeMS" w:hAnsiTheme="minorHAnsi"/>
                <w:b/>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hAnsiTheme="minorHAnsi"/>
                <w:kern w:val="0"/>
                <w:sz w:val="28"/>
                <w:szCs w:val="28"/>
              </w:rPr>
            </w:pPr>
          </w:p>
        </w:tc>
        <w:tc>
          <w:tcPr>
            <w:tcW w:w="3376" w:type="dxa"/>
          </w:tcPr>
          <w:p>
            <w:pPr>
              <w:spacing w:after="0" w:line="560" w:lineRule="exact"/>
              <w:rPr>
                <w:rFonts w:ascii="仿宋_GB2312" w:eastAsia="仿宋_GB2312" w:cs="ArialUnicodeMS" w:hAnsiTheme="minorHAnsi"/>
                <w:kern w:val="0"/>
                <w:sz w:val="28"/>
                <w:szCs w:val="28"/>
              </w:rPr>
            </w:pPr>
          </w:p>
        </w:tc>
        <w:tc>
          <w:tcPr>
            <w:tcW w:w="2554" w:type="dxa"/>
          </w:tcPr>
          <w:p>
            <w:pPr>
              <w:spacing w:after="0" w:line="560" w:lineRule="exact"/>
              <w:jc w:val="center"/>
              <w:rPr>
                <w:rFonts w:ascii="仿宋_GB2312" w:eastAsia="仿宋_GB2312" w:cs="ArialUnicodeMS" w:hAnsiTheme="minorHAnsi"/>
                <w:kern w:val="0"/>
                <w:sz w:val="28"/>
                <w:szCs w:val="28"/>
              </w:rPr>
            </w:pPr>
          </w:p>
        </w:tc>
        <w:tc>
          <w:tcPr>
            <w:tcW w:w="2407"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hAnsiTheme="minorHAnsi"/>
                <w:kern w:val="0"/>
                <w:sz w:val="28"/>
                <w:szCs w:val="28"/>
              </w:rPr>
            </w:pPr>
          </w:p>
        </w:tc>
        <w:tc>
          <w:tcPr>
            <w:tcW w:w="3376" w:type="dxa"/>
          </w:tcPr>
          <w:p>
            <w:pPr>
              <w:spacing w:after="0" w:line="560" w:lineRule="exact"/>
              <w:rPr>
                <w:rFonts w:ascii="仿宋_GB2312" w:eastAsia="仿宋_GB2312" w:cs="ArialUnicodeMS" w:hAnsiTheme="minorHAnsi"/>
                <w:kern w:val="0"/>
                <w:sz w:val="28"/>
                <w:szCs w:val="28"/>
              </w:rPr>
            </w:pPr>
          </w:p>
        </w:tc>
        <w:tc>
          <w:tcPr>
            <w:tcW w:w="2554" w:type="dxa"/>
          </w:tcPr>
          <w:p>
            <w:pPr>
              <w:spacing w:after="0" w:line="560" w:lineRule="exact"/>
              <w:jc w:val="center"/>
              <w:rPr>
                <w:rFonts w:ascii="仿宋_GB2312" w:eastAsia="仿宋_GB2312" w:cs="ArialUnicodeMS" w:hAnsiTheme="minorHAnsi"/>
                <w:kern w:val="0"/>
                <w:sz w:val="28"/>
                <w:szCs w:val="28"/>
              </w:rPr>
            </w:pPr>
          </w:p>
        </w:tc>
        <w:tc>
          <w:tcPr>
            <w:tcW w:w="2407"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376"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554"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407"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rPr>
          <w:rFonts w:hAnsi="宋体" w:asciiTheme="minorEastAsia" w:eastAsiaTheme="minorEastAsia"/>
          <w:color w:val="000000" w:themeColor="text1"/>
          <w:sz w:val="44"/>
          <w:szCs w:val="44"/>
        </w:rPr>
      </w:pPr>
    </w:p>
    <w:p>
      <w:pPr>
        <w:widowControl/>
        <w:spacing w:line="1200" w:lineRule="exact"/>
        <w:jc w:val="center"/>
        <w:rPr>
          <w:rFonts w:ascii="宋体" w:hAnsi="宋体"/>
          <w:color w:val="000000" w:themeColor="text1"/>
          <w:sz w:val="72"/>
          <w:szCs w:val="72"/>
        </w:rPr>
      </w:pPr>
      <w:r>
        <w:rPr>
          <w:rFonts w:hint="eastAsia" w:ascii="宋体" w:hAnsi="宋体"/>
          <w:color w:val="000000" w:themeColor="text1"/>
          <w:sz w:val="72"/>
          <w:szCs w:val="72"/>
        </w:rPr>
        <w:t>第二部分</w:t>
      </w:r>
    </w:p>
    <w:p>
      <w:pPr>
        <w:widowControl/>
        <w:spacing w:line="1200" w:lineRule="exact"/>
        <w:jc w:val="center"/>
        <w:rPr>
          <w:rFonts w:ascii="宋体" w:hAnsi="宋体"/>
          <w:color w:val="000000" w:themeColor="text1"/>
          <w:sz w:val="72"/>
          <w:szCs w:val="72"/>
        </w:rPr>
      </w:pPr>
      <w:r>
        <w:rPr>
          <w:rFonts w:hint="eastAsia" w:ascii="宋体" w:hAnsi="宋体"/>
          <w:color w:val="000000" w:themeColor="text1"/>
          <w:sz w:val="72"/>
          <w:szCs w:val="72"/>
        </w:rPr>
        <w:t>2019年部门决算情况说明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本部门2019年度收入831.41万元，支出829.21万元，年初结转23.22万元，年末结转25.43万元。与2018年度决算相比，收入增加122.37万元，增长17%，</w:t>
      </w:r>
      <w:r>
        <w:rPr>
          <w:rFonts w:hint="eastAsia" w:ascii="仿宋_GB2312" w:eastAsia="仿宋_GB2312" w:cs="DengXian-Regular"/>
          <w:sz w:val="32"/>
          <w:szCs w:val="32"/>
          <w:lang w:eastAsia="zh-CN"/>
        </w:rPr>
        <w:t>主要原因是</w:t>
      </w:r>
      <w:r>
        <w:rPr>
          <w:rFonts w:hint="eastAsia" w:ascii="仿宋_GB2312" w:eastAsia="仿宋_GB2312" w:cs="DengXian-Regular"/>
          <w:sz w:val="32"/>
          <w:szCs w:val="32"/>
          <w:lang w:val="en-US" w:eastAsia="zh-CN"/>
        </w:rPr>
        <w:t>2019年人员增加，经费增加，项目增加，资金增加；</w:t>
      </w:r>
      <w:r>
        <w:rPr>
          <w:rFonts w:hint="eastAsia" w:ascii="仿宋_GB2312" w:eastAsia="仿宋_GB2312" w:cs="DengXian-Regular"/>
          <w:sz w:val="32"/>
          <w:szCs w:val="32"/>
        </w:rPr>
        <w:t>支出增加197.07万元，增长31%</w:t>
      </w:r>
      <w:r>
        <w:rPr>
          <w:rFonts w:hint="eastAsia" w:ascii="仿宋_GB2312" w:eastAsia="仿宋_GB2312" w:cs="DengXian-Regular"/>
          <w:sz w:val="32"/>
          <w:szCs w:val="32"/>
          <w:lang w:eastAsia="zh-CN"/>
        </w:rPr>
        <w:t>，主要原因是</w:t>
      </w:r>
      <w:r>
        <w:rPr>
          <w:rFonts w:hint="eastAsia" w:ascii="仿宋_GB2312" w:eastAsia="仿宋_GB2312" w:cs="DengXian-Regular"/>
          <w:sz w:val="32"/>
          <w:szCs w:val="32"/>
        </w:rPr>
        <w:t>2019年由于增加人员造成经费支出变动，增加项目造成项目支出数额变动。</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本部门2019年度本年收入合计831.41万元，其中：财政拨款收入831.41万元，占100%。如图所示：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jc w:val="center"/>
        <w:rPr>
          <w:rFonts w:eastAsia="仿宋_GB2312"/>
          <w:sz w:val="32"/>
          <w:szCs w:val="32"/>
        </w:rPr>
      </w:pPr>
    </w:p>
    <w:p>
      <w:pPr>
        <w:jc w:val="center"/>
        <w:rPr>
          <w:rFonts w:ascii="黑体" w:eastAsia="黑体" w:hAnsiTheme="majorHAnsi" w:cstheme="majorBidi"/>
          <w:sz w:val="32"/>
          <w:szCs w:val="32"/>
        </w:rPr>
      </w:pPr>
      <w:r>
        <w:rPr>
          <w:rFonts w:ascii="黑体" w:eastAsia="黑体" w:hAnsiTheme="majorHAnsi" w:cstheme="majorBidi"/>
          <w:sz w:val="32"/>
          <w:szCs w:val="32"/>
        </w:rPr>
        <w:drawing>
          <wp:inline distT="0" distB="0" distL="0" distR="0">
            <wp:extent cx="4806950" cy="2637155"/>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6" cstate="print"/>
                    <a:stretch>
                      <a:fillRect/>
                    </a:stretch>
                  </pic:blipFill>
                  <pic:spPr>
                    <a:xfrm>
                      <a:off x="0" y="0"/>
                      <a:ext cx="4807541" cy="2637600"/>
                    </a:xfrm>
                    <a:prstGeom prst="rect">
                      <a:avLst/>
                    </a:prstGeom>
                    <a:noFill/>
                  </pic:spPr>
                </pic:pic>
              </a:graphicData>
            </a:graphic>
          </wp:inline>
        </w:drawing>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本部门2019年度本年支出合计829.21万元，其中：基本支出442.72万元，占53.4%；项目支出386.49万元，占46.6%。如图所示：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240" w:lineRule="auto"/>
        <w:jc w:val="center"/>
        <w:rPr>
          <w:rFonts w:eastAsia="仿宋_GB2312"/>
          <w:sz w:val="32"/>
          <w:szCs w:val="32"/>
        </w:rPr>
      </w:pPr>
    </w:p>
    <w:p>
      <w:pPr>
        <w:adjustRightInd w:val="0"/>
        <w:snapToGrid w:val="0"/>
        <w:spacing w:after="0" w:line="240" w:lineRule="auto"/>
        <w:jc w:val="center"/>
        <w:rPr>
          <w:rFonts w:eastAsia="仿宋_GB2312"/>
          <w:sz w:val="32"/>
          <w:szCs w:val="32"/>
        </w:rPr>
      </w:pPr>
    </w:p>
    <w:p>
      <w:pPr>
        <w:adjustRightInd w:val="0"/>
        <w:snapToGrid w:val="0"/>
        <w:spacing w:after="0" w:line="240" w:lineRule="auto"/>
        <w:jc w:val="center"/>
        <w:rPr>
          <w:rFonts w:eastAsia="仿宋_GB2312"/>
          <w:sz w:val="32"/>
          <w:szCs w:val="32"/>
        </w:rPr>
      </w:pPr>
      <w:r>
        <w:rPr>
          <w:rFonts w:eastAsia="仿宋_GB2312"/>
          <w:sz w:val="32"/>
          <w:szCs w:val="32"/>
        </w:rPr>
        <w:drawing>
          <wp:inline distT="0" distB="0" distL="0" distR="0">
            <wp:extent cx="4572000" cy="2743200"/>
            <wp:effectExtent l="19050" t="0" r="19050" b="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形成的财政拨款收支均为一般公共预算财政拨款，其中一般公共预算财政拨款本年收入831.41万元,比2018年度增加122.37万元，增长17%，，主要是2019年增加人员造成经费支出变动，增加项目造成项目支出数额变动；本年支出829.21万元，比2018年度增加197.07万元，增长31%，主要是2019年增加人员造成经费支出变动，增加项目造成项目支出数额变动。</w:t>
      </w:r>
    </w:p>
    <w:p>
      <w:pPr>
        <w:adjustRightInd w:val="0"/>
        <w:snapToGrid w:val="0"/>
        <w:spacing w:after="0" w:line="240" w:lineRule="auto"/>
        <w:ind w:firstLine="640" w:firstLineChars="200"/>
        <w:rPr>
          <w:rFonts w:ascii="仿宋_GB2312" w:eastAsia="仿宋_GB2312" w:cs="DengXian-Regular"/>
          <w:sz w:val="32"/>
          <w:szCs w:val="32"/>
        </w:rPr>
      </w:pPr>
    </w:p>
    <w:p>
      <w:pPr>
        <w:adjustRightInd w:val="0"/>
        <w:snapToGrid w:val="0"/>
        <w:spacing w:after="0" w:line="240" w:lineRule="auto"/>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240" w:lineRule="auto"/>
        <w:rPr>
          <w:rFonts w:ascii="仿宋_GB2312" w:eastAsia="仿宋_GB2312" w:cs="DengXian-Regular"/>
          <w:sz w:val="32"/>
          <w:szCs w:val="32"/>
        </w:rPr>
      </w:pPr>
    </w:p>
    <w:p>
      <w:pPr>
        <w:adjustRightInd w:val="0"/>
        <w:snapToGrid w:val="0"/>
        <w:spacing w:after="0" w:line="240" w:lineRule="auto"/>
        <w:ind w:firstLine="640" w:firstLineChars="200"/>
        <w:rPr>
          <w:rFonts w:ascii="仿宋_GB2312" w:eastAsia="仿宋_GB2312" w:cs="DengXian-Regular"/>
          <w:sz w:val="32"/>
          <w:szCs w:val="32"/>
        </w:rPr>
      </w:pPr>
      <w:r>
        <w:rPr>
          <w:rFonts w:ascii="仿宋_GB2312" w:eastAsia="仿宋_GB2312" w:cs="DengXian-Regular"/>
          <w:sz w:val="32"/>
          <w:szCs w:val="32"/>
        </w:rPr>
        <w:drawing>
          <wp:inline distT="0" distB="0" distL="0" distR="0">
            <wp:extent cx="4572000" cy="2743200"/>
            <wp:effectExtent l="19050" t="0" r="19050" b="0"/>
            <wp:docPr id="1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djustRightInd w:val="0"/>
        <w:snapToGrid w:val="0"/>
        <w:spacing w:after="0" w:line="240" w:lineRule="auto"/>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一般公共预算财政拨款收入831.41万元，完成年初预算的161%,比年初预算增加315.13万元，决算数大于预算数主要是人员增加造成经费支出变动，项目增加造成项目支出数额变动；本年支出829.21万元，完成年初预算的160%,比年初预算增加312.93万元，决算数大于预算数主要是人员增加造成经费支出变动，项目增加造成项目支出数额变动。</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240" w:lineRule="auto"/>
        <w:jc w:val="center"/>
        <w:rPr>
          <w:rFonts w:eastAsia="仿宋_GB2312"/>
          <w:sz w:val="32"/>
          <w:szCs w:val="32"/>
        </w:rPr>
      </w:pPr>
      <w:r>
        <w:rPr>
          <w:rFonts w:hint="eastAsia" w:eastAsia="仿宋_GB2312"/>
          <w:sz w:val="32"/>
          <w:szCs w:val="32"/>
        </w:rPr>
        <w:t>图4：财政拨款收支预决算对比情况</w:t>
      </w:r>
    </w:p>
    <w:p>
      <w:pPr>
        <w:adjustRightInd w:val="0"/>
        <w:snapToGrid w:val="0"/>
        <w:spacing w:after="0" w:line="240" w:lineRule="auto"/>
        <w:jc w:val="center"/>
        <w:rPr>
          <w:rFonts w:eastAsia="仿宋_GB2312"/>
          <w:sz w:val="32"/>
          <w:szCs w:val="32"/>
        </w:rPr>
      </w:pPr>
    </w:p>
    <w:p>
      <w:pPr>
        <w:adjustRightInd w:val="0"/>
        <w:snapToGrid w:val="0"/>
        <w:spacing w:after="0" w:line="240" w:lineRule="auto"/>
        <w:rPr>
          <w:rFonts w:ascii="仿宋_GB2312" w:eastAsia="仿宋_GB2312" w:cs="DengXian-Regular"/>
          <w:sz w:val="32"/>
          <w:szCs w:val="32"/>
          <w:highlight w:val="yellow"/>
        </w:rPr>
      </w:pPr>
    </w:p>
    <w:p>
      <w:pPr>
        <w:adjustRightInd w:val="0"/>
        <w:snapToGrid w:val="0"/>
        <w:spacing w:after="0" w:line="240" w:lineRule="auto"/>
        <w:rPr>
          <w:rFonts w:ascii="仿宋_GB2312" w:eastAsia="仿宋_GB2312" w:cs="DengXian-Regular"/>
          <w:sz w:val="32"/>
          <w:szCs w:val="32"/>
          <w:highlight w:val="yellow"/>
        </w:rPr>
      </w:pPr>
      <w:r>
        <w:rPr>
          <w:rFonts w:ascii="仿宋_GB2312" w:eastAsia="仿宋_GB2312" w:cs="DengXian-Regular"/>
          <w:sz w:val="32"/>
          <w:szCs w:val="32"/>
        </w:rPr>
        <w:drawing>
          <wp:inline distT="0" distB="0" distL="0" distR="0">
            <wp:extent cx="5086350" cy="2686050"/>
            <wp:effectExtent l="19050" t="0" r="19050" b="0"/>
            <wp:docPr id="2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djustRightInd w:val="0"/>
        <w:snapToGrid w:val="0"/>
        <w:spacing w:after="0" w:line="580" w:lineRule="exact"/>
        <w:rPr>
          <w:rFonts w:ascii="仿宋_GB2312" w:eastAsia="仿宋_GB2312" w:cs="DengXian-Regular"/>
          <w:sz w:val="32"/>
          <w:szCs w:val="32"/>
          <w:highlight w:val="yellow"/>
        </w:rPr>
      </w:pPr>
    </w:p>
    <w:p>
      <w:pPr>
        <w:numPr>
          <w:ilvl w:val="0"/>
          <w:numId w:val="1"/>
        </w:numPr>
        <w:adjustRightInd w:val="0"/>
        <w:snapToGrid w:val="0"/>
        <w:spacing w:after="0" w:line="360" w:lineRule="auto"/>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360" w:lineRule="auto"/>
        <w:ind w:firstLine="640" w:firstLineChars="200"/>
        <w:rPr>
          <w:rFonts w:ascii="仿宋_GB2312" w:eastAsia="仿宋_GB2312" w:cs="DengXian-Regular"/>
          <w:sz w:val="32"/>
          <w:szCs w:val="32"/>
        </w:rPr>
      </w:pPr>
      <w:r>
        <w:rPr>
          <w:rFonts w:hint="eastAsia" w:ascii="仿宋_GB2312" w:eastAsia="仿宋_GB2312" w:cs="DengXian-Regular"/>
          <w:sz w:val="32"/>
          <w:szCs w:val="32"/>
        </w:rPr>
        <w:t>2019年度财政拨款支出829.21万元，主要用于以下方面:一般公共服务支出753.59万元，占90.88%；社会保障和就业支出47.03万元，占5.67%；医疗卫生与计划生育支出20.83万元，占2.51%；扶贫支出1万元，占0.12%；农村综合改革支出5万元，占0.61%；住房保障支出1.76万元，占0.21%。</w:t>
      </w:r>
    </w:p>
    <w:p>
      <w:pPr>
        <w:adjustRightInd w:val="0"/>
        <w:snapToGrid w:val="0"/>
        <w:spacing w:after="0" w:line="360" w:lineRule="auto"/>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360" w:lineRule="auto"/>
        <w:rPr>
          <w:rFonts w:eastAsia="楷体_GB2312" w:cs="DengXian-Bold" w:asciiTheme="minorHAnsi" w:hAnsiTheme="minorHAnsi"/>
          <w:b/>
          <w:bCs/>
          <w:sz w:val="32"/>
          <w:szCs w:val="32"/>
        </w:rPr>
      </w:pPr>
    </w:p>
    <w:p>
      <w:pPr>
        <w:adjustRightInd w:val="0"/>
        <w:snapToGrid w:val="0"/>
        <w:spacing w:after="0" w:line="360" w:lineRule="auto"/>
        <w:rPr>
          <w:rFonts w:eastAsia="楷体_GB2312" w:cs="DengXian-Bold" w:asciiTheme="minorHAnsi" w:hAnsiTheme="minorHAnsi"/>
          <w:b/>
          <w:bCs/>
          <w:sz w:val="32"/>
          <w:szCs w:val="32"/>
        </w:rPr>
      </w:pPr>
      <w:r>
        <w:rPr>
          <w:rFonts w:eastAsia="楷体_GB2312" w:cs="DengXian-Bold" w:asciiTheme="minorHAnsi" w:hAnsiTheme="minorHAnsi"/>
          <w:b/>
          <w:bCs/>
          <w:sz w:val="32"/>
          <w:szCs w:val="32"/>
        </w:rPr>
        <w:drawing>
          <wp:inline distT="0" distB="0" distL="0" distR="0">
            <wp:extent cx="4572000" cy="2743200"/>
            <wp:effectExtent l="19050" t="0" r="19050" b="0"/>
            <wp:docPr id="2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2019年度一般公共预算财政拨款基本支出442.72万元，其中：人员经费 378.74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63.98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eastAsia="仿宋_GB2312"/>
          <w:sz w:val="32"/>
          <w:szCs w:val="32"/>
        </w:rPr>
        <w:t>本部门201</w:t>
      </w:r>
      <w:r>
        <w:rPr>
          <w:rFonts w:hint="eastAsia" w:eastAsia="仿宋_GB2312"/>
          <w:sz w:val="32"/>
          <w:szCs w:val="32"/>
        </w:rPr>
        <w:t>9</w:t>
      </w:r>
      <w:r>
        <w:rPr>
          <w:rFonts w:eastAsia="仿宋_GB2312"/>
          <w:sz w:val="32"/>
          <w:szCs w:val="32"/>
        </w:rPr>
        <w:t>年度一般公共预算财政拨款“三公”经费支出共计</w:t>
      </w:r>
      <w:r>
        <w:rPr>
          <w:rFonts w:hint="eastAsia" w:eastAsia="仿宋_GB2312"/>
          <w:sz w:val="32"/>
          <w:szCs w:val="32"/>
        </w:rPr>
        <w:t>7</w:t>
      </w:r>
      <w:r>
        <w:rPr>
          <w:rFonts w:eastAsia="仿宋_GB2312"/>
          <w:sz w:val="32"/>
          <w:szCs w:val="32"/>
        </w:rPr>
        <w:t>万元，</w:t>
      </w:r>
      <w:r>
        <w:rPr>
          <w:rFonts w:hint="eastAsia" w:ascii="仿宋_GB2312" w:hAnsi="Times New Roman" w:eastAsia="仿宋_GB2312" w:cs="DengXian-Regular"/>
          <w:sz w:val="32"/>
          <w:szCs w:val="32"/>
        </w:rPr>
        <w:t>完成预算的</w:t>
      </w:r>
      <w:r>
        <w:rPr>
          <w:rFonts w:hint="eastAsia" w:ascii="仿宋_GB2312" w:eastAsia="仿宋_GB2312" w:cs="DengXian-Regular"/>
          <w:sz w:val="32"/>
          <w:szCs w:val="32"/>
          <w:lang w:val="en-US" w:eastAsia="zh-CN"/>
        </w:rPr>
        <w:t>100</w:t>
      </w:r>
      <w:r>
        <w:rPr>
          <w:rFonts w:hint="eastAsia" w:ascii="仿宋_GB2312" w:hAnsi="Times New Roman" w:eastAsia="仿宋_GB2312" w:cs="DengXian-Regular"/>
          <w:sz w:val="32"/>
          <w:szCs w:val="32"/>
        </w:rPr>
        <w:t>%,较预算增加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eastAsia="zh-CN"/>
        </w:rPr>
        <w:t>与年初预算无增减变化</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与</w:t>
      </w:r>
      <w:r>
        <w:rPr>
          <w:rFonts w:hint="eastAsia" w:ascii="仿宋_GB2312" w:hAnsi="Times New Roman" w:eastAsia="仿宋_GB2312" w:cs="DengXian-Regular"/>
          <w:sz w:val="32"/>
          <w:szCs w:val="32"/>
        </w:rPr>
        <w:t>2018年度</w:t>
      </w:r>
      <w:r>
        <w:rPr>
          <w:rFonts w:hint="eastAsia" w:ascii="仿宋_GB2312" w:eastAsia="仿宋_GB2312" w:cs="DengXian-Regular"/>
          <w:sz w:val="32"/>
          <w:szCs w:val="32"/>
          <w:lang w:eastAsia="zh-CN"/>
        </w:rPr>
        <w:t>决算相比减少</w:t>
      </w:r>
      <w:r>
        <w:rPr>
          <w:rFonts w:hint="eastAsia" w:ascii="仿宋_GB2312" w:eastAsia="仿宋_GB2312" w:cs="DengXian-Regular"/>
          <w:sz w:val="32"/>
          <w:szCs w:val="32"/>
          <w:lang w:val="en-US" w:eastAsia="zh-CN"/>
        </w:rPr>
        <w:t>16.26</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lang w:eastAsia="zh-CN"/>
        </w:rPr>
        <w:t>降低</w:t>
      </w:r>
      <w:r>
        <w:rPr>
          <w:rFonts w:hint="eastAsia" w:ascii="仿宋_GB2312" w:eastAsia="仿宋_GB2312" w:cs="DengXian-Regular"/>
          <w:sz w:val="32"/>
          <w:szCs w:val="32"/>
          <w:lang w:val="en-US" w:eastAsia="zh-CN"/>
        </w:rPr>
        <w:t>69.9</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eastAsia="zh-CN"/>
        </w:rPr>
        <w:t>去年</w:t>
      </w:r>
      <w:r>
        <w:rPr>
          <w:rFonts w:hint="eastAsia" w:ascii="仿宋_GB2312" w:eastAsia="仿宋_GB2312" w:cs="DengXian-Regular"/>
          <w:sz w:val="32"/>
          <w:szCs w:val="32"/>
          <w:lang w:val="en-US" w:eastAsia="zh-CN"/>
        </w:rPr>
        <w:t>购置公务用车一辆</w:t>
      </w:r>
      <w:r>
        <w:rPr>
          <w:rFonts w:hint="eastAsia" w:ascii="仿宋_GB2312" w:hAnsi="Times New Roman" w:eastAsia="仿宋_GB2312" w:cs="DengXian-Regular"/>
          <w:sz w:val="32"/>
          <w:szCs w:val="32"/>
        </w:rPr>
        <w:t>。具体情况如下：</w:t>
      </w:r>
    </w:p>
    <w:p>
      <w:pPr>
        <w:numPr>
          <w:ilvl w:val="0"/>
          <w:numId w:val="0"/>
        </w:numPr>
        <w:adjustRightInd w:val="0"/>
        <w:snapToGrid w:val="0"/>
        <w:spacing w:line="584" w:lineRule="exact"/>
        <w:ind w:firstLine="643" w:firstLineChars="200"/>
        <w:rPr>
          <w:rFonts w:hint="eastAsia" w:ascii="仿宋_GB2312" w:hAnsi="Times New Roman" w:eastAsia="仿宋_GB2312" w:cs="DengXian-Regular"/>
          <w:sz w:val="32"/>
          <w:szCs w:val="32"/>
        </w:rPr>
      </w:pPr>
      <w:r>
        <w:rPr>
          <w:rFonts w:hint="eastAsia" w:eastAsia="楷体_GB2312"/>
          <w:b/>
          <w:bCs/>
          <w:sz w:val="32"/>
          <w:szCs w:val="32"/>
          <w:lang w:eastAsia="zh-CN"/>
        </w:rPr>
        <w:t>（一）</w:t>
      </w: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主要是未发生因公出国（境）费支出，较年初预算无增减变化</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较上</w:t>
      </w:r>
      <w:r>
        <w:rPr>
          <w:rFonts w:hint="eastAsia" w:ascii="仿宋_GB2312" w:eastAsia="仿宋_GB2312" w:cs="DengXian-Regular"/>
          <w:sz w:val="32"/>
          <w:szCs w:val="32"/>
          <w:lang w:val="en-US" w:eastAsia="zh-CN"/>
        </w:rPr>
        <w:t>年</w:t>
      </w:r>
      <w:r>
        <w:rPr>
          <w:rFonts w:hint="eastAsia" w:ascii="仿宋_GB2312" w:hAnsi="Times New Roman" w:eastAsia="仿宋_GB2312" w:cs="DengXian-Regular"/>
          <w:sz w:val="32"/>
          <w:szCs w:val="32"/>
        </w:rPr>
        <w:t>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主要是未发生因公出国（境）费支出，较</w:t>
      </w:r>
      <w:r>
        <w:rPr>
          <w:rFonts w:hint="eastAsia" w:ascii="仿宋_GB2312" w:eastAsia="仿宋_GB2312" w:cs="DengXian-Regular"/>
          <w:sz w:val="32"/>
          <w:szCs w:val="32"/>
          <w:lang w:val="en-US" w:eastAsia="zh-CN"/>
        </w:rPr>
        <w:t>2018</w:t>
      </w:r>
      <w:r>
        <w:rPr>
          <w:rFonts w:hint="eastAsia" w:ascii="仿宋_GB2312" w:eastAsia="仿宋_GB2312" w:cs="DengXian-Regular"/>
          <w:sz w:val="32"/>
          <w:szCs w:val="32"/>
          <w:lang w:eastAsia="zh-CN"/>
        </w:rPr>
        <w:t>年初决算无增减变化</w:t>
      </w:r>
      <w:r>
        <w:rPr>
          <w:rFonts w:hint="eastAsia" w:ascii="仿宋_GB2312" w:eastAsia="仿宋_GB2312" w:cs="DengXian-Regular"/>
          <w:sz w:val="32"/>
          <w:szCs w:val="32"/>
          <w:lang w:val="en-US" w:eastAsia="zh-CN"/>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eastAsia="楷体_GB2312" w:cs="DengXian-Bold"/>
          <w:b/>
          <w:bCs/>
          <w:sz w:val="32"/>
          <w:szCs w:val="32"/>
          <w:lang w:val="en-US" w:eastAsia="zh-CN"/>
        </w:rPr>
        <w:t>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eastAsia="zh-CN"/>
        </w:rPr>
        <w:t>厉行节约，合理使用车辆</w:t>
      </w:r>
      <w:r>
        <w:rPr>
          <w:rFonts w:hint="eastAsia" w:ascii="仿宋_GB2312" w:hAnsi="Times New Roman" w:eastAsia="仿宋_GB2312" w:cs="DengXian-Regular"/>
          <w:sz w:val="32"/>
          <w:szCs w:val="32"/>
        </w:rPr>
        <w:t>；较上年减少</w:t>
      </w:r>
      <w:r>
        <w:rPr>
          <w:rFonts w:hint="eastAsia" w:ascii="仿宋_GB2312" w:eastAsia="仿宋_GB2312" w:cs="DengXian-Regular"/>
          <w:sz w:val="32"/>
          <w:szCs w:val="32"/>
          <w:lang w:val="en-US" w:eastAsia="zh-CN"/>
        </w:rPr>
        <w:t>16.26</w:t>
      </w:r>
      <w:r>
        <w:rPr>
          <w:rFonts w:hint="eastAsia" w:ascii="仿宋_GB2312" w:hAnsi="Times New Roman"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eastAsia="zh-CN"/>
        </w:rPr>
        <w:t>节约开支</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%,主要</w:t>
      </w:r>
      <w:r>
        <w:rPr>
          <w:rFonts w:hint="eastAsia" w:ascii="仿宋_GB2312" w:eastAsia="仿宋_GB2312" w:cs="DengXian-Regular"/>
          <w:sz w:val="32"/>
          <w:szCs w:val="32"/>
          <w:lang w:eastAsia="zh-CN"/>
        </w:rPr>
        <w:t>是较年初预算无增减变化</w:t>
      </w:r>
      <w:r>
        <w:rPr>
          <w:rFonts w:hint="eastAsia" w:ascii="仿宋_GB2312" w:hAnsi="Times New Roman" w:eastAsia="仿宋_GB2312" w:cs="DengXian-Regular"/>
          <w:sz w:val="32"/>
          <w:szCs w:val="32"/>
        </w:rPr>
        <w:t>；较上年减少</w:t>
      </w:r>
      <w:r>
        <w:rPr>
          <w:rFonts w:hint="eastAsia" w:ascii="仿宋_GB2312" w:eastAsia="仿宋_GB2312" w:cs="DengXian-Regular"/>
          <w:sz w:val="32"/>
          <w:szCs w:val="32"/>
          <w:lang w:val="en-US" w:eastAsia="zh-CN"/>
        </w:rPr>
        <w:t>16.26</w:t>
      </w:r>
      <w:r>
        <w:rPr>
          <w:rFonts w:hint="eastAsia" w:ascii="仿宋_GB2312" w:hAnsi="Times New Roman"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val="en-US" w:eastAsia="zh-CN"/>
        </w:rPr>
        <w:t>购置公务用车一辆</w:t>
      </w:r>
      <w:r>
        <w:rPr>
          <w:rFonts w:hint="eastAsia" w:ascii="仿宋_GB2312" w:eastAsia="仿宋_GB2312" w:cs="DengXian-Regular"/>
          <w:sz w:val="32"/>
          <w:szCs w:val="32"/>
          <w:lang w:eastAsia="zh-CN"/>
        </w:rPr>
        <w:t>。</w:t>
      </w:r>
    </w:p>
    <w:p>
      <w:pPr>
        <w:numPr>
          <w:ilvl w:val="0"/>
          <w:numId w:val="0"/>
        </w:numPr>
        <w:adjustRightInd w:val="0"/>
        <w:snapToGrid w:val="0"/>
        <w:spacing w:line="584"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%,主要</w:t>
      </w:r>
      <w:r>
        <w:rPr>
          <w:rFonts w:hint="eastAsia" w:ascii="仿宋_GB2312" w:eastAsia="仿宋_GB2312" w:cs="DengXian-Regular"/>
          <w:sz w:val="32"/>
          <w:szCs w:val="32"/>
          <w:lang w:eastAsia="zh-CN"/>
        </w:rPr>
        <w:t>是较年初预算无增减变化</w:t>
      </w:r>
      <w:r>
        <w:rPr>
          <w:rFonts w:hint="eastAsia" w:ascii="仿宋_GB2312" w:hAnsi="Times New Roman" w:eastAsia="仿宋_GB2312" w:cs="DengXian-Regular"/>
          <w:sz w:val="32"/>
          <w:szCs w:val="32"/>
        </w:rPr>
        <w:t>；较上年增加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eastAsia="zh-CN"/>
        </w:rPr>
        <w:t>较</w:t>
      </w:r>
      <w:r>
        <w:rPr>
          <w:rFonts w:hint="eastAsia" w:ascii="仿宋_GB2312" w:eastAsia="仿宋_GB2312" w:cs="DengXian-Regular"/>
          <w:sz w:val="32"/>
          <w:szCs w:val="32"/>
          <w:lang w:val="en-US" w:eastAsia="zh-CN"/>
        </w:rPr>
        <w:t>2018</w:t>
      </w:r>
      <w:r>
        <w:rPr>
          <w:rFonts w:hint="eastAsia" w:ascii="仿宋_GB2312" w:eastAsia="仿宋_GB2312" w:cs="DengXian-Regular"/>
          <w:sz w:val="32"/>
          <w:szCs w:val="32"/>
          <w:lang w:eastAsia="zh-CN"/>
        </w:rPr>
        <w:t>年初决算无增减变化</w:t>
      </w:r>
      <w:r>
        <w:rPr>
          <w:rFonts w:hint="eastAsia" w:ascii="仿宋_GB2312" w:eastAsia="仿宋_GB2312" w:cs="DengXian-Regular"/>
          <w:sz w:val="32"/>
          <w:szCs w:val="32"/>
          <w:lang w:val="en-US"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eastAsia="楷体_GB2312"/>
          <w:b/>
          <w:bCs/>
          <w:sz w:val="32"/>
          <w:szCs w:val="32"/>
          <w:lang w:eastAsia="zh-CN"/>
        </w:rPr>
        <w:t>（</w:t>
      </w: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主要是未发生公务接待费支出，较年初预算无增减变化</w:t>
      </w:r>
      <w:r>
        <w:rPr>
          <w:rFonts w:hint="eastAsia" w:ascii="仿宋_GB2312" w:hAnsi="Times New Roman" w:eastAsia="仿宋_GB2312" w:cs="DengXian-Regular"/>
          <w:sz w:val="32"/>
          <w:szCs w:val="32"/>
        </w:rPr>
        <w:t>；较上年度减少</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主要是未发生公务接待费支出，较</w:t>
      </w:r>
      <w:r>
        <w:rPr>
          <w:rFonts w:hint="eastAsia" w:ascii="仿宋_GB2312" w:eastAsia="仿宋_GB2312" w:cs="DengXian-Regular"/>
          <w:sz w:val="32"/>
          <w:szCs w:val="32"/>
          <w:lang w:val="en-US" w:eastAsia="zh-CN"/>
        </w:rPr>
        <w:t>2018年度决算无增减变化</w:t>
      </w:r>
      <w:r>
        <w:rPr>
          <w:rFonts w:hint="eastAsia" w:ascii="仿宋_GB2312" w:hAnsi="Times New Roman" w:eastAsia="仿宋_GB2312" w:cs="DengXian-Regular"/>
          <w:sz w:val="32"/>
          <w:szCs w:val="32"/>
        </w:rPr>
        <w:t>。</w:t>
      </w:r>
    </w:p>
    <w:p>
      <w:pPr>
        <w:adjustRightInd w:val="0"/>
        <w:snapToGrid w:val="0"/>
        <w:spacing w:line="584" w:lineRule="exact"/>
        <w:ind w:firstLine="640" w:firstLineChars="200"/>
        <w:rPr>
          <w:rFonts w:eastAsia="仿宋_GB2312"/>
          <w:sz w:val="32"/>
          <w:szCs w:val="32"/>
          <w:highlight w:val="yellow"/>
        </w:rPr>
      </w:pP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3" w:firstLineChars="200"/>
        <w:rPr>
          <w:rFonts w:ascii="楷体_GB2312" w:eastAsia="楷体_GB2312" w:cs="DengXian-Regular"/>
          <w:b/>
          <w:sz w:val="32"/>
          <w:szCs w:val="32"/>
        </w:rPr>
      </w:pPr>
      <w:r>
        <w:rPr>
          <w:rFonts w:hint="eastAsia" w:ascii="楷体_GB2312" w:eastAsia="楷体_GB2312" w:cs="DengXian-Regular"/>
          <w:b/>
          <w:sz w:val="32"/>
          <w:szCs w:val="32"/>
        </w:rPr>
        <w:t>（一）预算绩效管理工作开展情况。</w:t>
      </w:r>
    </w:p>
    <w:p>
      <w:pPr>
        <w:adjustRightInd w:val="0"/>
        <w:snapToGrid w:val="0"/>
        <w:spacing w:after="0" w:line="580" w:lineRule="exact"/>
        <w:ind w:firstLine="640" w:firstLineChars="200"/>
        <w:rPr>
          <w:rFonts w:ascii="黑体" w:eastAsia="黑体"/>
          <w:sz w:val="32"/>
          <w:szCs w:val="40"/>
        </w:rPr>
      </w:pPr>
      <w:r>
        <w:rPr>
          <w:rFonts w:hint="eastAsia" w:ascii="仿宋_GB2312" w:eastAsia="仿宋_GB2312"/>
          <w:kern w:val="0"/>
          <w:sz w:val="32"/>
          <w:szCs w:val="32"/>
        </w:rPr>
        <w:t>按照县财政局预算绩效管理要求，大城县行政审批局对2019年度财政支出项目开展了绩效自评。</w:t>
      </w:r>
      <w:r>
        <w:rPr>
          <w:rFonts w:hint="eastAsia" w:ascii="仿宋_GB2312" w:hAnsi="仿宋_GB2312" w:eastAsia="仿宋_GB2312" w:cs="仿宋_GB2312"/>
          <w:sz w:val="32"/>
          <w:szCs w:val="32"/>
        </w:rPr>
        <w:t>本部门2019项目12个，共涉及资金407.97万元，占一般公共预算项目支出总额的100%。</w:t>
      </w:r>
      <w:r>
        <w:rPr>
          <w:rFonts w:hint="eastAsia" w:ascii="仿宋_GB2312" w:eastAsia="仿宋_GB2312"/>
          <w:kern w:val="0"/>
          <w:sz w:val="32"/>
          <w:szCs w:val="32"/>
        </w:rPr>
        <w:t>我局预算支出管理较为规范，能按照有关规章制度开展工作，重大支出项目资金到位及时，资金使用合理规范，实现了部门职责绩效目标，自评覆盖率达到100%，</w:t>
      </w:r>
      <w:r>
        <w:rPr>
          <w:rFonts w:hint="eastAsia" w:ascii="仿宋_GB2312" w:eastAsia="仿宋_GB2312"/>
          <w:sz w:val="32"/>
          <w:szCs w:val="32"/>
        </w:rPr>
        <w:t>达到了预期的目标任务。</w:t>
      </w:r>
    </w:p>
    <w:p>
      <w:pPr>
        <w:adjustRightInd w:val="0"/>
        <w:snapToGrid w:val="0"/>
        <w:spacing w:after="0" w:line="580" w:lineRule="exact"/>
        <w:ind w:firstLine="640" w:firstLineChars="200"/>
        <w:rPr>
          <w:rFonts w:ascii="黑体" w:eastAsia="黑体"/>
          <w:sz w:val="32"/>
          <w:szCs w:val="40"/>
        </w:rPr>
      </w:pPr>
    </w:p>
    <w:p>
      <w:pPr>
        <w:adjustRightInd w:val="0"/>
        <w:snapToGrid w:val="0"/>
        <w:spacing w:after="0" w:line="580" w:lineRule="exact"/>
        <w:ind w:firstLine="643" w:firstLineChars="200"/>
        <w:rPr>
          <w:rFonts w:ascii="楷体_GB2312" w:eastAsia="楷体_GB2312"/>
          <w:b/>
          <w:sz w:val="32"/>
          <w:szCs w:val="40"/>
        </w:rPr>
      </w:pPr>
      <w:r>
        <w:rPr>
          <w:rFonts w:hint="eastAsia" w:ascii="楷体_GB2312" w:eastAsia="楷体_GB2312" w:cs="DengXian-Regular"/>
          <w:b/>
          <w:sz w:val="32"/>
          <w:szCs w:val="32"/>
        </w:rPr>
        <w:t>（二）</w:t>
      </w:r>
      <w:r>
        <w:rPr>
          <w:rFonts w:hint="eastAsia" w:ascii="楷体_GB2312" w:eastAsia="楷体_GB2312"/>
          <w:b/>
          <w:sz w:val="32"/>
          <w:szCs w:val="40"/>
        </w:rPr>
        <w:t>部门决算中项目绩效自评结果。</w:t>
      </w:r>
    </w:p>
    <w:p>
      <w:pPr>
        <w:adjustRightInd w:val="0"/>
        <w:snapToGrid w:val="0"/>
        <w:spacing w:after="0" w:line="580" w:lineRule="exact"/>
        <w:ind w:firstLine="640" w:firstLineChars="200"/>
        <w:rPr>
          <w:rFonts w:ascii="仿宋_GB2312" w:eastAsia="仿宋_GB2312"/>
          <w:sz w:val="32"/>
          <w:szCs w:val="40"/>
        </w:rPr>
      </w:pPr>
      <w:r>
        <w:rPr>
          <w:rFonts w:hint="eastAsia" w:ascii="仿宋_GB2312" w:eastAsia="仿宋_GB2312"/>
          <w:sz w:val="32"/>
          <w:szCs w:val="40"/>
        </w:rPr>
        <w:t>本部门在2019年部门决算公开中反映,对第三方委托业务费和保洁及保安服务费等2个项目开展了部门评价，从评价情况来看，评价项目都按照年初绩效目标完成了任务，达到了预期的目标任务。</w:t>
      </w:r>
    </w:p>
    <w:p>
      <w:pPr>
        <w:adjustRightInd w:val="0"/>
        <w:snapToGrid w:val="0"/>
        <w:spacing w:after="0" w:line="580" w:lineRule="exact"/>
        <w:ind w:firstLine="640" w:firstLineChars="200"/>
        <w:rPr>
          <w:rFonts w:ascii="仿宋_GB2312" w:eastAsia="仿宋_GB2312"/>
          <w:sz w:val="32"/>
          <w:szCs w:val="40"/>
        </w:rPr>
      </w:pPr>
      <w:r>
        <w:rPr>
          <w:rFonts w:hint="eastAsia" w:ascii="仿宋_GB2312" w:eastAsia="仿宋_GB2312"/>
          <w:sz w:val="32"/>
          <w:szCs w:val="40"/>
        </w:rPr>
        <w:t>1、</w:t>
      </w:r>
      <w:r>
        <w:rPr>
          <w:rFonts w:hint="eastAsia" w:ascii="仿宋_GB2312" w:eastAsia="仿宋_GB2312"/>
          <w:sz w:val="32"/>
          <w:szCs w:val="40"/>
        </w:rPr>
        <w:tab/>
      </w:r>
      <w:r>
        <w:rPr>
          <w:rFonts w:hint="eastAsia" w:ascii="仿宋_GB2312" w:eastAsia="仿宋_GB2312"/>
          <w:sz w:val="32"/>
          <w:szCs w:val="40"/>
        </w:rPr>
        <w:t>第三方委托业务费项目自评综述：根据年初设定的绩效目标，第三方委托业务费项目绩效自评得分为90.7分。全年预算数为30万元，执行数为26.15万元，由于此项目是连续性项目，剩余资金结转下年，完成预算的87.2%。项目绩效目标完成情况： 2019年，通过</w:t>
      </w:r>
      <w:r>
        <w:rPr>
          <w:rFonts w:hint="eastAsia" w:ascii="仿宋_GB2312" w:eastAsia="仿宋_GB2312"/>
          <w:kern w:val="0"/>
          <w:sz w:val="32"/>
          <w:szCs w:val="32"/>
        </w:rPr>
        <w:t>固定资产投资项目社会稳定风险评估工作，预防和化解社会矛盾，有利于加快县城发展，美化区域环境，有利于推动经济发展，提升土地商业价值，提供就业机会，对于构建和谐社会意义重大，</w:t>
      </w:r>
      <w:r>
        <w:rPr>
          <w:rFonts w:hint="eastAsia" w:ascii="仿宋_GB2312" w:eastAsia="仿宋_GB2312"/>
          <w:sz w:val="32"/>
          <w:szCs w:val="32"/>
        </w:rPr>
        <w:t>自评得分优秀。</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40"/>
        </w:rPr>
        <w:t>2、保安及保洁服务费项目自评综述：根据年初设定的绩效目标，保安及保洁服务费项目绩效自评得分为93分。全年预算数为43.45万元，执行数为43.45万元，完成预算的100%。项目绩效目标完成情况：截至2019年底，顺利完成年初保安及保洁服务费项目计划。</w:t>
      </w:r>
      <w:r>
        <w:rPr>
          <w:rFonts w:hint="eastAsia" w:ascii="仿宋_GB2312" w:eastAsia="仿宋_GB2312"/>
          <w:kern w:val="0"/>
          <w:sz w:val="32"/>
          <w:szCs w:val="32"/>
        </w:rPr>
        <w:t>审批大厅保洁、保安服务，为单位职工和办事群众提供舒适、清洁的办公环境和安全环境，保证行政审批大厅工作正常有序的运行，</w:t>
      </w:r>
      <w:r>
        <w:rPr>
          <w:rFonts w:hint="eastAsia" w:ascii="仿宋_GB2312" w:eastAsia="仿宋_GB2312"/>
          <w:sz w:val="32"/>
          <w:szCs w:val="32"/>
        </w:rPr>
        <w:t>自评得分优秀。</w:t>
      </w:r>
    </w:p>
    <w:p>
      <w:pPr>
        <w:spacing w:line="584" w:lineRule="exact"/>
        <w:rPr>
          <w:rFonts w:ascii="方正仿宋简体" w:eastAsia="方正仿宋简体"/>
          <w:kern w:val="0"/>
          <w:sz w:val="20"/>
          <w:szCs w:val="20"/>
        </w:rPr>
      </w:pPr>
      <w:bookmarkStart w:id="0" w:name="RANGE!A1:F13"/>
    </w:p>
    <w:p>
      <w:pPr>
        <w:spacing w:line="584" w:lineRule="exact"/>
        <w:rPr>
          <w:rFonts w:ascii="仿宋_GB2312" w:eastAsia="仿宋_GB2312"/>
          <w:kern w:val="0"/>
          <w:sz w:val="32"/>
          <w:szCs w:val="32"/>
        </w:rPr>
      </w:pPr>
      <w:r>
        <w:rPr>
          <w:rFonts w:hint="eastAsia" w:ascii="仿宋_GB2312" w:eastAsia="仿宋_GB2312"/>
          <w:kern w:val="0"/>
          <w:sz w:val="32"/>
          <w:szCs w:val="32"/>
        </w:rPr>
        <w:t>附件1</w:t>
      </w:r>
    </w:p>
    <w:tbl>
      <w:tblPr>
        <w:tblStyle w:val="12"/>
        <w:tblW w:w="8861" w:type="dxa"/>
        <w:tblInd w:w="15"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78"/>
        <w:gridCol w:w="818"/>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_GB2312" w:eastAsia="仿宋_GB2312"/>
                <w:sz w:val="32"/>
                <w:szCs w:val="32"/>
              </w:rPr>
            </w:pPr>
            <w:r>
              <w:rPr>
                <w:rFonts w:hint="eastAsia" w:ascii="仿宋_GB2312" w:eastAsia="仿宋_GB2312"/>
                <w:kern w:val="0"/>
                <w:sz w:val="32"/>
                <w:szCs w:val="32"/>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4"/>
              </w:rPr>
            </w:pPr>
            <w:r>
              <w:rPr>
                <w:rFonts w:hint="eastAsia" w:ascii="仿宋" w:eastAsia="仿宋"/>
                <w:kern w:val="0"/>
                <w:sz w:val="24"/>
              </w:rPr>
              <w:t>（ 2019 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第三方委托业务费</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4"/>
              </w:rPr>
            </w:pPr>
            <w:r>
              <w:rPr>
                <w:rFonts w:hint="eastAsia" w:ascii="仿宋" w:eastAsia="仿宋"/>
                <w:kern w:val="0"/>
                <w:sz w:val="24"/>
              </w:rPr>
              <w:t>大城县行政审批局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大城县行政审批局</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项目资金</w:t>
            </w:r>
            <w:r>
              <w:rPr>
                <w:rFonts w:hint="eastAsia" w:ascii="仿宋" w:eastAsia="仿宋"/>
                <w:kern w:val="0"/>
                <w:sz w:val="24"/>
              </w:rPr>
              <w:br w:type="textWrapping"/>
            </w:r>
            <w:r>
              <w:rPr>
                <w:rFonts w:hint="eastAsia" w:ascii="仿宋" w:eastAsia="仿宋"/>
                <w:kern w:val="0"/>
                <w:sz w:val="24"/>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年初</w:t>
            </w:r>
          </w:p>
          <w:p>
            <w:pPr>
              <w:widowControl/>
              <w:spacing w:line="240" w:lineRule="exact"/>
              <w:jc w:val="center"/>
              <w:rPr>
                <w:rFonts w:ascii="仿宋" w:eastAsia="仿宋"/>
                <w:kern w:val="0"/>
                <w:sz w:val="24"/>
              </w:rPr>
            </w:pPr>
            <w:r>
              <w:rPr>
                <w:rFonts w:hint="eastAsia" w:ascii="仿宋" w:eastAsia="仿宋"/>
                <w:kern w:val="0"/>
                <w:sz w:val="24"/>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全年</w:t>
            </w:r>
          </w:p>
          <w:p>
            <w:pPr>
              <w:widowControl/>
              <w:spacing w:line="240" w:lineRule="exact"/>
              <w:jc w:val="center"/>
              <w:rPr>
                <w:rFonts w:ascii="仿宋" w:eastAsia="仿宋"/>
                <w:kern w:val="0"/>
                <w:sz w:val="24"/>
              </w:rPr>
            </w:pPr>
            <w:r>
              <w:rPr>
                <w:rFonts w:hint="eastAsia" w:ascii="仿宋" w:eastAsia="仿宋"/>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全年</w:t>
            </w:r>
          </w:p>
          <w:p>
            <w:pPr>
              <w:widowControl/>
              <w:spacing w:line="240" w:lineRule="exact"/>
              <w:jc w:val="center"/>
              <w:rPr>
                <w:rFonts w:ascii="仿宋" w:eastAsia="仿宋"/>
                <w:kern w:val="0"/>
                <w:sz w:val="24"/>
              </w:rPr>
            </w:pPr>
            <w:r>
              <w:rPr>
                <w:rFonts w:hint="eastAsia" w:ascii="仿宋" w:eastAsia="仿宋"/>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4"/>
              </w:rPr>
            </w:pPr>
            <w:r>
              <w:rPr>
                <w:rFonts w:hint="eastAsia" w:ascii="仿宋" w:eastAsia="仿宋"/>
                <w:kern w:val="0"/>
                <w:sz w:val="24"/>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30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26.15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87.17</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8.7</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30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26.15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通过固定资产投资项目社会稳定风险评估工作，预防和化解社会矛盾，有利于加快县城发展，美化区域环境，有利于推动经济发展，提升土地商业价值，提供就业机会，对于构建和谐社会意义重大。</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2019年第三方委托业务费预算资金30万元，实际支出26.15万元，剩余资金结转下年。</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绩</w:t>
            </w:r>
            <w:r>
              <w:rPr>
                <w:rFonts w:hint="eastAsia" w:ascii="仿宋" w:eastAsia="仿宋"/>
                <w:kern w:val="0"/>
                <w:sz w:val="24"/>
              </w:rPr>
              <w:br w:type="textWrapping"/>
            </w:r>
            <w:r>
              <w:rPr>
                <w:rFonts w:hint="eastAsia" w:ascii="仿宋" w:eastAsia="仿宋"/>
                <w:kern w:val="0"/>
                <w:sz w:val="24"/>
              </w:rPr>
              <w:t>效</w:t>
            </w:r>
            <w:r>
              <w:rPr>
                <w:rFonts w:hint="eastAsia" w:ascii="仿宋" w:eastAsia="仿宋"/>
                <w:kern w:val="0"/>
                <w:sz w:val="24"/>
              </w:rPr>
              <w:br w:type="textWrapping"/>
            </w:r>
            <w:r>
              <w:rPr>
                <w:rFonts w:hint="eastAsia" w:ascii="仿宋" w:eastAsia="仿宋"/>
                <w:kern w:val="0"/>
                <w:sz w:val="24"/>
              </w:rPr>
              <w:t>指</w:t>
            </w:r>
            <w:r>
              <w:rPr>
                <w:rFonts w:hint="eastAsia" w:ascii="仿宋" w:eastAsia="仿宋"/>
                <w:kern w:val="0"/>
                <w:sz w:val="24"/>
              </w:rPr>
              <w:br w:type="textWrapping"/>
            </w:r>
            <w:r>
              <w:rPr>
                <w:rFonts w:hint="eastAsia" w:ascii="仿宋" w:eastAsia="仿宋"/>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年度</w:t>
            </w:r>
          </w:p>
          <w:p>
            <w:pPr>
              <w:widowControl/>
              <w:spacing w:line="240" w:lineRule="exact"/>
              <w:jc w:val="center"/>
              <w:rPr>
                <w:rFonts w:ascii="仿宋" w:eastAsia="仿宋"/>
                <w:kern w:val="0"/>
                <w:sz w:val="24"/>
              </w:rPr>
            </w:pPr>
            <w:r>
              <w:rPr>
                <w:rFonts w:hint="eastAsia" w:ascii="仿宋" w:eastAsia="仿宋"/>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实际</w:t>
            </w:r>
          </w:p>
          <w:p>
            <w:pPr>
              <w:widowControl/>
              <w:spacing w:line="240" w:lineRule="exact"/>
              <w:jc w:val="center"/>
              <w:rPr>
                <w:rFonts w:ascii="仿宋" w:eastAsia="仿宋"/>
                <w:kern w:val="0"/>
                <w:sz w:val="24"/>
              </w:rPr>
            </w:pPr>
            <w:r>
              <w:rPr>
                <w:rFonts w:hint="eastAsia" w:ascii="仿宋" w:eastAsia="仿宋"/>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分值</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得分</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指标1：工程项目的社会稳定评估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30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26.15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20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15</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3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rPr>
                <w:rFonts w:ascii="仿宋" w:eastAsia="仿宋"/>
                <w:kern w:val="0"/>
                <w:sz w:val="24"/>
              </w:rPr>
            </w:pPr>
            <w:r>
              <w:rPr>
                <w:rFonts w:hint="eastAsia" w:ascii="仿宋" w:eastAsia="仿宋"/>
                <w:kern w:val="0"/>
                <w:sz w:val="24"/>
              </w:rPr>
              <w:t>指标1：质量达标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达标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达标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指标1：及时完成</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及时</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及时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指标1：成本控制</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30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sz w:val="24"/>
              </w:rPr>
              <w:t>≤30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7</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效益指标</w:t>
            </w:r>
          </w:p>
          <w:p>
            <w:pPr>
              <w:widowControl/>
              <w:spacing w:line="240" w:lineRule="exact"/>
              <w:jc w:val="center"/>
              <w:rPr>
                <w:rFonts w:ascii="仿宋" w:eastAsia="仿宋"/>
                <w:kern w:val="0"/>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经济效益</w:t>
            </w:r>
          </w:p>
          <w:p>
            <w:pPr>
              <w:widowControl/>
              <w:spacing w:line="240" w:lineRule="exact"/>
              <w:jc w:val="center"/>
              <w:rPr>
                <w:rFonts w:ascii="仿宋" w:eastAsia="仿宋"/>
                <w:kern w:val="0"/>
                <w:sz w:val="24"/>
              </w:rPr>
            </w:pPr>
            <w:r>
              <w:rPr>
                <w:rFonts w:hint="eastAsia" w:ascii="仿宋" w:eastAsia="仿宋"/>
                <w:kern w:val="0"/>
                <w:sz w:val="24"/>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指标1：提升经济指标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社会效益</w:t>
            </w:r>
          </w:p>
          <w:p>
            <w:pPr>
              <w:widowControl/>
              <w:spacing w:line="240" w:lineRule="exact"/>
              <w:jc w:val="center"/>
              <w:rPr>
                <w:rFonts w:ascii="仿宋" w:eastAsia="仿宋"/>
                <w:kern w:val="0"/>
                <w:sz w:val="24"/>
              </w:rPr>
            </w:pPr>
            <w:r>
              <w:rPr>
                <w:rFonts w:hint="eastAsia" w:ascii="仿宋" w:eastAsia="仿宋"/>
                <w:kern w:val="0"/>
                <w:sz w:val="24"/>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指标1：提升经济指标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生态效益</w:t>
            </w:r>
          </w:p>
          <w:p>
            <w:pPr>
              <w:widowControl/>
              <w:spacing w:line="240" w:lineRule="exact"/>
              <w:jc w:val="center"/>
              <w:rPr>
                <w:rFonts w:ascii="仿宋" w:eastAsia="仿宋"/>
                <w:kern w:val="0"/>
                <w:sz w:val="24"/>
              </w:rPr>
            </w:pPr>
            <w:r>
              <w:rPr>
                <w:rFonts w:hint="eastAsia" w:ascii="仿宋" w:eastAsia="仿宋"/>
                <w:kern w:val="0"/>
                <w:sz w:val="24"/>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可持续影响</w:t>
            </w:r>
          </w:p>
          <w:p>
            <w:pPr>
              <w:widowControl/>
              <w:spacing w:line="240" w:lineRule="exact"/>
              <w:jc w:val="center"/>
              <w:rPr>
                <w:rFonts w:ascii="仿宋" w:eastAsia="仿宋"/>
                <w:kern w:val="0"/>
                <w:sz w:val="24"/>
              </w:rPr>
            </w:pPr>
            <w:r>
              <w:rPr>
                <w:rFonts w:hint="eastAsia" w:ascii="仿宋" w:eastAsia="仿宋"/>
                <w:kern w:val="0"/>
                <w:sz w:val="24"/>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指标1：符合社会发展需要</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显著</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显著</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51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满意度</w:t>
            </w:r>
          </w:p>
          <w:p>
            <w:pPr>
              <w:widowControl/>
              <w:spacing w:line="240" w:lineRule="exact"/>
              <w:jc w:val="center"/>
              <w:rPr>
                <w:rFonts w:ascii="仿宋" w:eastAsia="仿宋"/>
                <w:kern w:val="0"/>
                <w:sz w:val="24"/>
              </w:rPr>
            </w:pPr>
            <w:r>
              <w:rPr>
                <w:rFonts w:hint="eastAsia" w:ascii="仿宋" w:eastAsia="仿宋"/>
                <w:kern w:val="0"/>
                <w:sz w:val="24"/>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指标1：项目周围居民</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满意</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满意</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nil"/>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指标2：企事业单位</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满意</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满意</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4"/>
              </w:rPr>
            </w:pPr>
            <w:r>
              <w:rPr>
                <w:rFonts w:hint="eastAsia" w:asci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tr>
        <w:tblPrEx>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100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r>
              <w:rPr>
                <w:rFonts w:hint="eastAsia" w:ascii="仿宋" w:eastAsia="仿宋"/>
                <w:kern w:val="0"/>
                <w:sz w:val="24"/>
              </w:rPr>
              <w:t>90.7</w:t>
            </w:r>
          </w:p>
        </w:tc>
        <w:tc>
          <w:tcPr>
            <w:tcW w:w="149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4"/>
              </w:rPr>
            </w:pPr>
          </w:p>
        </w:tc>
      </w:tr>
      <w:bookmarkEnd w:id="0"/>
    </w:tbl>
    <w:p>
      <w:pPr>
        <w:spacing w:line="584" w:lineRule="exact"/>
        <w:rPr>
          <w:rFonts w:ascii="仿宋" w:eastAsia="仿宋"/>
          <w:kern w:val="0"/>
          <w:sz w:val="24"/>
        </w:rPr>
      </w:pPr>
    </w:p>
    <w:p>
      <w:pPr>
        <w:spacing w:line="584" w:lineRule="exact"/>
        <w:rPr>
          <w:rFonts w:ascii="仿宋" w:eastAsia="仿宋"/>
          <w:kern w:val="0"/>
          <w:sz w:val="24"/>
        </w:rPr>
      </w:pPr>
    </w:p>
    <w:p>
      <w:pPr>
        <w:spacing w:line="584" w:lineRule="exact"/>
        <w:rPr>
          <w:rFonts w:ascii="仿宋" w:eastAsia="仿宋"/>
          <w:kern w:val="0"/>
          <w:sz w:val="24"/>
        </w:rPr>
      </w:pPr>
    </w:p>
    <w:p>
      <w:pPr>
        <w:spacing w:line="584" w:lineRule="exact"/>
        <w:rPr>
          <w:rFonts w:ascii="仿宋" w:eastAsia="仿宋"/>
          <w:kern w:val="0"/>
          <w:sz w:val="24"/>
        </w:rPr>
      </w:pPr>
    </w:p>
    <w:p>
      <w:pPr>
        <w:spacing w:line="584" w:lineRule="exact"/>
        <w:rPr>
          <w:rFonts w:ascii="仿宋" w:eastAsia="仿宋"/>
          <w:kern w:val="0"/>
          <w:sz w:val="24"/>
        </w:rPr>
      </w:pPr>
    </w:p>
    <w:p>
      <w:pPr>
        <w:spacing w:line="584" w:lineRule="exact"/>
        <w:rPr>
          <w:rFonts w:ascii="仿宋_GB2312" w:eastAsia="仿宋_GB2312"/>
          <w:kern w:val="0"/>
          <w:sz w:val="32"/>
          <w:szCs w:val="32"/>
        </w:rPr>
      </w:pPr>
      <w:r>
        <w:rPr>
          <w:rFonts w:hint="eastAsia" w:ascii="仿宋_GB2312" w:eastAsia="仿宋_GB2312"/>
          <w:kern w:val="0"/>
          <w:sz w:val="32"/>
          <w:szCs w:val="32"/>
        </w:rPr>
        <w:t>附件2</w:t>
      </w:r>
    </w:p>
    <w:tbl>
      <w:tblPr>
        <w:tblStyle w:val="12"/>
        <w:tblW w:w="8861" w:type="dxa"/>
        <w:tblInd w:w="15"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_GB2312" w:eastAsia="仿宋_GB2312"/>
                <w:sz w:val="32"/>
                <w:szCs w:val="32"/>
              </w:rPr>
            </w:pPr>
            <w:r>
              <w:rPr>
                <w:rFonts w:hint="eastAsia" w:ascii="仿宋_GB2312" w:eastAsia="仿宋_GB2312"/>
                <w:kern w:val="0"/>
                <w:sz w:val="32"/>
                <w:szCs w:val="32"/>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_GB2312" w:eastAsia="仿宋_GB2312"/>
                <w:kern w:val="0"/>
                <w:sz w:val="24"/>
              </w:rPr>
            </w:pPr>
            <w:r>
              <w:rPr>
                <w:rFonts w:hint="eastAsia" w:ascii="仿宋_GB2312" w:eastAsia="仿宋_GB2312"/>
                <w:kern w:val="0"/>
                <w:sz w:val="24"/>
              </w:rPr>
              <w:t>（  2019  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保洁及保安服务费</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大城县行政审批局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大城县行政审批局</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项目资金</w:t>
            </w:r>
            <w:r>
              <w:rPr>
                <w:rFonts w:hint="eastAsia" w:ascii="仿宋" w:hAnsi="仿宋" w:eastAsia="仿宋"/>
                <w:kern w:val="0"/>
                <w:sz w:val="24"/>
              </w:rPr>
              <w:br w:type="textWrapping"/>
            </w:r>
            <w:r>
              <w:rPr>
                <w:rFonts w:hint="eastAsia" w:ascii="仿宋" w:hAnsi="仿宋" w:eastAsia="仿宋"/>
                <w:kern w:val="0"/>
                <w:sz w:val="24"/>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年初</w:t>
            </w:r>
          </w:p>
          <w:p>
            <w:pPr>
              <w:widowControl/>
              <w:spacing w:line="240" w:lineRule="exact"/>
              <w:jc w:val="center"/>
              <w:rPr>
                <w:rFonts w:ascii="仿宋" w:hAnsi="仿宋" w:eastAsia="仿宋"/>
                <w:kern w:val="0"/>
                <w:sz w:val="24"/>
              </w:rPr>
            </w:pPr>
            <w:r>
              <w:rPr>
                <w:rFonts w:hint="eastAsia" w:ascii="仿宋" w:hAnsi="仿宋" w:eastAsia="仿宋"/>
                <w:kern w:val="0"/>
                <w:sz w:val="24"/>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全年</w:t>
            </w:r>
          </w:p>
          <w:p>
            <w:pPr>
              <w:widowControl/>
              <w:spacing w:line="240" w:lineRule="exact"/>
              <w:jc w:val="center"/>
              <w:rPr>
                <w:rFonts w:ascii="仿宋" w:hAnsi="仿宋" w:eastAsia="仿宋"/>
                <w:kern w:val="0"/>
                <w:sz w:val="24"/>
              </w:rPr>
            </w:pPr>
            <w:r>
              <w:rPr>
                <w:rFonts w:hint="eastAsia" w:ascii="仿宋" w:hAnsi="仿宋" w:eastAsia="仿宋"/>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全年</w:t>
            </w:r>
          </w:p>
          <w:p>
            <w:pPr>
              <w:widowControl/>
              <w:spacing w:line="240" w:lineRule="exact"/>
              <w:jc w:val="center"/>
              <w:rPr>
                <w:rFonts w:ascii="仿宋" w:hAnsi="仿宋" w:eastAsia="仿宋"/>
                <w:kern w:val="0"/>
                <w:sz w:val="24"/>
              </w:rPr>
            </w:pPr>
            <w:r>
              <w:rPr>
                <w:rFonts w:hint="eastAsia" w:ascii="仿宋" w:hAnsi="仿宋" w:eastAsia="仿宋"/>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hAnsi="仿宋" w:eastAsia="仿宋"/>
                <w:kern w:val="0"/>
                <w:sz w:val="24"/>
              </w:rPr>
            </w:pPr>
            <w:r>
              <w:rPr>
                <w:rFonts w:hint="eastAsia" w:ascii="仿宋" w:hAnsi="仿宋" w:eastAsia="仿宋"/>
                <w:kern w:val="0"/>
                <w:sz w:val="24"/>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43.35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43.35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43.35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43.35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43.35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43.35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完成审批大厅保洁、保安服务，为单位职工和办事群众提供舒适、清洁的办公环境和安全环境，保证行政审批大厅工作正常有序的运行。</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保洁及保安服务费预算资金43.35万元，实际支出43.35万元。</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绩</w:t>
            </w:r>
            <w:r>
              <w:rPr>
                <w:rFonts w:hint="eastAsia" w:ascii="仿宋" w:hAnsi="仿宋" w:eastAsia="仿宋"/>
                <w:kern w:val="0"/>
                <w:sz w:val="24"/>
              </w:rPr>
              <w:br w:type="textWrapping"/>
            </w:r>
            <w:r>
              <w:rPr>
                <w:rFonts w:hint="eastAsia" w:ascii="仿宋" w:hAnsi="仿宋" w:eastAsia="仿宋"/>
                <w:kern w:val="0"/>
                <w:sz w:val="24"/>
              </w:rPr>
              <w:t>效</w:t>
            </w:r>
            <w:r>
              <w:rPr>
                <w:rFonts w:hint="eastAsia" w:ascii="仿宋" w:hAnsi="仿宋" w:eastAsia="仿宋"/>
                <w:kern w:val="0"/>
                <w:sz w:val="24"/>
              </w:rPr>
              <w:br w:type="textWrapping"/>
            </w:r>
            <w:r>
              <w:rPr>
                <w:rFonts w:hint="eastAsia" w:ascii="仿宋" w:hAnsi="仿宋" w:eastAsia="仿宋"/>
                <w:kern w:val="0"/>
                <w:sz w:val="24"/>
              </w:rPr>
              <w:t>指</w:t>
            </w:r>
            <w:r>
              <w:rPr>
                <w:rFonts w:hint="eastAsia" w:ascii="仿宋" w:hAnsi="仿宋" w:eastAsia="仿宋"/>
                <w:kern w:val="0"/>
                <w:sz w:val="24"/>
              </w:rPr>
              <w:br w:type="textWrapping"/>
            </w:r>
            <w:r>
              <w:rPr>
                <w:rFonts w:hint="eastAsia" w:ascii="仿宋" w:hAnsi="仿宋" w:eastAsia="仿宋"/>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年度</w:t>
            </w:r>
          </w:p>
          <w:p>
            <w:pPr>
              <w:widowControl/>
              <w:spacing w:line="240" w:lineRule="exact"/>
              <w:jc w:val="center"/>
              <w:rPr>
                <w:rFonts w:ascii="仿宋" w:hAnsi="仿宋" w:eastAsia="仿宋"/>
                <w:kern w:val="0"/>
                <w:sz w:val="24"/>
              </w:rPr>
            </w:pPr>
            <w:r>
              <w:rPr>
                <w:rFonts w:hint="eastAsia" w:ascii="仿宋" w:hAnsi="仿宋" w:eastAsia="仿宋"/>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实际</w:t>
            </w:r>
          </w:p>
          <w:p>
            <w:pPr>
              <w:widowControl/>
              <w:spacing w:line="240" w:lineRule="exact"/>
              <w:jc w:val="center"/>
              <w:rPr>
                <w:rFonts w:ascii="仿宋" w:hAnsi="仿宋" w:eastAsia="仿宋"/>
                <w:kern w:val="0"/>
                <w:sz w:val="24"/>
              </w:rPr>
            </w:pPr>
            <w:r>
              <w:rPr>
                <w:rFonts w:hint="eastAsia" w:ascii="仿宋" w:hAnsi="仿宋" w:eastAsia="仿宋"/>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r>
              <w:rPr>
                <w:rFonts w:hint="eastAsia" w:ascii="仿宋" w:hAnsi="仿宋" w:eastAsia="仿宋"/>
                <w:kern w:val="0"/>
                <w:sz w:val="24"/>
                <w:lang w:bidi="zh-CN"/>
              </w:rPr>
              <w:t>审批大厅整栋楼共1.2万多平方米保洁、保安服务</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lang w:bidi="zh-CN"/>
              </w:rPr>
              <w:t>完成</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lang w:bidi="zh-CN"/>
              </w:rPr>
              <w:t>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r>
              <w:rPr>
                <w:rFonts w:hint="eastAsia" w:ascii="仿宋" w:hAnsi="仿宋" w:eastAsia="仿宋"/>
                <w:kern w:val="0"/>
                <w:sz w:val="24"/>
                <w:lang w:bidi="zh-CN"/>
              </w:rPr>
              <w:t>服务达标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达标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达标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r>
              <w:rPr>
                <w:rFonts w:hint="eastAsia" w:ascii="仿宋" w:hAnsi="仿宋" w:eastAsia="仿宋"/>
                <w:kern w:val="0"/>
                <w:sz w:val="24"/>
                <w:lang w:bidi="zh-CN"/>
              </w:rPr>
              <w:t>每天进行清洁、保洁工作和安保工作</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及时</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及时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r>
              <w:rPr>
                <w:rFonts w:hint="eastAsia" w:ascii="仿宋" w:hAnsi="仿宋" w:eastAsia="仿宋"/>
                <w:kern w:val="0"/>
                <w:sz w:val="24"/>
                <w:lang w:bidi="zh-CN"/>
              </w:rPr>
              <w:t>成本控制在预算额度内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sz w:val="24"/>
              </w:rPr>
              <w:t>≤43.35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sz w:val="24"/>
              </w:rPr>
              <w:t>≤43.35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效益指标</w:t>
            </w:r>
          </w:p>
          <w:p>
            <w:pPr>
              <w:widowControl/>
              <w:spacing w:line="240" w:lineRule="exact"/>
              <w:jc w:val="center"/>
              <w:rPr>
                <w:rFonts w:ascii="仿宋" w:hAnsi="仿宋" w:eastAsia="仿宋"/>
                <w:kern w:val="0"/>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经济效益</w:t>
            </w:r>
          </w:p>
          <w:p>
            <w:pPr>
              <w:widowControl/>
              <w:spacing w:line="240" w:lineRule="exact"/>
              <w:jc w:val="center"/>
              <w:rPr>
                <w:rFonts w:ascii="仿宋" w:hAnsi="仿宋" w:eastAsia="仿宋"/>
                <w:kern w:val="0"/>
                <w:sz w:val="24"/>
              </w:rPr>
            </w:pPr>
            <w:r>
              <w:rPr>
                <w:rFonts w:hint="eastAsia" w:ascii="仿宋" w:hAnsi="仿宋" w:eastAsia="仿宋"/>
                <w:kern w:val="0"/>
                <w:sz w:val="24"/>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社会效益</w:t>
            </w:r>
          </w:p>
          <w:p>
            <w:pPr>
              <w:widowControl/>
              <w:spacing w:line="240" w:lineRule="exact"/>
              <w:jc w:val="center"/>
              <w:rPr>
                <w:rFonts w:ascii="仿宋" w:hAnsi="仿宋" w:eastAsia="仿宋"/>
                <w:kern w:val="0"/>
                <w:sz w:val="24"/>
              </w:rPr>
            </w:pPr>
            <w:r>
              <w:rPr>
                <w:rFonts w:hint="eastAsia" w:ascii="仿宋" w:hAnsi="仿宋" w:eastAsia="仿宋"/>
                <w:kern w:val="0"/>
                <w:sz w:val="24"/>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生态效益</w:t>
            </w:r>
          </w:p>
          <w:p>
            <w:pPr>
              <w:widowControl/>
              <w:spacing w:line="240" w:lineRule="exact"/>
              <w:jc w:val="center"/>
              <w:rPr>
                <w:rFonts w:ascii="仿宋" w:hAnsi="仿宋" w:eastAsia="仿宋"/>
                <w:kern w:val="0"/>
                <w:sz w:val="24"/>
              </w:rPr>
            </w:pPr>
            <w:r>
              <w:rPr>
                <w:rFonts w:hint="eastAsia" w:ascii="仿宋" w:hAnsi="仿宋" w:eastAsia="仿宋"/>
                <w:kern w:val="0"/>
                <w:sz w:val="24"/>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可持续影响</w:t>
            </w:r>
          </w:p>
          <w:p>
            <w:pPr>
              <w:widowControl/>
              <w:spacing w:line="240" w:lineRule="exact"/>
              <w:jc w:val="center"/>
              <w:rPr>
                <w:rFonts w:ascii="仿宋" w:hAnsi="仿宋" w:eastAsia="仿宋"/>
                <w:kern w:val="0"/>
                <w:sz w:val="24"/>
              </w:rPr>
            </w:pPr>
            <w:r>
              <w:rPr>
                <w:rFonts w:hint="eastAsia" w:ascii="仿宋" w:hAnsi="仿宋" w:eastAsia="仿宋"/>
                <w:kern w:val="0"/>
                <w:sz w:val="24"/>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r>
              <w:rPr>
                <w:rFonts w:hint="eastAsia" w:ascii="仿宋" w:hAnsi="仿宋" w:eastAsia="仿宋"/>
                <w:kern w:val="0"/>
                <w:sz w:val="24"/>
                <w:lang w:bidi="zh-CN"/>
              </w:rPr>
              <w:t>职工工作效果</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显著</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显著</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r>
              <w:rPr>
                <w:rFonts w:hint="eastAsia" w:ascii="仿宋" w:hAnsi="仿宋" w:eastAsia="仿宋"/>
                <w:kern w:val="0"/>
                <w:sz w:val="24"/>
                <w:lang w:bidi="zh-CN"/>
              </w:rPr>
              <w:t>群众办事成效</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满意度</w:t>
            </w:r>
          </w:p>
          <w:p>
            <w:pPr>
              <w:widowControl/>
              <w:spacing w:line="240" w:lineRule="exact"/>
              <w:jc w:val="center"/>
              <w:rPr>
                <w:rFonts w:ascii="仿宋" w:hAnsi="仿宋" w:eastAsia="仿宋"/>
                <w:kern w:val="0"/>
                <w:sz w:val="24"/>
              </w:rPr>
            </w:pPr>
            <w:r>
              <w:rPr>
                <w:rFonts w:hint="eastAsia" w:ascii="仿宋" w:hAnsi="仿宋" w:eastAsia="仿宋"/>
                <w:kern w:val="0"/>
                <w:sz w:val="24"/>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指标1：</w:t>
            </w:r>
            <w:r>
              <w:rPr>
                <w:rFonts w:hint="eastAsia" w:ascii="仿宋" w:hAnsi="仿宋" w:eastAsia="仿宋"/>
                <w:kern w:val="0"/>
                <w:sz w:val="24"/>
                <w:lang w:bidi="zh-CN"/>
              </w:rPr>
              <w:t>内部职工满意度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lang w:bidi="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lang w:bidi="zh-CN"/>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nil"/>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指标2：</w:t>
            </w:r>
            <w:r>
              <w:rPr>
                <w:rFonts w:hint="eastAsia" w:ascii="仿宋" w:hAnsi="仿宋" w:eastAsia="仿宋"/>
                <w:kern w:val="0"/>
                <w:sz w:val="24"/>
                <w:lang w:bidi="zh-CN"/>
              </w:rPr>
              <w:t>服务对象满意度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lang w:bidi="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lang w:bidi="zh-CN"/>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sz w:val="24"/>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hAnsi="仿宋" w:eastAsia="仿宋"/>
                <w:kern w:val="0"/>
                <w:sz w:val="24"/>
              </w:rPr>
            </w:pPr>
            <w:r>
              <w:rPr>
                <w:rFonts w:hint="eastAsia" w:ascii="仿宋" w:hAnsi="仿宋" w:eastAsia="仿宋"/>
                <w:kern w:val="0"/>
                <w:sz w:val="24"/>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r>
        <w:tblPrEx>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93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hAnsi="仿宋" w:eastAsia="仿宋"/>
                <w:kern w:val="0"/>
                <w:sz w:val="24"/>
              </w:rPr>
            </w:pPr>
          </w:p>
        </w:tc>
      </w:tr>
    </w:tbl>
    <w:p>
      <w:pPr>
        <w:adjustRightInd w:val="0"/>
        <w:snapToGrid w:val="0"/>
        <w:spacing w:after="0" w:line="580" w:lineRule="exact"/>
        <w:rPr>
          <w:rFonts w:ascii="仿宋_GB2312" w:eastAsia="仿宋_GB2312" w:cs="DengXian-Regular"/>
          <w:sz w:val="32"/>
          <w:szCs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本部门2019年度机关运行经费支出63.98万元，</w:t>
      </w:r>
      <w:r>
        <w:rPr>
          <w:rFonts w:hint="eastAsia" w:ascii="仿宋_GB2312" w:eastAsia="仿宋_GB2312" w:cs="DengXian-Regular"/>
          <w:b w:val="0"/>
          <w:bCs w:val="0"/>
          <w:sz w:val="32"/>
          <w:szCs w:val="32"/>
        </w:rPr>
        <w:t>比</w:t>
      </w:r>
      <w:r>
        <w:rPr>
          <w:rFonts w:hint="eastAsia" w:ascii="仿宋_GB2312" w:eastAsia="仿宋_GB2312" w:cs="DengXian-Regular"/>
          <w:b w:val="0"/>
          <w:bCs w:val="0"/>
          <w:sz w:val="32"/>
          <w:szCs w:val="32"/>
          <w:lang w:val="en-US" w:eastAsia="zh-CN"/>
        </w:rPr>
        <w:t>2018年增加了5.78</w:t>
      </w:r>
      <w:r>
        <w:rPr>
          <w:rFonts w:hint="eastAsia" w:ascii="仿宋_GB2312" w:eastAsia="仿宋_GB2312" w:cs="DengXian-Regular"/>
          <w:b w:val="0"/>
          <w:bCs w:val="0"/>
          <w:sz w:val="32"/>
          <w:szCs w:val="32"/>
        </w:rPr>
        <w:t>万元，</w:t>
      </w:r>
      <w:r>
        <w:rPr>
          <w:rFonts w:hint="eastAsia" w:ascii="仿宋_GB2312" w:eastAsia="仿宋_GB2312" w:cs="DengXian-Regular"/>
          <w:b w:val="0"/>
          <w:bCs w:val="0"/>
          <w:sz w:val="32"/>
          <w:szCs w:val="32"/>
          <w:lang w:eastAsia="zh-CN"/>
        </w:rPr>
        <w:t>增长</w:t>
      </w:r>
      <w:r>
        <w:rPr>
          <w:rFonts w:hint="eastAsia" w:ascii="仿宋_GB2312" w:eastAsia="仿宋_GB2312" w:cs="DengXian-Regular"/>
          <w:b w:val="0"/>
          <w:bCs w:val="0"/>
          <w:sz w:val="32"/>
          <w:szCs w:val="32"/>
          <w:lang w:val="en-US" w:eastAsia="zh-CN"/>
        </w:rPr>
        <w:t>9</w:t>
      </w:r>
      <w:r>
        <w:rPr>
          <w:rFonts w:hint="eastAsia" w:ascii="仿宋_GB2312" w:eastAsia="仿宋_GB2312" w:cs="DengXian-Regular"/>
          <w:b w:val="0"/>
          <w:bCs w:val="0"/>
          <w:sz w:val="32"/>
          <w:szCs w:val="32"/>
        </w:rPr>
        <w:t xml:space="preserve"> </w:t>
      </w:r>
      <w:r>
        <w:rPr>
          <w:rFonts w:eastAsia="仿宋_GB2312"/>
          <w:b w:val="0"/>
          <w:bCs w:val="0"/>
          <w:sz w:val="32"/>
          <w:szCs w:val="32"/>
        </w:rPr>
        <w:t>%</w:t>
      </w:r>
      <w:r>
        <w:rPr>
          <w:rFonts w:hint="eastAsia" w:ascii="仿宋_GB2312" w:eastAsia="仿宋_GB2312" w:cs="DengXian-Regular"/>
          <w:b w:val="0"/>
          <w:bCs w:val="0"/>
          <w:sz w:val="32"/>
          <w:szCs w:val="32"/>
        </w:rPr>
        <w:t>。主要是人员增加</w:t>
      </w:r>
      <w:r>
        <w:rPr>
          <w:rFonts w:hint="eastAsia" w:ascii="宋体" w:hAnsi="宋体" w:cs="宋体"/>
          <w:b w:val="0"/>
          <w:bCs w:val="0"/>
          <w:sz w:val="32"/>
          <w:szCs w:val="32"/>
        </w:rPr>
        <w:t>、</w:t>
      </w:r>
      <w:r>
        <w:rPr>
          <w:rFonts w:hint="eastAsia" w:ascii="仿宋_GB2312" w:eastAsia="仿宋_GB2312" w:cs="DengXian-Regular"/>
          <w:b w:val="0"/>
          <w:bCs w:val="0"/>
          <w:sz w:val="32"/>
          <w:szCs w:val="32"/>
        </w:rPr>
        <w:t>业务量增加</w:t>
      </w:r>
      <w:r>
        <w:rPr>
          <w:rFonts w:hint="eastAsia" w:ascii="仿宋_GB2312" w:eastAsia="仿宋_GB2312" w:cs="DengXian-Regular"/>
          <w:sz w:val="32"/>
          <w:szCs w:val="32"/>
        </w:rPr>
        <w:t>造成经费支出变动。</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本部门2019年度政府采购支出总额196.5万元，从采购类型来看，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34.5</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162</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2辆。其中，副部（省）级及以上领导用车0辆，主要领导干部用车0辆，机要通信用车2辆，应急保障用车0辆，执法执勤用车0辆，特种专业技术用车0辆，离退休干部用车0辆，其他用车0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1、本部门2019年度结转结余25.43万元</w:t>
      </w:r>
      <w:r>
        <w:rPr>
          <w:rFonts w:hint="eastAsia" w:ascii="仿宋_GB2312" w:eastAsia="仿宋_GB2312" w:cs="DengXian-Regular" w:hAnsiTheme="minorHAnsi"/>
          <w:sz w:val="32"/>
          <w:szCs w:val="32"/>
        </w:rPr>
        <w:t>，结转资金为社会稳定风险评估费3.85万元、备案一体机、服务器版杀毒软件费用尾款1.78万元、研发投资项目并联审批系统费用19.8万元</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asciiTheme="minorEastAsia" w:hAnsiTheme="minorEastAsia" w:eastAsiaTheme="minorEastAsia"/>
          <w:color w:val="000000" w:themeColor="text1"/>
          <w:sz w:val="72"/>
          <w:szCs w:val="72"/>
        </w:rPr>
      </w:pPr>
      <w:r>
        <w:rPr>
          <w:rFonts w:hint="eastAsia" w:asciiTheme="minorEastAsia" w:hAnsiTheme="minorEastAsia" w:eastAsiaTheme="minorEastAsia"/>
          <w:color w:val="000000" w:themeColor="text1"/>
          <w:sz w:val="72"/>
          <w:szCs w:val="72"/>
        </w:rPr>
        <w:t>第三部分</w:t>
      </w:r>
    </w:p>
    <w:p>
      <w:pPr>
        <w:widowControl/>
        <w:spacing w:line="1200" w:lineRule="exact"/>
        <w:jc w:val="center"/>
        <w:rPr>
          <w:rFonts w:asciiTheme="minorEastAsia" w:hAnsiTheme="minorEastAsia" w:eastAsiaTheme="minorEastAsia"/>
          <w:color w:val="000000" w:themeColor="text1"/>
          <w:sz w:val="72"/>
          <w:szCs w:val="72"/>
        </w:rPr>
      </w:pPr>
      <w:r>
        <w:rPr>
          <w:rFonts w:hint="eastAsia" w:asciiTheme="minorEastAsia" w:hAnsiTheme="minorEastAsia" w:eastAsiaTheme="minorEastAsia"/>
          <w:color w:val="000000" w:themeColor="text1"/>
          <w:sz w:val="72"/>
          <w:szCs w:val="72"/>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line="360" w:lineRule="auto"/>
        <w:jc w:val="center"/>
        <w:rPr>
          <w:rFonts w:asciiTheme="minorEastAsia" w:hAnsiTheme="minorEastAsia" w:eastAsiaTheme="minorEastAsia"/>
          <w:color w:val="000000" w:themeColor="text1"/>
          <w:sz w:val="72"/>
          <w:szCs w:val="72"/>
        </w:rPr>
      </w:pPr>
      <w:r>
        <w:rPr>
          <w:rFonts w:hint="eastAsia" w:asciiTheme="minorEastAsia" w:hAnsiTheme="minorEastAsia" w:eastAsiaTheme="minorEastAsia"/>
          <w:color w:val="000000" w:themeColor="text1"/>
          <w:sz w:val="72"/>
          <w:szCs w:val="72"/>
        </w:rPr>
        <w:t>第四部分</w:t>
      </w:r>
    </w:p>
    <w:p>
      <w:pPr>
        <w:widowControl/>
        <w:spacing w:after="0" w:line="360" w:lineRule="auto"/>
        <w:jc w:val="center"/>
        <w:rPr>
          <w:rFonts w:cs="ArialUnicodeMS" w:asciiTheme="minorEastAsia" w:hAnsiTheme="minorEastAsia" w:eastAsiaTheme="minorEastAsia"/>
          <w:kern w:val="0"/>
          <w:sz w:val="72"/>
          <w:szCs w:val="72"/>
        </w:rPr>
      </w:pPr>
      <w:r>
        <w:rPr>
          <w:rFonts w:hint="eastAsia" w:cs="ArialUnicodeMS" w:asciiTheme="minorEastAsia" w:hAnsiTheme="minorEastAsia" w:eastAsiaTheme="minorEastAsia"/>
          <w:kern w:val="0"/>
          <w:sz w:val="72"/>
          <w:szCs w:val="72"/>
        </w:rPr>
        <w:t>2019年度部门决算报表</w:t>
      </w:r>
    </w:p>
    <w:p>
      <w:pPr>
        <w:widowControl/>
        <w:spacing w:after="0" w:line="360" w:lineRule="auto"/>
        <w:jc w:val="center"/>
        <w:rPr>
          <w:rFonts w:cs="ArialUnicodeMS" w:asciiTheme="minorEastAsia" w:hAnsiTheme="minorEastAsia" w:eastAsiaTheme="minorEastAsia"/>
          <w:kern w:val="0"/>
          <w:sz w:val="72"/>
          <w:szCs w:val="72"/>
        </w:rPr>
      </w:pPr>
      <w:r>
        <w:rPr>
          <w:rFonts w:hint="eastAsia" w:cs="ArialUnicodeMS" w:asciiTheme="minorEastAsia" w:hAnsiTheme="minorEastAsia" w:eastAsiaTheme="minorEastAsia"/>
          <w:kern w:val="0"/>
          <w:sz w:val="72"/>
          <w:szCs w:val="72"/>
        </w:rPr>
        <w:t>（见附表）</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72506A-188E-43C9-935C-8027D7D7C02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DFE3053-7B85-4B22-AC56-EF8AFD2D6F29}"/>
  </w:font>
  <w:font w:name="Cambria">
    <w:panose1 w:val="02040503050406030204"/>
    <w:charset w:val="00"/>
    <w:family w:val="roman"/>
    <w:pitch w:val="default"/>
    <w:sig w:usb0="E00002FF" w:usb1="400004FF" w:usb2="00000000" w:usb3="00000000" w:csb0="2000019F" w:csb1="00000000"/>
    <w:embedRegular r:id="rId3" w:fontKey="{B7F67051-EA6E-4E61-BAA6-A7E49F692E34}"/>
  </w:font>
  <w:font w:name="楷体">
    <w:panose1 w:val="02010609060101010101"/>
    <w:charset w:val="86"/>
    <w:family w:val="modern"/>
    <w:pitch w:val="default"/>
    <w:sig w:usb0="800002BF" w:usb1="38CF7CFA" w:usb2="00000016" w:usb3="00000000" w:csb0="00040001" w:csb1="00000000"/>
    <w:embedRegular r:id="rId4" w:fontKey="{AC6EDBBF-E885-4A13-ACC3-18BE6F371AD4}"/>
  </w:font>
  <w:font w:name="仿宋_GB2312">
    <w:panose1 w:val="02010609030101010101"/>
    <w:charset w:val="86"/>
    <w:family w:val="modern"/>
    <w:pitch w:val="default"/>
    <w:sig w:usb0="00000001" w:usb1="080E0000" w:usb2="00000000" w:usb3="00000000" w:csb0="00040000" w:csb1="00000000"/>
    <w:embedRegular r:id="rId5" w:fontKey="{186B6024-C6A9-4AF3-A835-25D3F6392965}"/>
  </w:font>
  <w:font w:name="仿宋">
    <w:panose1 w:val="02010609060101010101"/>
    <w:charset w:val="86"/>
    <w:family w:val="modern"/>
    <w:pitch w:val="default"/>
    <w:sig w:usb0="800002BF" w:usb1="38CF7CFA" w:usb2="00000016" w:usb3="00000000" w:csb0="00040001" w:csb1="00000000"/>
    <w:embedRegular r:id="rId6" w:fontKey="{CCA3CDC1-F028-4932-87DD-F1557CD4484F}"/>
  </w:font>
  <w:font w:name="ArialUnicodeMS">
    <w:altName w:val="Malgun Gothic"/>
    <w:panose1 w:val="00000000000000000000"/>
    <w:charset w:val="81"/>
    <w:family w:val="auto"/>
    <w:pitch w:val="default"/>
    <w:sig w:usb0="00000000" w:usb1="00000000" w:usb2="00000010" w:usb3="00000000" w:csb0="00080001" w:csb1="00000000"/>
    <w:embedRegular r:id="rId7" w:fontKey="{FA3C68DB-2B96-435D-8575-609968249182}"/>
  </w:font>
  <w:font w:name="MS-UIGothic,Bold">
    <w:altName w:val="Malgun Gothic"/>
    <w:panose1 w:val="00000000000000000000"/>
    <w:charset w:val="81"/>
    <w:family w:val="auto"/>
    <w:pitch w:val="default"/>
    <w:sig w:usb0="00000000" w:usb1="00000000" w:usb2="00000010" w:usb3="00000000" w:csb0="00080000" w:csb1="00000000"/>
    <w:embedRegular r:id="rId8" w:fontKey="{19B851DD-0E36-4CAE-A20B-B39E35CBEC51}"/>
  </w:font>
  <w:font w:name="DengXian-Regular">
    <w:altName w:val="宋体"/>
    <w:panose1 w:val="00000000000000000000"/>
    <w:charset w:val="86"/>
    <w:family w:val="auto"/>
    <w:pitch w:val="default"/>
    <w:sig w:usb0="00000000" w:usb1="00000000" w:usb2="00000010" w:usb3="00000000" w:csb0="00040001" w:csb1="00000000"/>
    <w:embedRegular r:id="rId9" w:fontKey="{A2C63E9E-3203-4B42-A5AA-18CEBB6AC457}"/>
  </w:font>
  <w:font w:name="楷体_GB2312">
    <w:panose1 w:val="02010609030101010101"/>
    <w:charset w:val="86"/>
    <w:family w:val="modern"/>
    <w:pitch w:val="default"/>
    <w:sig w:usb0="00000001" w:usb1="080E0000" w:usb2="00000000" w:usb3="00000000" w:csb0="00040000" w:csb1="00000000"/>
    <w:embedRegular r:id="rId10" w:fontKey="{96DE5CBD-6590-4579-8853-D04A110ABAAE}"/>
  </w:font>
  <w:font w:name="DengXian-Bold">
    <w:altName w:val="宋体"/>
    <w:panose1 w:val="00000000000000000000"/>
    <w:charset w:val="86"/>
    <w:family w:val="auto"/>
    <w:pitch w:val="default"/>
    <w:sig w:usb0="00000000" w:usb1="00000000" w:usb2="00000010" w:usb3="00000000" w:csb0="00040001" w:csb1="00000000"/>
    <w:embedRegular r:id="rId11" w:fontKey="{04DA4A18-3333-4906-9187-18F78F6A75C5}"/>
  </w:font>
  <w:font w:name="方正仿宋简体">
    <w:altName w:val="宋体"/>
    <w:panose1 w:val="00000000000000000000"/>
    <w:charset w:val="86"/>
    <w:family w:val="auto"/>
    <w:pitch w:val="default"/>
    <w:sig w:usb0="00000000" w:usb1="00000000" w:usb2="00000010" w:usb3="00000000" w:csb0="00040000" w:csb1="00000000"/>
    <w:embedRegular r:id="rId12" w:fontKey="{BF0A79F1-2684-4D33-981D-E6F10636F315}"/>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NhMWJiZjk4ZmE4NzhiNjE2MzdkYzFmM2RiMTliZGYifQ=="/>
  </w:docVars>
  <w:rsids>
    <w:rsidRoot w:val="003C1413"/>
    <w:rsid w:val="000125BF"/>
    <w:rsid w:val="00020FAF"/>
    <w:rsid w:val="00022474"/>
    <w:rsid w:val="00024E7F"/>
    <w:rsid w:val="000270A7"/>
    <w:rsid w:val="00036BFE"/>
    <w:rsid w:val="00042763"/>
    <w:rsid w:val="000475A0"/>
    <w:rsid w:val="00067693"/>
    <w:rsid w:val="000838C3"/>
    <w:rsid w:val="000B2446"/>
    <w:rsid w:val="000D7C65"/>
    <w:rsid w:val="000E2F81"/>
    <w:rsid w:val="000E6F9F"/>
    <w:rsid w:val="00101F8D"/>
    <w:rsid w:val="00117946"/>
    <w:rsid w:val="00117E2C"/>
    <w:rsid w:val="00120031"/>
    <w:rsid w:val="00146C47"/>
    <w:rsid w:val="00152FB8"/>
    <w:rsid w:val="00176658"/>
    <w:rsid w:val="0018239E"/>
    <w:rsid w:val="00194AB3"/>
    <w:rsid w:val="00196168"/>
    <w:rsid w:val="001B3410"/>
    <w:rsid w:val="001B7503"/>
    <w:rsid w:val="001C030D"/>
    <w:rsid w:val="001C3F23"/>
    <w:rsid w:val="001C4A84"/>
    <w:rsid w:val="001C65FB"/>
    <w:rsid w:val="001C6863"/>
    <w:rsid w:val="001E5902"/>
    <w:rsid w:val="0022316E"/>
    <w:rsid w:val="00233705"/>
    <w:rsid w:val="0024358E"/>
    <w:rsid w:val="00244B24"/>
    <w:rsid w:val="00246D99"/>
    <w:rsid w:val="0025572B"/>
    <w:rsid w:val="00257266"/>
    <w:rsid w:val="0026029D"/>
    <w:rsid w:val="00262306"/>
    <w:rsid w:val="002633A6"/>
    <w:rsid w:val="00275CA2"/>
    <w:rsid w:val="00281E61"/>
    <w:rsid w:val="002A1E66"/>
    <w:rsid w:val="002A3FFA"/>
    <w:rsid w:val="002A65A5"/>
    <w:rsid w:val="002B7D79"/>
    <w:rsid w:val="002C04C4"/>
    <w:rsid w:val="002D08B0"/>
    <w:rsid w:val="002D1AE3"/>
    <w:rsid w:val="002E4638"/>
    <w:rsid w:val="002F2ECE"/>
    <w:rsid w:val="00341C8F"/>
    <w:rsid w:val="003526EA"/>
    <w:rsid w:val="00352A5C"/>
    <w:rsid w:val="0035463A"/>
    <w:rsid w:val="00356220"/>
    <w:rsid w:val="00362BAE"/>
    <w:rsid w:val="00391D9D"/>
    <w:rsid w:val="003A738F"/>
    <w:rsid w:val="003B6C51"/>
    <w:rsid w:val="003C1413"/>
    <w:rsid w:val="003C549F"/>
    <w:rsid w:val="003D5A16"/>
    <w:rsid w:val="003E5464"/>
    <w:rsid w:val="003E7DB3"/>
    <w:rsid w:val="003F5625"/>
    <w:rsid w:val="00431175"/>
    <w:rsid w:val="004374A3"/>
    <w:rsid w:val="00443268"/>
    <w:rsid w:val="00445FA2"/>
    <w:rsid w:val="004519A3"/>
    <w:rsid w:val="00493686"/>
    <w:rsid w:val="004B6E37"/>
    <w:rsid w:val="004C32BA"/>
    <w:rsid w:val="004C68EF"/>
    <w:rsid w:val="004E1F84"/>
    <w:rsid w:val="004F245F"/>
    <w:rsid w:val="004F2F70"/>
    <w:rsid w:val="00500AAA"/>
    <w:rsid w:val="00502E7B"/>
    <w:rsid w:val="00534DD0"/>
    <w:rsid w:val="00544EBA"/>
    <w:rsid w:val="00550A12"/>
    <w:rsid w:val="005707FE"/>
    <w:rsid w:val="00575120"/>
    <w:rsid w:val="00575922"/>
    <w:rsid w:val="005A3C0D"/>
    <w:rsid w:val="005A6C90"/>
    <w:rsid w:val="005B0E42"/>
    <w:rsid w:val="005B37E6"/>
    <w:rsid w:val="005E3FB0"/>
    <w:rsid w:val="005E5792"/>
    <w:rsid w:val="005F13D8"/>
    <w:rsid w:val="005F4B66"/>
    <w:rsid w:val="005F5208"/>
    <w:rsid w:val="006061A9"/>
    <w:rsid w:val="00606450"/>
    <w:rsid w:val="00615C31"/>
    <w:rsid w:val="00641318"/>
    <w:rsid w:val="0064405D"/>
    <w:rsid w:val="00655679"/>
    <w:rsid w:val="00662F69"/>
    <w:rsid w:val="00695557"/>
    <w:rsid w:val="00695B68"/>
    <w:rsid w:val="006D08A4"/>
    <w:rsid w:val="006D323B"/>
    <w:rsid w:val="006D34D1"/>
    <w:rsid w:val="006D4BFA"/>
    <w:rsid w:val="006D4EA7"/>
    <w:rsid w:val="0070012A"/>
    <w:rsid w:val="0070664B"/>
    <w:rsid w:val="007071B8"/>
    <w:rsid w:val="007155C2"/>
    <w:rsid w:val="007414DE"/>
    <w:rsid w:val="00760C0C"/>
    <w:rsid w:val="00774F98"/>
    <w:rsid w:val="007905A9"/>
    <w:rsid w:val="0079338E"/>
    <w:rsid w:val="007A2F85"/>
    <w:rsid w:val="007A641A"/>
    <w:rsid w:val="007C47AE"/>
    <w:rsid w:val="007D35C2"/>
    <w:rsid w:val="007E072B"/>
    <w:rsid w:val="007E5500"/>
    <w:rsid w:val="007F055B"/>
    <w:rsid w:val="008044AB"/>
    <w:rsid w:val="00811ADB"/>
    <w:rsid w:val="00811C2F"/>
    <w:rsid w:val="0081388B"/>
    <w:rsid w:val="00815C09"/>
    <w:rsid w:val="00833D46"/>
    <w:rsid w:val="00836215"/>
    <w:rsid w:val="00840A97"/>
    <w:rsid w:val="00857D5E"/>
    <w:rsid w:val="00872B02"/>
    <w:rsid w:val="00873292"/>
    <w:rsid w:val="008930C4"/>
    <w:rsid w:val="008A640A"/>
    <w:rsid w:val="008C0149"/>
    <w:rsid w:val="008C78D7"/>
    <w:rsid w:val="008D3101"/>
    <w:rsid w:val="008D5DED"/>
    <w:rsid w:val="008E25CA"/>
    <w:rsid w:val="008E5BDC"/>
    <w:rsid w:val="008F2F77"/>
    <w:rsid w:val="008F34FC"/>
    <w:rsid w:val="00935F8C"/>
    <w:rsid w:val="00941EDF"/>
    <w:rsid w:val="00943917"/>
    <w:rsid w:val="00944CD7"/>
    <w:rsid w:val="009538BE"/>
    <w:rsid w:val="00961190"/>
    <w:rsid w:val="00967A63"/>
    <w:rsid w:val="009831B2"/>
    <w:rsid w:val="009A1ABE"/>
    <w:rsid w:val="009E21A4"/>
    <w:rsid w:val="009E5EA1"/>
    <w:rsid w:val="009F12CE"/>
    <w:rsid w:val="009F22C6"/>
    <w:rsid w:val="00A07E50"/>
    <w:rsid w:val="00A12C15"/>
    <w:rsid w:val="00A15397"/>
    <w:rsid w:val="00A169ED"/>
    <w:rsid w:val="00A2512B"/>
    <w:rsid w:val="00A357AA"/>
    <w:rsid w:val="00A35CE0"/>
    <w:rsid w:val="00A35E61"/>
    <w:rsid w:val="00A4462E"/>
    <w:rsid w:val="00A44AA4"/>
    <w:rsid w:val="00A54CEB"/>
    <w:rsid w:val="00A61623"/>
    <w:rsid w:val="00A84687"/>
    <w:rsid w:val="00AA0458"/>
    <w:rsid w:val="00AA23A3"/>
    <w:rsid w:val="00AB0A0E"/>
    <w:rsid w:val="00AD3B6E"/>
    <w:rsid w:val="00AE2DCA"/>
    <w:rsid w:val="00AF6D31"/>
    <w:rsid w:val="00B15616"/>
    <w:rsid w:val="00B1751F"/>
    <w:rsid w:val="00B317F2"/>
    <w:rsid w:val="00B459DC"/>
    <w:rsid w:val="00B50F96"/>
    <w:rsid w:val="00B56722"/>
    <w:rsid w:val="00B640BB"/>
    <w:rsid w:val="00B67044"/>
    <w:rsid w:val="00B67F0A"/>
    <w:rsid w:val="00B74D39"/>
    <w:rsid w:val="00B827C6"/>
    <w:rsid w:val="00B844AA"/>
    <w:rsid w:val="00B91DA4"/>
    <w:rsid w:val="00BA3D73"/>
    <w:rsid w:val="00BA7174"/>
    <w:rsid w:val="00BC15B5"/>
    <w:rsid w:val="00C0120A"/>
    <w:rsid w:val="00C12630"/>
    <w:rsid w:val="00C173B9"/>
    <w:rsid w:val="00C206E2"/>
    <w:rsid w:val="00C34562"/>
    <w:rsid w:val="00C3774E"/>
    <w:rsid w:val="00C524C6"/>
    <w:rsid w:val="00C57456"/>
    <w:rsid w:val="00C61DB3"/>
    <w:rsid w:val="00C65387"/>
    <w:rsid w:val="00C87FAB"/>
    <w:rsid w:val="00C91FF7"/>
    <w:rsid w:val="00C92D15"/>
    <w:rsid w:val="00C94E53"/>
    <w:rsid w:val="00CB0715"/>
    <w:rsid w:val="00CC3983"/>
    <w:rsid w:val="00CC4BCE"/>
    <w:rsid w:val="00CD2565"/>
    <w:rsid w:val="00CD3110"/>
    <w:rsid w:val="00CE3FC3"/>
    <w:rsid w:val="00CE59A7"/>
    <w:rsid w:val="00CF10BE"/>
    <w:rsid w:val="00D0048E"/>
    <w:rsid w:val="00D17603"/>
    <w:rsid w:val="00D221EE"/>
    <w:rsid w:val="00D23E7A"/>
    <w:rsid w:val="00D300F0"/>
    <w:rsid w:val="00D35E7F"/>
    <w:rsid w:val="00D56D8F"/>
    <w:rsid w:val="00D61063"/>
    <w:rsid w:val="00DB015D"/>
    <w:rsid w:val="00DB35AF"/>
    <w:rsid w:val="00DC27D0"/>
    <w:rsid w:val="00DC4BEE"/>
    <w:rsid w:val="00DD72D7"/>
    <w:rsid w:val="00DF5B88"/>
    <w:rsid w:val="00E0589E"/>
    <w:rsid w:val="00E0697F"/>
    <w:rsid w:val="00E076E9"/>
    <w:rsid w:val="00E2240B"/>
    <w:rsid w:val="00E241FA"/>
    <w:rsid w:val="00E2595E"/>
    <w:rsid w:val="00E35374"/>
    <w:rsid w:val="00E50C19"/>
    <w:rsid w:val="00E64655"/>
    <w:rsid w:val="00E73081"/>
    <w:rsid w:val="00E75FAB"/>
    <w:rsid w:val="00E856C9"/>
    <w:rsid w:val="00EA24C3"/>
    <w:rsid w:val="00EA4F68"/>
    <w:rsid w:val="00EA5B96"/>
    <w:rsid w:val="00EB6A8B"/>
    <w:rsid w:val="00EC6814"/>
    <w:rsid w:val="00ED411D"/>
    <w:rsid w:val="00EF38C6"/>
    <w:rsid w:val="00F0403B"/>
    <w:rsid w:val="00F23B2A"/>
    <w:rsid w:val="00F679C7"/>
    <w:rsid w:val="00F7711A"/>
    <w:rsid w:val="00F80C72"/>
    <w:rsid w:val="00FA0D58"/>
    <w:rsid w:val="00FA1580"/>
    <w:rsid w:val="00FA56F4"/>
    <w:rsid w:val="00FB4EDA"/>
    <w:rsid w:val="00FD3BD5"/>
    <w:rsid w:val="00FE2B13"/>
    <w:rsid w:val="00FE3DC8"/>
    <w:rsid w:val="04073F84"/>
    <w:rsid w:val="04551278"/>
    <w:rsid w:val="08467731"/>
    <w:rsid w:val="0A455DAC"/>
    <w:rsid w:val="0B60750A"/>
    <w:rsid w:val="0BDE7EBA"/>
    <w:rsid w:val="10686488"/>
    <w:rsid w:val="10DF728A"/>
    <w:rsid w:val="1264200E"/>
    <w:rsid w:val="141C5B77"/>
    <w:rsid w:val="18D8339D"/>
    <w:rsid w:val="1A21388F"/>
    <w:rsid w:val="1A570D2F"/>
    <w:rsid w:val="1B24684F"/>
    <w:rsid w:val="1C374379"/>
    <w:rsid w:val="1C6C00FE"/>
    <w:rsid w:val="1D675C03"/>
    <w:rsid w:val="1F555553"/>
    <w:rsid w:val="24CD357F"/>
    <w:rsid w:val="25743B2B"/>
    <w:rsid w:val="28F04445"/>
    <w:rsid w:val="28FB0B8D"/>
    <w:rsid w:val="2D2B7942"/>
    <w:rsid w:val="2D46481D"/>
    <w:rsid w:val="2E733B28"/>
    <w:rsid w:val="31852B5A"/>
    <w:rsid w:val="32D01238"/>
    <w:rsid w:val="36B96615"/>
    <w:rsid w:val="3DFC59A8"/>
    <w:rsid w:val="3ECF245E"/>
    <w:rsid w:val="3FB96314"/>
    <w:rsid w:val="407408A3"/>
    <w:rsid w:val="46DB0BA8"/>
    <w:rsid w:val="4EAF048C"/>
    <w:rsid w:val="4EE115B0"/>
    <w:rsid w:val="4F2C5771"/>
    <w:rsid w:val="500B2574"/>
    <w:rsid w:val="53A44FAF"/>
    <w:rsid w:val="57BF3205"/>
    <w:rsid w:val="57E80FDB"/>
    <w:rsid w:val="58612E9E"/>
    <w:rsid w:val="594329EC"/>
    <w:rsid w:val="5BEE1540"/>
    <w:rsid w:val="5DD15274"/>
    <w:rsid w:val="5DE61A5D"/>
    <w:rsid w:val="5F1C2941"/>
    <w:rsid w:val="621953A2"/>
    <w:rsid w:val="63C04243"/>
    <w:rsid w:val="649C01C7"/>
    <w:rsid w:val="66825548"/>
    <w:rsid w:val="699A3F60"/>
    <w:rsid w:val="6BBE0996"/>
    <w:rsid w:val="72902E62"/>
    <w:rsid w:val="73C61104"/>
    <w:rsid w:val="73F829C3"/>
    <w:rsid w:val="776452EA"/>
    <w:rsid w:val="77B30883"/>
    <w:rsid w:val="79971E64"/>
    <w:rsid w:val="7A7C1392"/>
    <w:rsid w:val="7CD240F9"/>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aa\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a\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a\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aa\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Sheet1!$A$1:$B$1</c:f>
              <c:strCache>
                <c:ptCount val="2"/>
                <c:pt idx="0">
                  <c:v>基本支出</c:v>
                </c:pt>
                <c:pt idx="1">
                  <c:v>项目支出</c:v>
                </c:pt>
              </c:strCache>
            </c:strRef>
          </c:cat>
          <c:val>
            <c:numRef>
              <c:f>Sheet1!$A$2:$B$2</c:f>
              <c:numCache>
                <c:formatCode>0.00%</c:formatCode>
                <c:ptCount val="2"/>
                <c:pt idx="0">
                  <c:v>0.534</c:v>
                </c:pt>
                <c:pt idx="1">
                  <c:v>0.466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0000"/>
            </a:solidFill>
          </c:spPr>
          <c:invertIfNegative val="0"/>
          <c:dPt>
            <c:idx val="0"/>
            <c:invertIfNegative val="0"/>
            <c:bubble3D val="0"/>
            <c:spPr>
              <a:solidFill>
                <a:srgbClr val="C00000"/>
              </a:solidFill>
            </c:spPr>
          </c:dPt>
          <c:dPt>
            <c:idx val="1"/>
            <c:invertIfNegative val="0"/>
            <c:bubble3D val="0"/>
            <c:spPr>
              <a:solidFill>
                <a:srgbClr val="FFFF00"/>
              </a:solidFill>
            </c:spPr>
          </c:dPt>
          <c:dPt>
            <c:idx val="2"/>
            <c:invertIfNegative val="0"/>
            <c:bubble3D val="0"/>
            <c:spPr>
              <a:solidFill>
                <a:srgbClr val="00B05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Sheet1!$A$1:$D$1</c:f>
              <c:strCache>
                <c:ptCount val="4"/>
                <c:pt idx="0">
                  <c:v>2019年决算收入</c:v>
                </c:pt>
                <c:pt idx="1">
                  <c:v>2018年决算收入</c:v>
                </c:pt>
                <c:pt idx="2">
                  <c:v>2019年决算支出</c:v>
                </c:pt>
                <c:pt idx="3">
                  <c:v>2018年决算支出</c:v>
                </c:pt>
              </c:strCache>
            </c:strRef>
          </c:cat>
          <c:val>
            <c:numRef>
              <c:f>Sheet1!$A$2:$D$2</c:f>
              <c:numCache>
                <c:formatCode>General</c:formatCode>
                <c:ptCount val="4"/>
                <c:pt idx="0">
                  <c:v>831.41</c:v>
                </c:pt>
                <c:pt idx="1">
                  <c:v>709.04</c:v>
                </c:pt>
                <c:pt idx="2">
                  <c:v>829.21</c:v>
                </c:pt>
                <c:pt idx="3">
                  <c:v>632.14</c:v>
                </c:pt>
              </c:numCache>
            </c:numRef>
          </c:val>
        </c:ser>
        <c:dLbls>
          <c:showLegendKey val="0"/>
          <c:showVal val="1"/>
          <c:showCatName val="0"/>
          <c:showSerName val="0"/>
          <c:showPercent val="0"/>
          <c:showBubbleSize val="0"/>
        </c:dLbls>
        <c:gapWidth val="150"/>
        <c:axId val="134217088"/>
        <c:axId val="54019200"/>
      </c:barChart>
      <c:catAx>
        <c:axId val="134217088"/>
        <c:scaling>
          <c:orientation val="minMax"/>
        </c:scaling>
        <c:delete val="1"/>
        <c:axPos val="b"/>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019200"/>
        <c:crosses val="autoZero"/>
        <c:auto val="1"/>
        <c:lblAlgn val="ctr"/>
        <c:lblOffset val="100"/>
        <c:noMultiLvlLbl val="0"/>
      </c:catAx>
      <c:valAx>
        <c:axId val="540192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42170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50"/>
            </a:solidFill>
          </c:spPr>
          <c:invertIfNegative val="0"/>
          <c:dPt>
            <c:idx val="1"/>
            <c:invertIfNegative val="0"/>
            <c:bubble3D val="0"/>
            <c:spPr>
              <a:solidFill>
                <a:srgbClr val="FFFF00"/>
              </a:solidFill>
            </c:spPr>
          </c:dPt>
          <c:dPt>
            <c:idx val="2"/>
            <c:invertIfNegative val="0"/>
            <c:bubble3D val="0"/>
            <c:spPr>
              <a:solidFill>
                <a:srgbClr val="7030A0"/>
              </a:solidFill>
            </c:spPr>
          </c:dPt>
          <c:dPt>
            <c:idx val="3"/>
            <c:invertIfNegative val="0"/>
            <c:bubble3D val="0"/>
            <c:spPr>
              <a:solidFill>
                <a:srgbClr val="FF0000"/>
              </a:solidFill>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Sheet1!$A$1:$D$1</c:f>
              <c:strCache>
                <c:ptCount val="4"/>
                <c:pt idx="0">
                  <c:v>2019年决算收入</c:v>
                </c:pt>
                <c:pt idx="1">
                  <c:v>2019年预算收入</c:v>
                </c:pt>
                <c:pt idx="2">
                  <c:v>2019年决算支出</c:v>
                </c:pt>
                <c:pt idx="3">
                  <c:v>2019年预算支出</c:v>
                </c:pt>
              </c:strCache>
            </c:strRef>
          </c:cat>
          <c:val>
            <c:numRef>
              <c:f>Sheet1!$A$2:$D$2</c:f>
              <c:numCache>
                <c:formatCode>General</c:formatCode>
                <c:ptCount val="4"/>
                <c:pt idx="0">
                  <c:v>831.41</c:v>
                </c:pt>
                <c:pt idx="1">
                  <c:v>516.280000000001</c:v>
                </c:pt>
                <c:pt idx="2">
                  <c:v>829.21</c:v>
                </c:pt>
                <c:pt idx="3">
                  <c:v>516.280000000001</c:v>
                </c:pt>
              </c:numCache>
            </c:numRef>
          </c:val>
        </c:ser>
        <c:dLbls>
          <c:showLegendKey val="0"/>
          <c:showVal val="0"/>
          <c:showCatName val="0"/>
          <c:showSerName val="0"/>
          <c:showPercent val="0"/>
          <c:showBubbleSize val="0"/>
        </c:dLbls>
        <c:gapWidth val="150"/>
        <c:axId val="54040448"/>
        <c:axId val="54041984"/>
      </c:barChart>
      <c:catAx>
        <c:axId val="54040448"/>
        <c:scaling>
          <c:orientation val="minMax"/>
        </c:scaling>
        <c:delete val="1"/>
        <c:axPos val="b"/>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041984"/>
        <c:crosses val="autoZero"/>
        <c:auto val="1"/>
        <c:lblAlgn val="ctr"/>
        <c:lblOffset val="100"/>
        <c:noMultiLvlLbl val="0"/>
      </c:catAx>
      <c:valAx>
        <c:axId val="540419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0404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3"/>
          <c:dPt>
            <c:idx val="0"/>
            <c:bubble3D val="0"/>
          </c:dPt>
          <c:dPt>
            <c:idx val="1"/>
            <c:bubble3D val="0"/>
          </c:dPt>
          <c:dPt>
            <c:idx val="2"/>
            <c:bubble3D val="0"/>
          </c:dPt>
          <c:dPt>
            <c:idx val="3"/>
            <c:bubble3D val="0"/>
          </c:dPt>
          <c:dPt>
            <c:idx val="4"/>
            <c:bubble3D val="0"/>
          </c:dPt>
          <c:dPt>
            <c:idx val="5"/>
            <c:bubble3D val="0"/>
          </c:dPt>
          <c:dLbls>
            <c:dLbl>
              <c:idx val="1"/>
              <c:layout>
                <c:manualLayout>
                  <c:x val="-0.0566885389326334"/>
                  <c:y val="0.01637284922717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099956255468"/>
                  <c:y val="-0.01440288713910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15780839895"/>
                  <c:y val="-0.030879265091863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85277777777778"/>
                  <c:y val="0.08758019830854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rgbClr val="7030A0"/>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Sheet1!$A$1:$F$1</c:f>
              <c:strCache>
                <c:ptCount val="6"/>
                <c:pt idx="0">
                  <c:v>一般公共服务支出</c:v>
                </c:pt>
                <c:pt idx="1">
                  <c:v>社会保障和就业支出</c:v>
                </c:pt>
                <c:pt idx="2">
                  <c:v>医疗卫生与计划生育支出</c:v>
                </c:pt>
                <c:pt idx="3">
                  <c:v>扶贫支出</c:v>
                </c:pt>
                <c:pt idx="4">
                  <c:v>农村综合改革支出</c:v>
                </c:pt>
                <c:pt idx="5">
                  <c:v>住房保障支出</c:v>
                </c:pt>
              </c:strCache>
            </c:strRef>
          </c:cat>
          <c:val>
            <c:numRef>
              <c:f>Sheet1!$A$2:$F$2</c:f>
              <c:numCache>
                <c:formatCode>0.00%</c:formatCode>
                <c:ptCount val="6"/>
                <c:pt idx="0">
                  <c:v>0.9088</c:v>
                </c:pt>
                <c:pt idx="1">
                  <c:v>0.0567</c:v>
                </c:pt>
                <c:pt idx="2">
                  <c:v>0.0251</c:v>
                </c:pt>
                <c:pt idx="3">
                  <c:v>0.0012</c:v>
                </c:pt>
                <c:pt idx="4">
                  <c:v>0.0061</c:v>
                </c:pt>
                <c:pt idx="5">
                  <c:v>0.0021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058E1CD4-1D7F-4D64-BD4D-BDCDFB5FB64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1145</Words>
  <Characters>6531</Characters>
  <Lines>54</Lines>
  <Paragraphs>15</Paragraphs>
  <TotalTime>5</TotalTime>
  <ScaleCrop>false</ScaleCrop>
  <LinksUpToDate>false</LinksUpToDate>
  <CharactersWithSpaces>7661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2021-05-26T02:21:00Z</cp:lastPrinted>
  <dcterms:modified xsi:type="dcterms:W3CDTF">2023-12-28T08:39:12Z</dcterms:modified>
  <dc:subject>石家庄市xxx部门</dc:subject>
  <dc:title>2017年度部门决算</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E34A89A6009C4984BE10781E72E1BA6C</vt:lpwstr>
  </property>
</Properties>
</file>