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767" w:firstLineChars="40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大城县行政审批局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w:t>
      </w:r>
      <w:r>
        <w:rPr>
          <w:rFonts w:hint="eastAsia" w:eastAsia="黑体"/>
          <w:sz w:val="32"/>
          <w:szCs w:val="32"/>
        </w:rPr>
        <w:t xml:space="preserve"> </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大城县行政审批局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（一）贯彻执行党中央</w:t>
      </w:r>
      <w:r>
        <w:rPr>
          <w:rFonts w:hint="eastAsia" w:ascii="仿宋" w:hAnsi="仿宋" w:eastAsia="仿宋"/>
          <w:sz w:val="32"/>
          <w:szCs w:val="32"/>
          <w:lang w:eastAsia="zh-CN"/>
        </w:rPr>
        <w:t>、</w:t>
      </w:r>
      <w:r>
        <w:rPr>
          <w:rFonts w:hint="eastAsia" w:ascii="仿宋" w:hAnsi="仿宋" w:eastAsia="仿宋"/>
          <w:sz w:val="32"/>
          <w:szCs w:val="32"/>
        </w:rPr>
        <w:t>国务院、省委省政府、市委市政府和县委县政府“放管服”改革、行政审批制度改革、政务服务管理、公共资源交易市场管理有关方针政策和法律法规。拟定有关政策，协调指导并监督实施。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（二）组织协调全县“放管服”改革工作。指导、督促贯彻落实党中央</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国务院、省委省政府、市委市政府和县委县政府“放管服”改革重要领域、关键环节重大政策措施，承担县推进政府职能转变和“放管服”改革的日常工作。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指导协调全县政务服务管理工作，负责优化政务服务供给，降低制度性交易成本，提升政务服务效能；负责推进行政审批服务便民化；指导协调县有关部门为公民、法人或其他组织提供规范、高效、优质的政务服务。</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六）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级公共资源交易活动的联动执法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九）建立健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（十）负责监督和指导镇（区）便民服务中心管理，不断优化镇（区）便民服务中心建设，建立完善县镇（区）政务服务联动工作机制。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（十一）完成县委、县政府交办的其他任务。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大城县行政审批局(本级)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（见附表）</w:t>
      </w: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本部门2018年度收入</w:t>
      </w:r>
      <w:r>
        <w:rPr>
          <w:rFonts w:hint="eastAsia" w:ascii="仿宋_GB2312" w:eastAsia="仿宋_GB2312" w:cs="DengXian-Regular"/>
          <w:sz w:val="32"/>
          <w:szCs w:val="32"/>
          <w:lang w:eastAsia="zh-CN"/>
        </w:rPr>
        <w:t>总计</w:t>
      </w:r>
      <w:r>
        <w:rPr>
          <w:rFonts w:hint="eastAsia" w:ascii="仿宋_GB2312" w:eastAsia="仿宋_GB2312" w:cs="DengXian-Regular"/>
          <w:sz w:val="32"/>
          <w:szCs w:val="32"/>
        </w:rPr>
        <w:t>709.04万元，支出</w:t>
      </w:r>
      <w:r>
        <w:rPr>
          <w:rFonts w:hint="eastAsia" w:ascii="仿宋_GB2312" w:eastAsia="仿宋_GB2312" w:cs="DengXian-Regular"/>
          <w:sz w:val="32"/>
          <w:szCs w:val="32"/>
          <w:lang w:eastAsia="zh-CN"/>
        </w:rPr>
        <w:t>总计</w:t>
      </w:r>
      <w:r>
        <w:rPr>
          <w:rFonts w:hint="eastAsia" w:ascii="仿宋_GB2312" w:eastAsia="仿宋_GB2312" w:cs="DengXian-Regular"/>
          <w:sz w:val="32"/>
          <w:szCs w:val="32"/>
        </w:rPr>
        <w:t>632.14万元，结转</w:t>
      </w:r>
      <w:r>
        <w:rPr>
          <w:rFonts w:hint="eastAsia" w:ascii="仿宋_GB2312" w:eastAsia="仿宋_GB2312" w:cs="DengXian-Regular"/>
          <w:sz w:val="32"/>
          <w:szCs w:val="32"/>
          <w:lang w:eastAsia="zh-CN"/>
        </w:rPr>
        <w:t>总计</w:t>
      </w:r>
      <w:r>
        <w:rPr>
          <w:rFonts w:hint="eastAsia" w:ascii="仿宋_GB2312" w:eastAsia="仿宋_GB2312" w:cs="DengXian-Regular"/>
          <w:sz w:val="32"/>
          <w:szCs w:val="32"/>
        </w:rPr>
        <w:t>76.90万元。与2017年度决算相比，收入增加654.83万元，增长92%，</w:t>
      </w:r>
      <w:r>
        <w:rPr>
          <w:rFonts w:hint="eastAsia" w:ascii="仿宋_GB2312" w:eastAsia="仿宋_GB2312" w:cs="DengXian-Regular"/>
          <w:sz w:val="32"/>
          <w:szCs w:val="32"/>
          <w:lang w:eastAsia="zh-CN"/>
        </w:rPr>
        <w:t>主要是因为行政审批局</w:t>
      </w:r>
      <w:r>
        <w:rPr>
          <w:rFonts w:hint="eastAsia" w:ascii="仿宋_GB2312" w:eastAsia="仿宋_GB2312" w:cs="DengXian-Regular"/>
          <w:sz w:val="32"/>
          <w:szCs w:val="32"/>
          <w:lang w:val="en-US" w:eastAsia="zh-CN"/>
        </w:rPr>
        <w:t>2017年成立，人员增加，项目增加，经费增加；</w:t>
      </w:r>
      <w:r>
        <w:rPr>
          <w:rFonts w:hint="eastAsia" w:ascii="仿宋_GB2312" w:eastAsia="仿宋_GB2312" w:cs="DengXian-Regular"/>
          <w:sz w:val="32"/>
          <w:szCs w:val="32"/>
        </w:rPr>
        <w:t>支出增加577.93万元，增长91%，主要是因为行政审批局2017年成立，当年财政</w:t>
      </w:r>
      <w:r>
        <w:rPr>
          <w:rFonts w:eastAsia="仿宋_GB2312" w:cs="DengXian-Regular" w:asciiTheme="minorHAnsi" w:hAnsiTheme="minorHAnsi"/>
          <w:sz w:val="32"/>
          <w:szCs w:val="32"/>
        </w:rPr>
        <w:t>8</w:t>
      </w:r>
      <w:r>
        <w:rPr>
          <w:rFonts w:hint="eastAsia" w:eastAsia="仿宋_GB2312" w:cs="DengXian-Regular" w:asciiTheme="minorHAnsi" w:hAnsiTheme="minorHAnsi"/>
          <w:sz w:val="32"/>
          <w:szCs w:val="32"/>
        </w:rPr>
        <w:t>月份开始</w:t>
      </w:r>
      <w:r>
        <w:rPr>
          <w:rFonts w:hint="eastAsia" w:ascii="仿宋_GB2312" w:eastAsia="仿宋_GB2312" w:cs="DengXian-Regular"/>
          <w:sz w:val="32"/>
          <w:szCs w:val="32"/>
        </w:rPr>
        <w:t>拨付经费用于日常支出；2018年由于增加人员造成经费支出变动，增加项目造成项目支出数额变动。</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本部门2018年度本年收入合计709.04万元，其中：财政拨款收入709.04万元，占100%</w:t>
      </w:r>
      <w:r>
        <w:rPr>
          <w:rFonts w:hint="eastAsia" w:ascii="仿宋_GB2312" w:eastAsia="仿宋_GB2312" w:cs="DengXian-Regular"/>
          <w:sz w:val="32"/>
          <w:szCs w:val="32"/>
          <w:lang w:eastAsia="zh-CN"/>
        </w:rPr>
        <w:t>；</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eastAsia="仿宋_GB2312"/>
          <w:sz w:val="32"/>
          <w:szCs w:val="32"/>
        </w:rPr>
      </w:pPr>
    </w:p>
    <w:p>
      <w:pPr>
        <w:jc w:val="center"/>
        <w:rPr>
          <w:rFonts w:ascii="黑体" w:eastAsia="黑体" w:hAnsiTheme="majorHAnsi" w:cstheme="majorBidi"/>
          <w:sz w:val="32"/>
          <w:szCs w:val="32"/>
        </w:rPr>
      </w:pPr>
      <w:r>
        <w:rPr>
          <w:rFonts w:ascii="黑体" w:eastAsia="黑体" w:hAnsiTheme="majorHAnsi" w:cstheme="majorBidi"/>
          <w:sz w:val="32"/>
          <w:szCs w:val="32"/>
        </w:rPr>
        <w:drawing>
          <wp:inline distT="0" distB="0" distL="0" distR="0">
            <wp:extent cx="4806950" cy="263715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6" cstate="print"/>
                    <a:stretch>
                      <a:fillRect/>
                    </a:stretch>
                  </pic:blipFill>
                  <pic:spPr>
                    <a:xfrm>
                      <a:off x="0" y="0"/>
                      <a:ext cx="4807541" cy="2637600"/>
                    </a:xfrm>
                    <a:prstGeom prst="rect">
                      <a:avLst/>
                    </a:prstGeom>
                    <a:noFill/>
                  </pic:spPr>
                </pic:pic>
              </a:graphicData>
            </a:graphic>
          </wp:inline>
        </w:drawing>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本部门2018年度本年支出合计632.14万元，其中：基本支出227.02万元，占36%；项目支出405.12万元，占64%</w:t>
      </w:r>
      <w:r>
        <w:rPr>
          <w:rFonts w:hint="eastAsia" w:ascii="仿宋_GB2312" w:eastAsia="仿宋_GB2312" w:cs="DengXian-Regular"/>
          <w:sz w:val="32"/>
          <w:szCs w:val="32"/>
          <w:lang w:eastAsia="zh-CN"/>
        </w:rPr>
        <w:t>；</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1334770</wp:posOffset>
            </wp:positionH>
            <wp:positionV relativeFrom="paragraph">
              <wp:posOffset>217170</wp:posOffset>
            </wp:positionV>
            <wp:extent cx="2228850" cy="2148840"/>
            <wp:effectExtent l="19050" t="0" r="0" b="0"/>
            <wp:wrapSquare wrapText="bothSides"/>
            <wp:docPr id="3" name="图片 0" descr="无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无标题1.png"/>
                    <pic:cNvPicPr>
                      <a:picLocks noChangeAspect="1"/>
                    </pic:cNvPicPr>
                  </pic:nvPicPr>
                  <pic:blipFill>
                    <a:blip r:embed="rId7" cstate="print"/>
                    <a:stretch>
                      <a:fillRect/>
                    </a:stretch>
                  </pic:blipFill>
                  <pic:spPr>
                    <a:xfrm>
                      <a:off x="0" y="0"/>
                      <a:ext cx="2228850" cy="2148840"/>
                    </a:xfrm>
                    <a:prstGeom prst="rect">
                      <a:avLst/>
                    </a:prstGeom>
                  </pic:spPr>
                </pic:pic>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ascii="仿宋_GB2312" w:eastAsia="仿宋_GB2312" w:cs="DengXian-Regular"/>
          <w:sz w:val="32"/>
          <w:szCs w:val="32"/>
        </w:rPr>
        <w:t>709.04</w:t>
      </w:r>
      <w:r>
        <w:rPr>
          <w:rFonts w:hint="eastAsia" w:ascii="仿宋_GB2312" w:eastAsia="仿宋_GB2312" w:cs="DengXian-Regular"/>
          <w:sz w:val="32"/>
          <w:szCs w:val="32"/>
        </w:rPr>
        <w:t>万元,比2017年度增加</w:t>
      </w:r>
      <w:r>
        <w:rPr>
          <w:rFonts w:ascii="仿宋_GB2312" w:eastAsia="仿宋_GB2312" w:cs="DengXian-Regular"/>
          <w:sz w:val="32"/>
          <w:szCs w:val="32"/>
        </w:rPr>
        <w:t>654.83</w:t>
      </w:r>
      <w:r>
        <w:rPr>
          <w:rFonts w:hint="eastAsia" w:ascii="仿宋_GB2312" w:eastAsia="仿宋_GB2312" w:cs="DengXian-Regular"/>
          <w:sz w:val="32"/>
          <w:szCs w:val="32"/>
        </w:rPr>
        <w:t>万元，增长</w:t>
      </w:r>
      <w:r>
        <w:rPr>
          <w:rFonts w:eastAsia="仿宋_GB2312" w:cs="DengXian-Regular" w:asciiTheme="minorHAnsi" w:hAnsiTheme="minorHAnsi"/>
          <w:sz w:val="32"/>
          <w:szCs w:val="32"/>
        </w:rPr>
        <w:t>92</w:t>
      </w:r>
      <w:r>
        <w:rPr>
          <w:rFonts w:hint="eastAsia" w:ascii="仿宋_GB2312" w:eastAsia="仿宋_GB2312" w:cs="DengXian-Regular"/>
          <w:sz w:val="32"/>
          <w:szCs w:val="32"/>
        </w:rPr>
        <w:t>%，主要是2018年增加人员造成经费支出变动，增加项目造成项目支出数额变动；本年支出632.14万元，比2017年度增加577.93万元，增长91%，主要是2018年增加人员造成经费支出变动，增加项目造成项目支出数额变动。</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drawing>
          <wp:anchor distT="0" distB="0" distL="114300" distR="114300" simplePos="0" relativeHeight="251660288" behindDoc="1" locked="0" layoutInCell="1" allowOverlap="1">
            <wp:simplePos x="0" y="0"/>
            <wp:positionH relativeFrom="column">
              <wp:posOffset>1426210</wp:posOffset>
            </wp:positionH>
            <wp:positionV relativeFrom="paragraph">
              <wp:posOffset>135890</wp:posOffset>
            </wp:positionV>
            <wp:extent cx="3051810" cy="1912620"/>
            <wp:effectExtent l="19050" t="0" r="0" b="0"/>
            <wp:wrapTight wrapText="bothSides">
              <wp:wrapPolygon>
                <wp:start x="-135" y="0"/>
                <wp:lineTo x="-135" y="21299"/>
                <wp:lineTo x="21573" y="21299"/>
                <wp:lineTo x="21573" y="0"/>
                <wp:lineTo x="-135" y="0"/>
              </wp:wrapPolygon>
            </wp:wrapTight>
            <wp:docPr id="9" name="图片 2"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Users\Administrator\Desktop\4.jpg"/>
                    <pic:cNvPicPr>
                      <a:picLocks noChangeAspect="1" noChangeArrowheads="1"/>
                    </pic:cNvPicPr>
                  </pic:nvPicPr>
                  <pic:blipFill>
                    <a:blip r:embed="rId8" cstate="print"/>
                    <a:srcRect/>
                    <a:stretch>
                      <a:fillRect/>
                    </a:stretch>
                  </pic:blipFill>
                  <pic:spPr>
                    <a:xfrm>
                      <a:off x="0" y="0"/>
                      <a:ext cx="3051810" cy="1912620"/>
                    </a:xfrm>
                    <a:prstGeom prst="rect">
                      <a:avLst/>
                    </a:prstGeom>
                    <a:noFill/>
                    <a:ln w="9525">
                      <a:noFill/>
                      <a:miter lim="800000"/>
                      <a:headEnd/>
                      <a:tailEnd/>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709.04万元，完成年初预算的122%,比年初预算增加129.92万元，决算数大于预算数主要是人员增加造成经费支出变动，项目增加造成项目支出数额变动；本年支出632.14万元，完成年初预算的109%,比年初预算增加53.02万元，决算数大于预算数主要是人员增加造成经费支出变动，项目增加造成项目支出数额变动。</w:t>
      </w:r>
    </w:p>
    <w:p>
      <w:pPr>
        <w:adjustRightInd w:val="0"/>
        <w:snapToGrid w:val="0"/>
        <w:spacing w:after="0" w:line="580" w:lineRule="exact"/>
        <w:jc w:val="center"/>
        <w:rPr>
          <w:rFonts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eastAsia="仿宋_GB2312"/>
          <w:sz w:val="32"/>
          <w:szCs w:val="32"/>
        </w:rPr>
      </w:pPr>
      <w:r>
        <w:rPr>
          <w:rFonts w:eastAsia="仿宋_GB2312"/>
          <w:sz w:val="32"/>
          <w:szCs w:val="32"/>
        </w:rPr>
        <w:drawing>
          <wp:anchor distT="0" distB="0" distL="114300" distR="114300" simplePos="0" relativeHeight="251661312" behindDoc="1" locked="0" layoutInCell="1" allowOverlap="1">
            <wp:simplePos x="0" y="0"/>
            <wp:positionH relativeFrom="column">
              <wp:posOffset>466090</wp:posOffset>
            </wp:positionH>
            <wp:positionV relativeFrom="paragraph">
              <wp:posOffset>46990</wp:posOffset>
            </wp:positionV>
            <wp:extent cx="4572000" cy="2743200"/>
            <wp:effectExtent l="19050" t="0" r="19050" b="0"/>
            <wp:wrapTight wrapText="bothSides">
              <wp:wrapPolygon>
                <wp:start x="-90" y="0"/>
                <wp:lineTo x="-90" y="21600"/>
                <wp:lineTo x="21690" y="21600"/>
                <wp:lineTo x="21690" y="0"/>
                <wp:lineTo x="-90" y="0"/>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24"/>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年度财政拨款支出632.14万元，主要用于以下方面:一般公共服务（类）支出610.06万元，占96.51%；公共安全（类）支出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%；社会保障和就业（类）支出 15.49万元，占2.45%；住房保障（类）支出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%;医疗卫生与计划生育（类）支出6.58万元，占1.04%。</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eastAsia="楷体_GB2312" w:cs="DengXian-Bold" w:asciiTheme="minorHAnsi" w:hAnsiTheme="minorHAnsi"/>
          <w:b/>
          <w:bCs/>
          <w:sz w:val="32"/>
          <w:szCs w:val="32"/>
        </w:rPr>
      </w:pPr>
      <w:r>
        <w:rPr>
          <w:rFonts w:eastAsia="楷体_GB2312" w:cs="DengXian-Bold" w:asciiTheme="minorHAnsi" w:hAnsiTheme="minorHAnsi"/>
          <w:b/>
          <w:bCs/>
          <w:sz w:val="32"/>
          <w:szCs w:val="32"/>
        </w:rPr>
        <w:drawing>
          <wp:anchor distT="0" distB="0" distL="114300" distR="114300" simplePos="0" relativeHeight="251662336" behindDoc="0" locked="0" layoutInCell="1" allowOverlap="1">
            <wp:simplePos x="0" y="0"/>
            <wp:positionH relativeFrom="column">
              <wp:posOffset>450850</wp:posOffset>
            </wp:positionH>
            <wp:positionV relativeFrom="paragraph">
              <wp:posOffset>90170</wp:posOffset>
            </wp:positionV>
            <wp:extent cx="4572000" cy="2743200"/>
            <wp:effectExtent l="19050" t="0" r="19050" b="0"/>
            <wp:wrapNone/>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eastAsia="楷体_GB2312" w:cs="DengXian-Bold" w:asciiTheme="minorHAnsi" w:hAnsiTheme="minorHAnsi"/>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年度一般公共预算财政拨款基本支出227.02万元，其中：人员经费 168.82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58.20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23.26</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1.74</w:t>
      </w:r>
      <w:r>
        <w:rPr>
          <w:rFonts w:eastAsia="仿宋_GB2312"/>
          <w:sz w:val="32"/>
          <w:szCs w:val="32"/>
        </w:rPr>
        <w:t>万元，降低</w:t>
      </w:r>
      <w:r>
        <w:rPr>
          <w:rFonts w:hint="eastAsia" w:eastAsia="仿宋_GB2312"/>
          <w:sz w:val="32"/>
          <w:szCs w:val="32"/>
        </w:rPr>
        <w:t>7.48</w:t>
      </w:r>
      <w:r>
        <w:rPr>
          <w:rFonts w:eastAsia="仿宋_GB2312"/>
          <w:sz w:val="32"/>
          <w:szCs w:val="32"/>
        </w:rPr>
        <w:t>%，主要是</w:t>
      </w:r>
      <w:r>
        <w:rPr>
          <w:rFonts w:hint="eastAsia" w:eastAsia="仿宋_GB2312"/>
          <w:sz w:val="32"/>
          <w:szCs w:val="32"/>
        </w:rPr>
        <w:t>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22.69</w:t>
      </w:r>
      <w:r>
        <w:rPr>
          <w:rFonts w:eastAsia="仿宋_GB2312"/>
          <w:sz w:val="32"/>
          <w:szCs w:val="32"/>
        </w:rPr>
        <w:t>万元，增长</w:t>
      </w:r>
      <w:r>
        <w:rPr>
          <w:rFonts w:hint="eastAsia" w:eastAsia="仿宋_GB2312"/>
          <w:sz w:val="32"/>
          <w:szCs w:val="32"/>
        </w:rPr>
        <w:t>97.55</w:t>
      </w:r>
      <w:r>
        <w:rPr>
          <w:rFonts w:eastAsia="仿宋_GB2312"/>
          <w:sz w:val="32"/>
          <w:szCs w:val="32"/>
        </w:rPr>
        <w:t>%，主要是</w:t>
      </w:r>
      <w:r>
        <w:rPr>
          <w:rFonts w:hint="eastAsia" w:eastAsia="仿宋_GB2312"/>
          <w:sz w:val="32"/>
          <w:szCs w:val="32"/>
        </w:rPr>
        <w:t>因工作需要，增加</w:t>
      </w:r>
      <w:r>
        <w:rPr>
          <w:rFonts w:hint="eastAsia" w:eastAsia="仿宋_GB2312"/>
          <w:sz w:val="32"/>
          <w:szCs w:val="32"/>
          <w:lang w:eastAsia="zh-CN"/>
        </w:rPr>
        <w:t>一辆车</w:t>
      </w:r>
      <w:r>
        <w:rPr>
          <w:rFonts w:eastAsia="仿宋_GB2312"/>
          <w:sz w:val="32"/>
          <w:szCs w:val="32"/>
        </w:rPr>
        <w:t>。具体情况如下：</w:t>
      </w:r>
    </w:p>
    <w:p>
      <w:pPr>
        <w:adjustRightInd w:val="0"/>
        <w:snapToGrid w:val="0"/>
        <w:spacing w:line="584" w:lineRule="exact"/>
        <w:ind w:firstLine="643" w:firstLineChars="200"/>
        <w:rPr>
          <w:rFonts w:hint="default" w:eastAsia="仿宋_GB2312"/>
          <w:sz w:val="32"/>
          <w:szCs w:val="32"/>
          <w:highlight w:val="yellow"/>
          <w:lang w:val="en-US" w:eastAsia="zh-CN"/>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主要是较年初预算无增减变化；</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w:t>
      </w:r>
      <w:r>
        <w:rPr>
          <w:rFonts w:hint="eastAsia" w:eastAsia="仿宋_GB2312"/>
          <w:sz w:val="32"/>
          <w:szCs w:val="32"/>
          <w:lang w:val="en-US" w:eastAsia="zh-CN"/>
        </w:rPr>
        <w:t>2017年度决算无增减变化。</w:t>
      </w:r>
    </w:p>
    <w:p>
      <w:pPr>
        <w:adjustRightInd w:val="0"/>
        <w:snapToGrid w:val="0"/>
        <w:spacing w:line="584" w:lineRule="exact"/>
        <w:ind w:firstLine="640" w:firstLineChars="200"/>
        <w:rPr>
          <w:rFonts w:eastAsia="仿宋_GB2312"/>
          <w:sz w:val="32"/>
          <w:szCs w:val="32"/>
          <w:highlight w:val="yellow"/>
        </w:rPr>
      </w:pP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23.26</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1.74</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7.48</w:t>
      </w:r>
      <w:r>
        <w:rPr>
          <w:rFonts w:eastAsia="仿宋_GB2312"/>
          <w:sz w:val="32"/>
          <w:szCs w:val="32"/>
        </w:rPr>
        <w:t>%</w:t>
      </w:r>
      <w:r>
        <w:rPr>
          <w:rFonts w:hint="eastAsia" w:ascii="仿宋_GB2312" w:eastAsia="仿宋_GB2312" w:cs="DengXian-Regular"/>
          <w:sz w:val="32"/>
          <w:szCs w:val="32"/>
        </w:rPr>
        <w:t>,主要是厉行节约；</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22.69</w:t>
      </w:r>
      <w:r>
        <w:rPr>
          <w:rFonts w:eastAsia="仿宋_GB2312"/>
          <w:sz w:val="32"/>
          <w:szCs w:val="32"/>
        </w:rPr>
        <w:t>万元，增长</w:t>
      </w:r>
      <w:r>
        <w:rPr>
          <w:rFonts w:hint="eastAsia" w:eastAsia="仿宋_GB2312"/>
          <w:sz w:val="32"/>
          <w:szCs w:val="32"/>
        </w:rPr>
        <w:t>97.55</w:t>
      </w:r>
      <w:r>
        <w:rPr>
          <w:rFonts w:eastAsia="仿宋_GB2312"/>
          <w:sz w:val="32"/>
          <w:szCs w:val="32"/>
        </w:rPr>
        <w:t>%，主要是</w:t>
      </w:r>
      <w:r>
        <w:rPr>
          <w:rFonts w:hint="eastAsia" w:eastAsia="仿宋_GB2312"/>
          <w:sz w:val="32"/>
          <w:szCs w:val="32"/>
        </w:rPr>
        <w:t>因工作需要，增加</w:t>
      </w:r>
      <w:r>
        <w:rPr>
          <w:rFonts w:hint="eastAsia" w:eastAsia="仿宋_GB2312"/>
          <w:sz w:val="32"/>
          <w:szCs w:val="32"/>
          <w:lang w:eastAsia="zh-CN"/>
        </w:rPr>
        <w:t>一辆车</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16.26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1</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1.74</w:t>
      </w:r>
      <w:r>
        <w:rPr>
          <w:rFonts w:eastAsia="仿宋_GB2312"/>
          <w:sz w:val="32"/>
          <w:szCs w:val="32"/>
        </w:rPr>
        <w:t>万元，降低</w:t>
      </w:r>
      <w:r>
        <w:rPr>
          <w:rFonts w:hint="eastAsia" w:eastAsia="仿宋_GB2312"/>
          <w:sz w:val="32"/>
          <w:szCs w:val="32"/>
        </w:rPr>
        <w:t>7.48</w:t>
      </w:r>
      <w:r>
        <w:rPr>
          <w:rFonts w:eastAsia="仿宋_GB2312"/>
          <w:sz w:val="32"/>
          <w:szCs w:val="32"/>
        </w:rPr>
        <w:t>%，主要是</w:t>
      </w:r>
      <w:r>
        <w:rPr>
          <w:rFonts w:hint="eastAsia" w:eastAsia="仿宋_GB2312"/>
          <w:sz w:val="32"/>
          <w:szCs w:val="32"/>
        </w:rPr>
        <w:t>厉行节约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16.26</w:t>
      </w:r>
      <w:r>
        <w:rPr>
          <w:rFonts w:eastAsia="仿宋_GB2312"/>
          <w:sz w:val="32"/>
          <w:szCs w:val="32"/>
        </w:rPr>
        <w:t>万元，增长</w:t>
      </w:r>
      <w:r>
        <w:rPr>
          <w:rFonts w:hint="eastAsia" w:eastAsia="仿宋_GB2312"/>
          <w:sz w:val="32"/>
          <w:szCs w:val="32"/>
        </w:rPr>
        <w:t>100</w:t>
      </w:r>
      <w:r>
        <w:rPr>
          <w:rFonts w:eastAsia="仿宋_GB2312"/>
          <w:sz w:val="32"/>
          <w:szCs w:val="32"/>
        </w:rPr>
        <w:t>%，主要是</w:t>
      </w:r>
      <w:r>
        <w:rPr>
          <w:rFonts w:hint="eastAsia" w:eastAsia="仿宋_GB2312"/>
          <w:sz w:val="32"/>
          <w:szCs w:val="32"/>
        </w:rPr>
        <w:t>因工作需要，增加</w:t>
      </w:r>
      <w:r>
        <w:rPr>
          <w:rFonts w:hint="eastAsia" w:eastAsia="仿宋_GB2312"/>
          <w:sz w:val="32"/>
          <w:szCs w:val="32"/>
          <w:lang w:eastAsia="zh-CN"/>
        </w:rPr>
        <w:t>一辆车</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7</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w:t>
      </w:r>
      <w:r>
        <w:rPr>
          <w:rFonts w:hint="eastAsia" w:eastAsia="仿宋_GB2312"/>
          <w:sz w:val="32"/>
          <w:szCs w:val="32"/>
          <w:lang w:eastAsia="zh-CN"/>
        </w:rPr>
        <w:t>度</w:t>
      </w:r>
      <w:r>
        <w:rPr>
          <w:rFonts w:eastAsia="仿宋_GB2312"/>
          <w:sz w:val="32"/>
          <w:szCs w:val="32"/>
        </w:rPr>
        <w:t>公务用车</w:t>
      </w:r>
      <w:r>
        <w:rPr>
          <w:rFonts w:hint="eastAsia" w:eastAsia="仿宋_GB2312"/>
          <w:sz w:val="32"/>
          <w:szCs w:val="32"/>
          <w:lang w:eastAsia="zh-CN"/>
        </w:rPr>
        <w:t>购置数量</w:t>
      </w:r>
      <w:r>
        <w:rPr>
          <w:rFonts w:hint="eastAsia" w:eastAsia="仿宋_GB2312"/>
          <w:sz w:val="32"/>
          <w:szCs w:val="32"/>
        </w:rPr>
        <w:t>2</w:t>
      </w:r>
      <w:r>
        <w:rPr>
          <w:rFonts w:eastAsia="仿宋_GB2312"/>
          <w:sz w:val="32"/>
          <w:szCs w:val="32"/>
        </w:rPr>
        <w:t>辆。</w:t>
      </w:r>
      <w:r>
        <w:rPr>
          <w:rFonts w:hint="eastAsia" w:eastAsia="仿宋_GB2312"/>
          <w:sz w:val="32"/>
          <w:szCs w:val="32"/>
          <w:lang w:eastAsia="zh-CN"/>
        </w:rPr>
        <w:t>公务用车购置费支出比年初预算增加</w:t>
      </w:r>
      <w:r>
        <w:rPr>
          <w:rFonts w:hint="eastAsia" w:eastAsia="仿宋_GB2312"/>
          <w:sz w:val="32"/>
          <w:szCs w:val="32"/>
          <w:lang w:val="en-US" w:eastAsia="zh-CN"/>
        </w:rPr>
        <w:t>0元，增长0%，</w:t>
      </w:r>
      <w:r>
        <w:rPr>
          <w:rFonts w:eastAsia="仿宋_GB2312"/>
          <w:sz w:val="32"/>
          <w:szCs w:val="32"/>
        </w:rPr>
        <w:t>主要是公车运行维护费支出</w:t>
      </w:r>
      <w:r>
        <w:rPr>
          <w:rFonts w:hint="eastAsia" w:eastAsia="仿宋_GB2312"/>
          <w:sz w:val="32"/>
          <w:szCs w:val="32"/>
        </w:rPr>
        <w:t>与</w:t>
      </w:r>
      <w:r>
        <w:rPr>
          <w:rFonts w:eastAsia="仿宋_GB2312"/>
          <w:color w:val="000000"/>
          <w:sz w:val="32"/>
          <w:szCs w:val="32"/>
        </w:rPr>
        <w:t>年初预算无增减变化</w:t>
      </w:r>
      <w:r>
        <w:rPr>
          <w:rFonts w:hint="eastAsia" w:eastAsia="仿宋_GB2312"/>
          <w:sz w:val="32"/>
          <w:szCs w:val="32"/>
        </w:rPr>
        <w:t>，根据实际工作需求，合理使用车辆</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6.43</w:t>
      </w:r>
      <w:r>
        <w:rPr>
          <w:rFonts w:eastAsia="仿宋_GB2312"/>
          <w:sz w:val="32"/>
          <w:szCs w:val="32"/>
        </w:rPr>
        <w:t>万元，增长</w:t>
      </w:r>
      <w:r>
        <w:rPr>
          <w:rFonts w:hint="eastAsia" w:eastAsia="仿宋_GB2312"/>
          <w:sz w:val="32"/>
          <w:szCs w:val="32"/>
        </w:rPr>
        <w:t>91.86</w:t>
      </w:r>
      <w:r>
        <w:rPr>
          <w:rFonts w:eastAsia="仿宋_GB2312"/>
          <w:sz w:val="32"/>
          <w:szCs w:val="32"/>
        </w:rPr>
        <w:t>%，主要是</w:t>
      </w:r>
      <w:r>
        <w:rPr>
          <w:rFonts w:hint="eastAsia" w:eastAsia="仿宋_GB2312"/>
          <w:sz w:val="32"/>
          <w:szCs w:val="32"/>
        </w:rPr>
        <w:t>因为工作需要，增加</w:t>
      </w:r>
      <w:r>
        <w:rPr>
          <w:rFonts w:hint="eastAsia" w:eastAsia="仿宋_GB2312"/>
          <w:sz w:val="32"/>
          <w:szCs w:val="32"/>
          <w:lang w:eastAsia="zh-CN"/>
        </w:rPr>
        <w:t>一辆车</w:t>
      </w:r>
      <w:r>
        <w:rPr>
          <w:rFonts w:eastAsia="仿宋_GB2312"/>
          <w:sz w:val="32"/>
          <w:szCs w:val="32"/>
        </w:rPr>
        <w:t>。</w:t>
      </w:r>
    </w:p>
    <w:p>
      <w:pPr>
        <w:adjustRightInd w:val="0"/>
        <w:snapToGrid w:val="0"/>
        <w:spacing w:line="584" w:lineRule="exact"/>
        <w:ind w:firstLine="643" w:firstLineChars="200"/>
        <w:rPr>
          <w:rFonts w:hint="default" w:eastAsia="仿宋_GB2312"/>
          <w:sz w:val="32"/>
          <w:szCs w:val="32"/>
          <w:highlight w:val="yellow"/>
          <w:lang w:val="en-US" w:eastAsia="zh-CN"/>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主要是较</w:t>
      </w:r>
      <w:r>
        <w:rPr>
          <w:rFonts w:hint="eastAsia" w:eastAsia="仿宋_GB2312"/>
          <w:sz w:val="32"/>
          <w:szCs w:val="32"/>
          <w:lang w:val="en-US" w:eastAsia="zh-CN"/>
        </w:rPr>
        <w:t>2017年度决算无增减变化。</w:t>
      </w:r>
    </w:p>
    <w:p>
      <w:pPr>
        <w:adjustRightInd w:val="0"/>
        <w:snapToGrid w:val="0"/>
        <w:spacing w:line="584" w:lineRule="exact"/>
        <w:ind w:firstLine="640" w:firstLineChars="200"/>
        <w:rPr>
          <w:rFonts w:eastAsia="仿宋_GB2312"/>
          <w:sz w:val="32"/>
          <w:szCs w:val="32"/>
          <w:highlight w:val="yellow"/>
        </w:rPr>
      </w:pP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utoSpaceDE w:val="0"/>
        <w:autoSpaceDN w:val="0"/>
        <w:adjustRightInd w:val="0"/>
        <w:ind w:firstLine="640" w:firstLineChars="200"/>
        <w:jc w:val="left"/>
        <w:rPr>
          <w:rFonts w:ascii="仿宋_GB2312" w:eastAsia="仿宋_GB2312" w:cs="仿宋"/>
          <w:kern w:val="0"/>
          <w:sz w:val="32"/>
          <w:szCs w:val="32"/>
        </w:rPr>
      </w:pPr>
      <w:r>
        <w:rPr>
          <w:rFonts w:hint="eastAsia" w:ascii="仿宋_GB2312" w:hAnsi="Calibri" w:eastAsia="仿宋_GB2312"/>
          <w:sz w:val="32"/>
          <w:szCs w:val="32"/>
        </w:rPr>
        <w:t>2018年度科学规范的运用资金，力求节省开支，避免浪费。</w:t>
      </w:r>
      <w:r>
        <w:rPr>
          <w:rFonts w:hint="eastAsia" w:ascii="仿宋_GB2312" w:eastAsia="仿宋_GB2312" w:cs="仿宋"/>
          <w:kern w:val="0"/>
          <w:sz w:val="32"/>
          <w:szCs w:val="32"/>
        </w:rPr>
        <w:t xml:space="preserve">根据县财政预算绩效管理要求，县行政审批局以“部门职责—工作活动”为依据，确保部门预算项目和预算额度，清晰描述预算项目开支范围和内容，确定预算项目的绩效目标、绩效指标和评价标准，为预算绩效控制、绩效分析、绩效评价打下好的基础。                   </w:t>
      </w:r>
    </w:p>
    <w:p>
      <w:pPr>
        <w:autoSpaceDE w:val="0"/>
        <w:autoSpaceDN w:val="0"/>
        <w:adjustRightInd w:val="0"/>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（二）项目绩效自评结果。</w:t>
      </w:r>
    </w:p>
    <w:p>
      <w:pPr>
        <w:widowControl/>
        <w:spacing w:line="584" w:lineRule="exact"/>
        <w:ind w:firstLine="640" w:firstLineChars="200"/>
        <w:rPr>
          <w:rFonts w:ascii="仿宋_GB2312" w:eastAsia="仿宋_GB2312"/>
          <w:kern w:val="0"/>
          <w:sz w:val="32"/>
          <w:szCs w:val="32"/>
        </w:rPr>
      </w:pPr>
      <w:r>
        <w:rPr>
          <w:rFonts w:hint="eastAsia" w:ascii="仿宋_GB2312" w:eastAsia="仿宋_GB2312"/>
          <w:kern w:val="0"/>
          <w:sz w:val="32"/>
          <w:szCs w:val="32"/>
        </w:rPr>
        <w:t>按照县财政局预算绩效管理要求，大城县行政审批局对2018年度财政支出项目开展了绩效自评。从评价结果可以看出，我局预算支出管理较为规范，能按照有关规章制度开展工作，重大支出项目资金到位及时，资金使用合理规范，实现了部门职责绩效目标，自评覆盖率达到100%。</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宋体" w:eastAsia="仿宋_GB2312" w:cs="宋体"/>
          <w:sz w:val="32"/>
          <w:szCs w:val="32"/>
        </w:rPr>
        <w:t>抓好工作创新，全面提升行政审批局整体形象。着眼于</w:t>
      </w:r>
      <w:r>
        <w:rPr>
          <w:rFonts w:hint="eastAsia" w:ascii="仿宋_GB2312" w:eastAsia="仿宋_GB2312"/>
          <w:sz w:val="32"/>
          <w:szCs w:val="32"/>
        </w:rPr>
        <w:t>“</w:t>
      </w:r>
      <w:r>
        <w:rPr>
          <w:rFonts w:hint="eastAsia" w:ascii="仿宋_GB2312" w:hAnsi="宋体" w:eastAsia="仿宋_GB2312" w:cs="宋体"/>
          <w:sz w:val="32"/>
          <w:szCs w:val="32"/>
        </w:rPr>
        <w:t>依法、规范、便捷</w:t>
      </w:r>
      <w:r>
        <w:rPr>
          <w:rFonts w:hint="eastAsia" w:ascii="仿宋_GB2312" w:eastAsia="仿宋_GB2312"/>
          <w:sz w:val="32"/>
          <w:szCs w:val="32"/>
        </w:rPr>
        <w:t>”</w:t>
      </w:r>
      <w:r>
        <w:rPr>
          <w:rFonts w:hint="eastAsia" w:ascii="仿宋_GB2312" w:hAnsi="宋体" w:eastAsia="仿宋_GB2312" w:cs="宋体"/>
          <w:sz w:val="32"/>
          <w:szCs w:val="32"/>
        </w:rPr>
        <w:t>，对审批流程进行全面梳理，实现审批工作标准化，规范化。主动服务，为全县重点工程，重点项目保驾护航。综合评价结果为优。</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本部门2018年度机关运行经费支出58.20万元，比年初预算数增加4.28万元，增长</w:t>
      </w:r>
      <w:r>
        <w:rPr>
          <w:rFonts w:hint="eastAsia" w:eastAsia="仿宋_GB2312"/>
          <w:sz w:val="32"/>
          <w:szCs w:val="32"/>
        </w:rPr>
        <w:t>7</w:t>
      </w:r>
      <w:r>
        <w:rPr>
          <w:rFonts w:hint="eastAsia" w:ascii="仿宋_GB2312" w:eastAsia="仿宋_GB2312" w:cs="DengXian-Regular"/>
          <w:sz w:val="32"/>
          <w:szCs w:val="32"/>
        </w:rPr>
        <w:t xml:space="preserve"> </w:t>
      </w:r>
      <w:r>
        <w:rPr>
          <w:rFonts w:eastAsia="仿宋_GB2312"/>
          <w:sz w:val="32"/>
          <w:szCs w:val="32"/>
        </w:rPr>
        <w:t>%</w:t>
      </w:r>
      <w:r>
        <w:rPr>
          <w:rFonts w:hint="eastAsia" w:eastAsia="仿宋_GB2312"/>
          <w:sz w:val="32"/>
          <w:szCs w:val="32"/>
          <w:lang w:eastAsia="zh-CN"/>
        </w:rPr>
        <w:t>，</w:t>
      </w:r>
      <w:r>
        <w:rPr>
          <w:rFonts w:hint="eastAsia" w:ascii="仿宋_GB2312" w:eastAsia="仿宋_GB2312" w:cs="DengXian-Regular"/>
          <w:sz w:val="32"/>
          <w:szCs w:val="32"/>
        </w:rPr>
        <w:t>主要是人员增加</w:t>
      </w:r>
      <w:r>
        <w:rPr>
          <w:rFonts w:hint="eastAsia" w:ascii="宋体" w:hAnsi="宋体" w:cs="宋体"/>
          <w:sz w:val="32"/>
          <w:szCs w:val="32"/>
        </w:rPr>
        <w:t>、</w:t>
      </w:r>
      <w:r>
        <w:rPr>
          <w:rFonts w:hint="eastAsia" w:ascii="仿宋_GB2312" w:eastAsia="仿宋_GB2312" w:cs="DengXian-Regular"/>
          <w:sz w:val="32"/>
          <w:szCs w:val="32"/>
        </w:rPr>
        <w:t>业务量增加造成经费支出变动。</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56.91</w:t>
      </w:r>
      <w:r>
        <w:rPr>
          <w:rFonts w:eastAsia="仿宋_GB2312"/>
          <w:sz w:val="32"/>
          <w:szCs w:val="32"/>
        </w:rPr>
        <w:t>万元，增长</w:t>
      </w:r>
      <w:r>
        <w:rPr>
          <w:rFonts w:hint="eastAsia" w:eastAsia="仿宋_GB2312"/>
          <w:sz w:val="32"/>
          <w:szCs w:val="32"/>
        </w:rPr>
        <w:t>98</w:t>
      </w:r>
      <w:r>
        <w:rPr>
          <w:rFonts w:eastAsia="仿宋_GB2312"/>
          <w:sz w:val="32"/>
          <w:szCs w:val="32"/>
        </w:rPr>
        <w:t>%，主要是</w:t>
      </w:r>
      <w:r>
        <w:rPr>
          <w:rFonts w:hint="eastAsia" w:eastAsia="仿宋_GB2312"/>
          <w:sz w:val="32"/>
          <w:szCs w:val="32"/>
        </w:rPr>
        <w:t>人</w:t>
      </w:r>
      <w:r>
        <w:rPr>
          <w:rFonts w:hint="eastAsia" w:ascii="仿宋_GB2312" w:eastAsia="仿宋_GB2312" w:cs="DengXian-Regular"/>
          <w:sz w:val="32"/>
          <w:szCs w:val="32"/>
        </w:rPr>
        <w:t>员增加、业务量增加造成经费支出变动。</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本部门2018年度政府采购支出总额230.44万元，从采购类型来看，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142.45</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87.99</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2辆，比上年增加1辆，主要是工作需要。其中，副部（省）级及以上领导用车0辆，主要领导干部用车0辆，机要通信用车2辆，应急保障用车0辆，执法执勤用车0辆，特种专业技术用车0辆，离退休干部用车0辆，其他用车0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1、本部门2018年度结转结余76.90万元</w:t>
      </w:r>
      <w:r>
        <w:rPr>
          <w:rFonts w:hint="eastAsia" w:eastAsia="仿宋_GB2312" w:cs="DengXian-Regular" w:asciiTheme="minorHAnsi" w:hAnsiTheme="minorHAnsi"/>
          <w:sz w:val="32"/>
          <w:szCs w:val="32"/>
        </w:rPr>
        <w:t>，结转资金为人员增资结转及部分项目资金</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9FE6D0-E71E-409D-A628-D907530DD8F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5B48C71-A5DB-42F6-A7AD-78822B916585}"/>
  </w:font>
  <w:font w:name="Cambria">
    <w:panose1 w:val="02040503050406030204"/>
    <w:charset w:val="00"/>
    <w:family w:val="roman"/>
    <w:pitch w:val="default"/>
    <w:sig w:usb0="E00002FF" w:usb1="400004FF" w:usb2="00000000" w:usb3="00000000" w:csb0="2000019F" w:csb1="00000000"/>
    <w:embedRegular r:id="rId3" w:fontKey="{0EAC6D22-F22B-407B-AA20-83F684C4958A}"/>
  </w:font>
  <w:font w:name="楷体">
    <w:panose1 w:val="02010609060101010101"/>
    <w:charset w:val="86"/>
    <w:family w:val="modern"/>
    <w:pitch w:val="default"/>
    <w:sig w:usb0="800002BF" w:usb1="38CF7CFA" w:usb2="00000016" w:usb3="00000000" w:csb0="00040001" w:csb1="00000000"/>
    <w:embedRegular r:id="rId4" w:fontKey="{29C9B101-D6CD-4167-B191-B38AB3CED848}"/>
  </w:font>
  <w:font w:name="仿宋_GB2312">
    <w:panose1 w:val="02010609030101010101"/>
    <w:charset w:val="86"/>
    <w:family w:val="modern"/>
    <w:pitch w:val="default"/>
    <w:sig w:usb0="00000001" w:usb1="080E0000" w:usb2="00000000" w:usb3="00000000" w:csb0="00040000" w:csb1="00000000"/>
    <w:embedRegular r:id="rId5" w:fontKey="{93324DBA-FAE2-492D-BD21-5DE843956E6F}"/>
  </w:font>
  <w:font w:name="仿宋">
    <w:panose1 w:val="02010609060101010101"/>
    <w:charset w:val="86"/>
    <w:family w:val="modern"/>
    <w:pitch w:val="default"/>
    <w:sig w:usb0="800002BF" w:usb1="38CF7CFA" w:usb2="00000016" w:usb3="00000000" w:csb0="00040001" w:csb1="00000000"/>
    <w:embedRegular r:id="rId6" w:fontKey="{88224FB1-D3CD-421D-B649-61DD36E32D97}"/>
  </w:font>
  <w:font w:name="ArialUnicodeMS">
    <w:altName w:val="Malgun Gothic"/>
    <w:panose1 w:val="00000000000000000000"/>
    <w:charset w:val="81"/>
    <w:family w:val="auto"/>
    <w:pitch w:val="default"/>
    <w:sig w:usb0="00000000" w:usb1="00000000" w:usb2="00000010" w:usb3="00000000" w:csb0="00080001" w:csb1="00000000"/>
    <w:embedRegular r:id="rId7" w:fontKey="{261513BD-BBC9-4FC2-9103-D5B0AF9A22BE}"/>
  </w:font>
  <w:font w:name="MS-UIGothic,Bold">
    <w:altName w:val="Malgun Gothic"/>
    <w:panose1 w:val="00000000000000000000"/>
    <w:charset w:val="81"/>
    <w:family w:val="auto"/>
    <w:pitch w:val="default"/>
    <w:sig w:usb0="00000000" w:usb1="00000000" w:usb2="00000010" w:usb3="00000000" w:csb0="00080000" w:csb1="00000000"/>
    <w:embedRegular r:id="rId8" w:fontKey="{A0985747-38EA-45C7-BCBC-15BF5CDECC3F}"/>
  </w:font>
  <w:font w:name="DengXian-Regular">
    <w:altName w:val="宋体"/>
    <w:panose1 w:val="00000000000000000000"/>
    <w:charset w:val="86"/>
    <w:family w:val="auto"/>
    <w:pitch w:val="default"/>
    <w:sig w:usb0="00000000" w:usb1="00000000" w:usb2="00000010" w:usb3="00000000" w:csb0="00040001" w:csb1="00000000"/>
    <w:embedRegular r:id="rId9" w:fontKey="{28549AF4-66DC-4766-89CA-989D6388CDD6}"/>
  </w:font>
  <w:font w:name="楷体_GB2312">
    <w:panose1 w:val="02010609030101010101"/>
    <w:charset w:val="86"/>
    <w:family w:val="modern"/>
    <w:pitch w:val="default"/>
    <w:sig w:usb0="00000001" w:usb1="080E0000" w:usb2="00000000" w:usb3="00000000" w:csb0="00040000" w:csb1="00000000"/>
    <w:embedRegular r:id="rId10" w:fontKey="{E9D58AF0-0CE0-4FB4-B46C-A76CA2B7BA9B}"/>
  </w:font>
  <w:font w:name="DengXian-Bold">
    <w:altName w:val="宋体"/>
    <w:panose1 w:val="00000000000000000000"/>
    <w:charset w:val="86"/>
    <w:family w:val="auto"/>
    <w:pitch w:val="default"/>
    <w:sig w:usb0="00000000" w:usb1="00000000" w:usb2="00000010" w:usb3="00000000" w:csb0="00040001" w:csb1="00000000"/>
    <w:embedRegular r:id="rId11" w:fontKey="{9B967DB3-930D-4C7E-ACBC-C403D72D5AE0}"/>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hMWJiZjk4ZmE4NzhiNjE2MzdkYzFmM2RiMTliZGYifQ=="/>
  </w:docVars>
  <w:rsids>
    <w:rsidRoot w:val="003C1413"/>
    <w:rsid w:val="000125BF"/>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94AB3"/>
    <w:rsid w:val="001B3410"/>
    <w:rsid w:val="001B7503"/>
    <w:rsid w:val="001C030D"/>
    <w:rsid w:val="001C3F23"/>
    <w:rsid w:val="001C4A84"/>
    <w:rsid w:val="001C65FB"/>
    <w:rsid w:val="001C6863"/>
    <w:rsid w:val="001E5902"/>
    <w:rsid w:val="00233705"/>
    <w:rsid w:val="00244B24"/>
    <w:rsid w:val="00246D99"/>
    <w:rsid w:val="00257266"/>
    <w:rsid w:val="0026029D"/>
    <w:rsid w:val="00262306"/>
    <w:rsid w:val="00275CA2"/>
    <w:rsid w:val="002A1E66"/>
    <w:rsid w:val="002A3FFA"/>
    <w:rsid w:val="002A65A5"/>
    <w:rsid w:val="002B7D79"/>
    <w:rsid w:val="002C04C4"/>
    <w:rsid w:val="002D08B0"/>
    <w:rsid w:val="002D1AE3"/>
    <w:rsid w:val="002E4638"/>
    <w:rsid w:val="002F2ECE"/>
    <w:rsid w:val="00341C8F"/>
    <w:rsid w:val="003526EA"/>
    <w:rsid w:val="00352A5C"/>
    <w:rsid w:val="0035463A"/>
    <w:rsid w:val="00356220"/>
    <w:rsid w:val="00391D9D"/>
    <w:rsid w:val="003B6C51"/>
    <w:rsid w:val="003C1413"/>
    <w:rsid w:val="003C549F"/>
    <w:rsid w:val="003D5A16"/>
    <w:rsid w:val="003E5464"/>
    <w:rsid w:val="003E7DB3"/>
    <w:rsid w:val="00431175"/>
    <w:rsid w:val="004374A3"/>
    <w:rsid w:val="00443268"/>
    <w:rsid w:val="00493686"/>
    <w:rsid w:val="004B6E37"/>
    <w:rsid w:val="004C32BA"/>
    <w:rsid w:val="004C68EF"/>
    <w:rsid w:val="004E1F84"/>
    <w:rsid w:val="00500AAA"/>
    <w:rsid w:val="00534DD0"/>
    <w:rsid w:val="00550A12"/>
    <w:rsid w:val="005707FE"/>
    <w:rsid w:val="00575120"/>
    <w:rsid w:val="00575922"/>
    <w:rsid w:val="005A3C0D"/>
    <w:rsid w:val="005A6C90"/>
    <w:rsid w:val="005B37E6"/>
    <w:rsid w:val="005E3FB0"/>
    <w:rsid w:val="005F13D8"/>
    <w:rsid w:val="005F4B66"/>
    <w:rsid w:val="005F5208"/>
    <w:rsid w:val="006061A9"/>
    <w:rsid w:val="00615C31"/>
    <w:rsid w:val="00641318"/>
    <w:rsid w:val="0064405D"/>
    <w:rsid w:val="00662F69"/>
    <w:rsid w:val="00695557"/>
    <w:rsid w:val="00695B68"/>
    <w:rsid w:val="006D08A4"/>
    <w:rsid w:val="006D34D1"/>
    <w:rsid w:val="006D4EA7"/>
    <w:rsid w:val="0070012A"/>
    <w:rsid w:val="0070664B"/>
    <w:rsid w:val="007071B8"/>
    <w:rsid w:val="007155C2"/>
    <w:rsid w:val="007414DE"/>
    <w:rsid w:val="00760C0C"/>
    <w:rsid w:val="007905A9"/>
    <w:rsid w:val="0079338E"/>
    <w:rsid w:val="007D35C2"/>
    <w:rsid w:val="007E072B"/>
    <w:rsid w:val="007E5500"/>
    <w:rsid w:val="007F055B"/>
    <w:rsid w:val="00811C2F"/>
    <w:rsid w:val="0081388B"/>
    <w:rsid w:val="00833D46"/>
    <w:rsid w:val="00836215"/>
    <w:rsid w:val="00840A97"/>
    <w:rsid w:val="00872B02"/>
    <w:rsid w:val="00873292"/>
    <w:rsid w:val="008930C4"/>
    <w:rsid w:val="008A640A"/>
    <w:rsid w:val="008C0149"/>
    <w:rsid w:val="008D5DED"/>
    <w:rsid w:val="008E25CA"/>
    <w:rsid w:val="008E5BDC"/>
    <w:rsid w:val="008F2F77"/>
    <w:rsid w:val="008F34FC"/>
    <w:rsid w:val="00935F8C"/>
    <w:rsid w:val="00941EDF"/>
    <w:rsid w:val="00944CD7"/>
    <w:rsid w:val="009538BE"/>
    <w:rsid w:val="00961190"/>
    <w:rsid w:val="00967A63"/>
    <w:rsid w:val="009831B2"/>
    <w:rsid w:val="009A1ABE"/>
    <w:rsid w:val="009E21A4"/>
    <w:rsid w:val="009F12CE"/>
    <w:rsid w:val="009F22C6"/>
    <w:rsid w:val="00A07E50"/>
    <w:rsid w:val="00A12C15"/>
    <w:rsid w:val="00A15397"/>
    <w:rsid w:val="00A169ED"/>
    <w:rsid w:val="00A2512B"/>
    <w:rsid w:val="00A35CE0"/>
    <w:rsid w:val="00A4462E"/>
    <w:rsid w:val="00A44AA4"/>
    <w:rsid w:val="00A54CEB"/>
    <w:rsid w:val="00A61623"/>
    <w:rsid w:val="00A84687"/>
    <w:rsid w:val="00AA0458"/>
    <w:rsid w:val="00AB0A0E"/>
    <w:rsid w:val="00AD3B6E"/>
    <w:rsid w:val="00AF6D31"/>
    <w:rsid w:val="00B1751F"/>
    <w:rsid w:val="00B50F96"/>
    <w:rsid w:val="00B56722"/>
    <w:rsid w:val="00B67044"/>
    <w:rsid w:val="00B74D39"/>
    <w:rsid w:val="00B827C6"/>
    <w:rsid w:val="00B91DA4"/>
    <w:rsid w:val="00BA3D73"/>
    <w:rsid w:val="00BA7174"/>
    <w:rsid w:val="00BC15B5"/>
    <w:rsid w:val="00C12630"/>
    <w:rsid w:val="00C173B9"/>
    <w:rsid w:val="00C206E2"/>
    <w:rsid w:val="00C34562"/>
    <w:rsid w:val="00C3774E"/>
    <w:rsid w:val="00C524C6"/>
    <w:rsid w:val="00C57456"/>
    <w:rsid w:val="00C65387"/>
    <w:rsid w:val="00C87FAB"/>
    <w:rsid w:val="00C91FF7"/>
    <w:rsid w:val="00C92D15"/>
    <w:rsid w:val="00C94E53"/>
    <w:rsid w:val="00CB0715"/>
    <w:rsid w:val="00CC3983"/>
    <w:rsid w:val="00CD3110"/>
    <w:rsid w:val="00CE3FC3"/>
    <w:rsid w:val="00CF10BE"/>
    <w:rsid w:val="00D0048E"/>
    <w:rsid w:val="00D17603"/>
    <w:rsid w:val="00D23E7A"/>
    <w:rsid w:val="00D35E7F"/>
    <w:rsid w:val="00D56D8F"/>
    <w:rsid w:val="00D61063"/>
    <w:rsid w:val="00DB015D"/>
    <w:rsid w:val="00DB35AF"/>
    <w:rsid w:val="00DC4BEE"/>
    <w:rsid w:val="00DD72D7"/>
    <w:rsid w:val="00DF5B88"/>
    <w:rsid w:val="00E0589E"/>
    <w:rsid w:val="00E0697F"/>
    <w:rsid w:val="00E076E9"/>
    <w:rsid w:val="00E2240B"/>
    <w:rsid w:val="00E241FA"/>
    <w:rsid w:val="00E2595E"/>
    <w:rsid w:val="00E35374"/>
    <w:rsid w:val="00E50C19"/>
    <w:rsid w:val="00E64655"/>
    <w:rsid w:val="00E73081"/>
    <w:rsid w:val="00E75FAB"/>
    <w:rsid w:val="00E856C9"/>
    <w:rsid w:val="00EA24C3"/>
    <w:rsid w:val="00EA4F68"/>
    <w:rsid w:val="00EB6A8B"/>
    <w:rsid w:val="00EC6814"/>
    <w:rsid w:val="00ED411D"/>
    <w:rsid w:val="00EF38C6"/>
    <w:rsid w:val="00F23B2A"/>
    <w:rsid w:val="00F679C7"/>
    <w:rsid w:val="00F7711A"/>
    <w:rsid w:val="00F80C72"/>
    <w:rsid w:val="00FA0D58"/>
    <w:rsid w:val="00FA1580"/>
    <w:rsid w:val="00FA56F4"/>
    <w:rsid w:val="00FB4EDA"/>
    <w:rsid w:val="00FD3BD5"/>
    <w:rsid w:val="00FE3DC8"/>
    <w:rsid w:val="04073F84"/>
    <w:rsid w:val="0B60750A"/>
    <w:rsid w:val="0DA60009"/>
    <w:rsid w:val="10686488"/>
    <w:rsid w:val="10DF728A"/>
    <w:rsid w:val="1264200E"/>
    <w:rsid w:val="141C5B77"/>
    <w:rsid w:val="163D6878"/>
    <w:rsid w:val="18D8339D"/>
    <w:rsid w:val="1A21388F"/>
    <w:rsid w:val="1A570D2F"/>
    <w:rsid w:val="1AD10D1C"/>
    <w:rsid w:val="1C714689"/>
    <w:rsid w:val="25EF3440"/>
    <w:rsid w:val="260438F7"/>
    <w:rsid w:val="28FB0B8D"/>
    <w:rsid w:val="29FB4212"/>
    <w:rsid w:val="2AA53C1C"/>
    <w:rsid w:val="2B355C2C"/>
    <w:rsid w:val="2D2B7942"/>
    <w:rsid w:val="2D46481D"/>
    <w:rsid w:val="2E733B28"/>
    <w:rsid w:val="31852B5A"/>
    <w:rsid w:val="32D01238"/>
    <w:rsid w:val="35C57B5C"/>
    <w:rsid w:val="3DFC59A8"/>
    <w:rsid w:val="3ECF245E"/>
    <w:rsid w:val="3FB96314"/>
    <w:rsid w:val="403963FE"/>
    <w:rsid w:val="405124A8"/>
    <w:rsid w:val="52EA1C46"/>
    <w:rsid w:val="53A44FAF"/>
    <w:rsid w:val="594329EC"/>
    <w:rsid w:val="5BEE1540"/>
    <w:rsid w:val="5DE61A5D"/>
    <w:rsid w:val="5FC92290"/>
    <w:rsid w:val="63C04243"/>
    <w:rsid w:val="649C01C7"/>
    <w:rsid w:val="660202AA"/>
    <w:rsid w:val="66905B65"/>
    <w:rsid w:val="67535AEC"/>
    <w:rsid w:val="68B933E5"/>
    <w:rsid w:val="699A3F60"/>
    <w:rsid w:val="6B64343E"/>
    <w:rsid w:val="6B7F15CE"/>
    <w:rsid w:val="6FFF3E3F"/>
    <w:rsid w:val="72902E62"/>
    <w:rsid w:val="73C61104"/>
    <w:rsid w:val="74263CA5"/>
    <w:rsid w:val="776452EA"/>
    <w:rsid w:val="78755EFB"/>
    <w:rsid w:val="7BD5426D"/>
    <w:rsid w:val="7DC663B9"/>
    <w:rsid w:val="7E6E6DC7"/>
    <w:rsid w:val="7F9405E4"/>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autoRedefine/>
    <w:qFormat/>
    <w:uiPriority w:val="1"/>
    <w:rPr>
      <w:rFonts w:asciiTheme="minorHAnsi" w:hAnsiTheme="minorEastAsia" w:eastAsiaTheme="minorEastAsia" w:cstheme="minorBidi"/>
      <w:sz w:val="22"/>
      <w:szCs w:val="22"/>
      <w:lang w:eastAsia="zh-CN"/>
    </w:rPr>
  </w:style>
  <w:style w:type="character" w:customStyle="1" w:styleId="23">
    <w:name w:val="Style2"/>
    <w:basedOn w:val="14"/>
    <w:autoRedefine/>
    <w:qFormat/>
    <w:uiPriority w:val="1"/>
    <w:rPr>
      <w:rFonts w:asciiTheme="minorHAnsi" w:hAnsiTheme="minorEastAsia" w:eastAsiaTheme="minorEastAsia" w:cstheme="minorBidi"/>
      <w:sz w:val="22"/>
      <w:szCs w:val="22"/>
      <w:lang w:eastAsia="zh-CN"/>
    </w:rPr>
  </w:style>
  <w:style w:type="character" w:customStyle="1" w:styleId="24">
    <w:name w:val="Style3"/>
    <w:basedOn w:val="14"/>
    <w:autoRedefine/>
    <w:qFormat/>
    <w:uiPriority w:val="1"/>
    <w:rPr>
      <w:rFonts w:asciiTheme="minorHAnsi" w:hAnsiTheme="minorEastAsia" w:eastAsiaTheme="minorEastAsia" w:cstheme="minorBidi"/>
      <w:szCs w:val="22"/>
      <w:lang w:eastAsia="zh-CN"/>
    </w:rPr>
  </w:style>
  <w:style w:type="character" w:customStyle="1" w:styleId="25">
    <w:name w:val="Style4"/>
    <w:basedOn w:val="14"/>
    <w:autoRedefine/>
    <w:qFormat/>
    <w:uiPriority w:val="1"/>
    <w:rPr>
      <w:rFonts w:asciiTheme="minorHAnsi" w:hAnsiTheme="minorEastAsia" w:eastAsiaTheme="minorEastAsia" w:cstheme="minorBidi"/>
      <w:szCs w:val="22"/>
      <w:lang w:eastAsia="zh-CN"/>
    </w:rPr>
  </w:style>
  <w:style w:type="character" w:customStyle="1" w:styleId="26">
    <w:name w:val="Style5"/>
    <w:basedOn w:val="14"/>
    <w:autoRedefine/>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autoRedefine/>
    <w:qFormat/>
    <w:uiPriority w:val="9"/>
    <w:rPr>
      <w:rFonts w:ascii="Times New Roman" w:hAnsi="Times New Roman" w:eastAsia="宋体" w:cs="Times New Roman"/>
      <w:b/>
      <w:bCs/>
      <w:kern w:val="44"/>
      <w:sz w:val="44"/>
      <w:szCs w:val="44"/>
    </w:rPr>
  </w:style>
  <w:style w:type="character" w:customStyle="1" w:styleId="28">
    <w:name w:val="标题 2 Char"/>
    <w:basedOn w:val="14"/>
    <w:link w:val="3"/>
    <w:autoRedefine/>
    <w:qFormat/>
    <w:uiPriority w:val="9"/>
    <w:rPr>
      <w:rFonts w:asciiTheme="majorHAnsi" w:hAnsiTheme="majorHAnsi" w:eastAsiaTheme="majorEastAsia" w:cstheme="majorBidi"/>
      <w:b/>
      <w:bCs/>
      <w:sz w:val="32"/>
      <w:szCs w:val="32"/>
    </w:rPr>
  </w:style>
  <w:style w:type="character" w:customStyle="1" w:styleId="29">
    <w:name w:val="标题 3 Char"/>
    <w:basedOn w:val="14"/>
    <w:link w:val="4"/>
    <w:autoRedefine/>
    <w:qFormat/>
    <w:uiPriority w:val="9"/>
    <w:rPr>
      <w:rFonts w:ascii="Times New Roman" w:hAnsi="Times New Roman" w:eastAsia="宋体" w:cs="Times New Roman"/>
      <w:b/>
      <w:bCs/>
      <w:sz w:val="32"/>
      <w:szCs w:val="32"/>
    </w:rPr>
  </w:style>
  <w:style w:type="character" w:customStyle="1" w:styleId="30">
    <w:name w:val="标题 4 Char"/>
    <w:basedOn w:val="14"/>
    <w:link w:val="5"/>
    <w:autoRedefine/>
    <w:qFormat/>
    <w:uiPriority w:val="9"/>
    <w:rPr>
      <w:rFonts w:asciiTheme="majorHAnsi" w:hAnsiTheme="majorHAnsi" w:eastAsiaTheme="majorEastAsia" w:cstheme="majorBidi"/>
      <w:b/>
      <w:bCs/>
      <w:sz w:val="28"/>
      <w:szCs w:val="28"/>
    </w:rPr>
  </w:style>
  <w:style w:type="character" w:customStyle="1" w:styleId="31">
    <w:name w:val="日期 Char"/>
    <w:basedOn w:val="14"/>
    <w:link w:val="6"/>
    <w:autoRedefine/>
    <w:semiHidden/>
    <w:qFormat/>
    <w:uiPriority w:val="99"/>
    <w:rPr>
      <w:rFonts w:ascii="Times New Roman" w:hAnsi="Times New Roman" w:eastAsia="宋体" w:cs="Times New Roman"/>
      <w:szCs w:val="24"/>
    </w:rPr>
  </w:style>
  <w:style w:type="paragraph" w:styleId="3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1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4254374453193"/>
          <c:y val="0.0271296296296296"/>
          <c:w val="0.644945756780403"/>
          <c:h val="0.898148148148148"/>
        </c:manualLayout>
      </c:layout>
      <c:barChart>
        <c:barDir val="col"/>
        <c:grouping val="clustered"/>
        <c:varyColors val="0"/>
        <c:ser>
          <c:idx val="0"/>
          <c:order val="0"/>
          <c:tx>
            <c:strRef>
              <c:f>Sheet1!$A$1</c:f>
              <c:strCache>
                <c:ptCount val="1"/>
                <c:pt idx="0">
                  <c:v>年份</c:v>
                </c:pt>
              </c:strCache>
            </c:strRef>
          </c:tx>
          <c:invertIfNegative val="0"/>
          <c:dLbls>
            <c:delete val="1"/>
          </c:dLbls>
          <c:val>
            <c:numRef>
              <c:f>Sheet1!$B$1</c:f>
              <c:numCache>
                <c:formatCode>General</c:formatCode>
                <c:ptCount val="1"/>
                <c:pt idx="0">
                  <c:v>0</c:v>
                </c:pt>
              </c:numCache>
            </c:numRef>
          </c:val>
        </c:ser>
        <c:ser>
          <c:idx val="1"/>
          <c:order val="1"/>
          <c:tx>
            <c:strRef>
              <c:f>Sheet1!$A$2</c:f>
              <c:strCache>
                <c:ptCount val="1"/>
                <c:pt idx="0">
                  <c:v>2018决算收入</c:v>
                </c:pt>
              </c:strCache>
            </c:strRef>
          </c:tx>
          <c:spPr>
            <a:solidFill>
              <a:srgbClr val="C0000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Sheet1!$B$2</c:f>
              <c:numCache>
                <c:formatCode>General</c:formatCode>
                <c:ptCount val="1"/>
                <c:pt idx="0">
                  <c:v>709.04</c:v>
                </c:pt>
              </c:numCache>
            </c:numRef>
          </c:val>
        </c:ser>
        <c:ser>
          <c:idx val="2"/>
          <c:order val="2"/>
          <c:tx>
            <c:strRef>
              <c:f>Sheet1!$A$4</c:f>
              <c:strCache>
                <c:ptCount val="1"/>
                <c:pt idx="0">
                  <c:v>2018预算收入</c:v>
                </c:pt>
              </c:strCache>
            </c:strRef>
          </c:tx>
          <c:spPr>
            <a:solidFill>
              <a:srgbClr val="92D05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Sheet1!$B$4</c:f>
              <c:numCache>
                <c:formatCode>General</c:formatCode>
                <c:ptCount val="1"/>
                <c:pt idx="0">
                  <c:v>579.12</c:v>
                </c:pt>
              </c:numCache>
            </c:numRef>
          </c:val>
        </c:ser>
        <c:ser>
          <c:idx val="3"/>
          <c:order val="3"/>
          <c:tx>
            <c:strRef>
              <c:f>Sheet1!$A$6</c:f>
              <c:strCache>
                <c:ptCount val="1"/>
                <c:pt idx="0">
                  <c:v>2018决算支出</c:v>
                </c:pt>
              </c:strCache>
            </c:strRef>
          </c:tx>
          <c:spPr>
            <a:solidFill>
              <a:srgbClr val="9F3185"/>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Sheet1!$B$6</c:f>
              <c:numCache>
                <c:formatCode>General</c:formatCode>
                <c:ptCount val="1"/>
                <c:pt idx="0">
                  <c:v>632.14</c:v>
                </c:pt>
              </c:numCache>
            </c:numRef>
          </c:val>
        </c:ser>
        <c:ser>
          <c:idx val="4"/>
          <c:order val="4"/>
          <c:tx>
            <c:strRef>
              <c:f>Sheet1!$A$8</c:f>
              <c:strCache>
                <c:ptCount val="1"/>
                <c:pt idx="0">
                  <c:v>2018预算支出</c:v>
                </c:pt>
              </c:strCache>
            </c:strRef>
          </c:tx>
          <c:spPr>
            <a:solidFill>
              <a:srgbClr val="00B0F0"/>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Sheet1!$B$8</c:f>
              <c:numCache>
                <c:formatCode>General</c:formatCode>
                <c:ptCount val="1"/>
                <c:pt idx="0">
                  <c:v>579.12</c:v>
                </c:pt>
              </c:numCache>
            </c:numRef>
          </c:val>
        </c:ser>
        <c:dLbls>
          <c:showLegendKey val="0"/>
          <c:showVal val="0"/>
          <c:showCatName val="0"/>
          <c:showSerName val="0"/>
          <c:showPercent val="0"/>
          <c:showBubbleSize val="0"/>
        </c:dLbls>
        <c:gapWidth val="262"/>
        <c:overlap val="-100"/>
        <c:axId val="119360896"/>
        <c:axId val="119374976"/>
      </c:barChart>
      <c:catAx>
        <c:axId val="119360896"/>
        <c:scaling>
          <c:orientation val="minMax"/>
        </c:scaling>
        <c:delete val="1"/>
        <c:axPos val="b"/>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374976"/>
        <c:crosses val="autoZero"/>
        <c:auto val="1"/>
        <c:lblAlgn val="ctr"/>
        <c:lblOffset val="100"/>
        <c:noMultiLvlLbl val="0"/>
      </c:catAx>
      <c:valAx>
        <c:axId val="1193749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3608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Sheet2!$B$1</c:f>
              <c:strCache>
                <c:ptCount val="1"/>
                <c:pt idx="0">
                  <c:v>占比</c:v>
                </c:pt>
              </c:strCache>
            </c:strRef>
          </c:tx>
          <c:explosion val="0"/>
          <c:dPt>
            <c:idx val="0"/>
            <c:bubble3D val="0"/>
            <c:spPr>
              <a:solidFill>
                <a:srgbClr val="FFFF00"/>
              </a:solidFill>
            </c:spPr>
          </c:dPt>
          <c:dPt>
            <c:idx val="1"/>
            <c:bubble3D val="0"/>
            <c:spPr>
              <a:solidFill>
                <a:srgbClr val="00B0F0"/>
              </a:solidFill>
            </c:spPr>
          </c:dPt>
          <c:dPt>
            <c:idx val="2"/>
            <c:bubble3D val="0"/>
            <c:spPr>
              <a:solidFill>
                <a:srgbClr val="9F3185"/>
              </a:solidFill>
            </c:spPr>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1.04%</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2.45%</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96.51%</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Sheet2!$A$2:$A$4</c:f>
              <c:strCache>
                <c:ptCount val="3"/>
                <c:pt idx="0">
                  <c:v>医疗卫生与计划生育(类）支出</c:v>
                </c:pt>
                <c:pt idx="1">
                  <c:v>社会保障和就业（类）支出</c:v>
                </c:pt>
                <c:pt idx="2">
                  <c:v>一般公共服务（类）支出</c:v>
                </c:pt>
              </c:strCache>
            </c:strRef>
          </c:cat>
          <c:val>
            <c:numRef>
              <c:f>Sheet2!$B$2:$B$4</c:f>
              <c:numCache>
                <c:formatCode>0.00%</c:formatCode>
                <c:ptCount val="3"/>
                <c:pt idx="0">
                  <c:v>0.01047</c:v>
                </c:pt>
                <c:pt idx="1">
                  <c:v>0.02457</c:v>
                </c:pt>
                <c:pt idx="2">
                  <c:v>0.96517</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81CB2766-7C27-4209-8656-B38AD5207E04}">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883</Words>
  <Characters>5039</Characters>
  <Lines>41</Lines>
  <Paragraphs>11</Paragraphs>
  <TotalTime>20</TotalTime>
  <ScaleCrop>false</ScaleCrop>
  <LinksUpToDate>false</LinksUpToDate>
  <CharactersWithSpaces>5911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2021-05-25T06:18:00Z</cp:lastPrinted>
  <dcterms:modified xsi:type="dcterms:W3CDTF">2023-12-28T08:44:04Z</dcterms:modified>
  <dc:subject>石家庄市xxx部门</dc:subject>
  <dc:title>2017年度部门决算</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E5D47782CA8E41FC82CBB803FD5CF156</vt:lpwstr>
  </property>
</Properties>
</file>