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rPr>
        <w:t>大城县臧屯镇人民政府本级</w:t>
      </w:r>
      <w:r>
        <w:rPr>
          <w:rFonts w:ascii="Times New Roman" w:hAnsi="Times New Roman" w:eastAsia="方正小标宋简体"/>
          <w:sz w:val="44"/>
          <w:szCs w:val="44"/>
        </w:rPr>
        <w:t>2022</w:t>
      </w:r>
      <w:r>
        <w:rPr>
          <w:rFonts w:hint="eastAsia" w:ascii="Times New Roman" w:hAnsi="Times New Roman" w:eastAsia="方正小标宋简体"/>
          <w:sz w:val="44"/>
          <w:szCs w:val="44"/>
        </w:rPr>
        <w:t>年单位预算信息公开情况说明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按照《中华人民共和国预算法》、《中华人民共和国预算法实施条例》、《地方预决算公开操作规程》和《河北省省级预算公开办法》规定，现将大城县臧屯镇人民政府</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年单位预算公开如下：</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单位职责：</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（二）讨论和决定镇经济建设、政治建设、文化建设、社会建设、生态文明建设和党的建设以及乡村振兴中的重大问题。</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（三）组织召开本级人民代表大会，充分行使重大事项决定权、监督权和任免权，做好人大代表工作，联系选民、反映群众意见和要求。</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w:t>
      </w:r>
      <w:r>
        <w:rPr>
          <w:rFonts w:ascii="仿宋_GB2312" w:hAnsi="仿宋" w:eastAsia="仿宋_GB2312" w:cs="Times New Roman"/>
          <w:sz w:val="32"/>
          <w:szCs w:val="32"/>
        </w:rPr>
        <w:t>)</w:t>
      </w:r>
      <w:r>
        <w:rPr>
          <w:rFonts w:hint="eastAsia" w:ascii="仿宋_GB2312" w:hAnsi="仿宋" w:eastAsia="仿宋_GB2312" w:cs="Times New Roman"/>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（六）加强镇党委自身建设和村党组织建设，以及其他隶属镇党委的党组织建设，抓好发展党员工作，加强党员队伍建设</w:t>
      </w:r>
      <w:r>
        <w:rPr>
          <w:rFonts w:ascii="仿宋_GB2312" w:hAnsi="仿宋" w:eastAsia="仿宋_GB2312" w:cs="Times New Roman"/>
          <w:sz w:val="32"/>
          <w:szCs w:val="32"/>
        </w:rPr>
        <w:t>,</w:t>
      </w:r>
      <w:r>
        <w:rPr>
          <w:rFonts w:hint="eastAsia" w:ascii="仿宋_GB2312" w:hAnsi="仿宋" w:eastAsia="仿宋_GB2312" w:cs="Times New Roman"/>
          <w:sz w:val="32"/>
          <w:szCs w:val="32"/>
        </w:rPr>
        <w:t>维护和执行党的纪律，监督党员干部和其他任何工作人员严格遵守国家法律法规。</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（七）按照干部管理权限，负责对干部的教育、培训、选拔、考核和监督工作；协助管理上级有关单位驻镇单位的干部；做好人才服务工作。</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（九</w:t>
      </w:r>
      <w:r>
        <w:rPr>
          <w:rFonts w:ascii="仿宋_GB2312" w:hAnsi="仿宋" w:eastAsia="仿宋_GB2312" w:cs="Times New Roman"/>
          <w:sz w:val="32"/>
          <w:szCs w:val="32"/>
        </w:rPr>
        <w:t>)</w:t>
      </w:r>
      <w:r>
        <w:rPr>
          <w:rFonts w:hint="eastAsia" w:ascii="仿宋_GB2312" w:hAnsi="仿宋" w:eastAsia="仿宋_GB2312" w:cs="Times New Roman"/>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napToGrid w:val="0"/>
        <w:spacing w:line="52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w:t>
      </w:r>
    </w:p>
    <w:p>
      <w:pPr>
        <w:spacing w:line="584" w:lineRule="exact"/>
        <w:ind w:firstLine="640" w:firstLineChars="200"/>
        <w:rPr>
          <w:rFonts w:ascii="仿宋_GB2312" w:hAnsi="Times New Roman" w:eastAsia="仿宋_GB2312" w:cs="Times New Roman"/>
          <w:b/>
          <w:sz w:val="32"/>
          <w:szCs w:val="32"/>
        </w:rPr>
      </w:pPr>
      <w:r>
        <w:rPr>
          <w:rFonts w:hint="eastAsia" w:ascii="仿宋_GB2312" w:hAnsi="仿宋" w:eastAsia="仿宋_GB2312" w:cs="Times New Roman"/>
          <w:sz w:val="32"/>
          <w:szCs w:val="32"/>
        </w:rPr>
        <w:t>（十一）承办上级党委、人大、政府交办的其他事项。</w:t>
      </w:r>
    </w:p>
    <w:p>
      <w:pPr>
        <w:autoSpaceDE w:val="0"/>
        <w:autoSpaceDN w:val="0"/>
        <w:adjustRightInd w:val="0"/>
        <w:spacing w:line="584" w:lineRule="exact"/>
        <w:ind w:firstLine="630" w:firstLineChars="196"/>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机构设置：</w:t>
      </w:r>
    </w:p>
    <w:p>
      <w:pPr>
        <w:spacing w:line="584" w:lineRule="exact"/>
        <w:jc w:val="center"/>
        <w:outlineLvl w:val="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单位机构设置情况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单位名称</w:t>
            </w:r>
          </w:p>
        </w:tc>
        <w:tc>
          <w:tcPr>
            <w:tcW w:w="1134"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单位性质</w:t>
            </w:r>
          </w:p>
        </w:tc>
        <w:tc>
          <w:tcPr>
            <w:tcW w:w="1276"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单位规格</w:t>
            </w:r>
          </w:p>
        </w:tc>
        <w:tc>
          <w:tcPr>
            <w:tcW w:w="2902"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ascii="仿宋_GB2312" w:eastAsia="仿宋_GB2312"/>
              </w:rPr>
            </w:pPr>
          </w:p>
        </w:tc>
        <w:tc>
          <w:tcPr>
            <w:tcW w:w="1134" w:type="dxa"/>
            <w:vMerge w:val="continue"/>
            <w:vAlign w:val="center"/>
          </w:tcPr>
          <w:p>
            <w:pPr>
              <w:rPr>
                <w:rFonts w:ascii="仿宋_GB2312" w:eastAsia="仿宋_GB2312"/>
              </w:rPr>
            </w:pPr>
          </w:p>
        </w:tc>
        <w:tc>
          <w:tcPr>
            <w:tcW w:w="1276" w:type="dxa"/>
            <w:vMerge w:val="continue"/>
            <w:vAlign w:val="center"/>
          </w:tcPr>
          <w:p>
            <w:pPr>
              <w:rPr>
                <w:rFonts w:ascii="仿宋_GB2312" w:eastAsia="仿宋_GB2312"/>
              </w:rPr>
            </w:pPr>
          </w:p>
        </w:tc>
        <w:tc>
          <w:tcPr>
            <w:tcW w:w="2902" w:type="dxa"/>
            <w:vMerge w:val="continue"/>
            <w:vAlign w:val="center"/>
          </w:tcPr>
          <w:p>
            <w:pP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hint="eastAsia" w:ascii="仿宋_GB2312" w:hAnsi="Times New Roman" w:eastAsia="仿宋_GB2312" w:cs="Times New Roman"/>
                <w:szCs w:val="24"/>
                <w:lang w:eastAsia="zh-CN"/>
              </w:rPr>
            </w:pPr>
            <w:r>
              <w:rPr>
                <w:rFonts w:hint="eastAsia" w:ascii="仿宋_GB2312" w:eastAsia="仿宋_GB2312"/>
                <w:lang w:val="en-US" w:eastAsia="zh-CN"/>
              </w:rPr>
              <w:t>大城县</w:t>
            </w:r>
            <w:r>
              <w:rPr>
                <w:rFonts w:hint="eastAsia" w:ascii="仿宋_GB2312" w:eastAsia="仿宋_GB2312"/>
              </w:rPr>
              <w:t>臧屯镇</w:t>
            </w:r>
            <w:r>
              <w:rPr>
                <w:rFonts w:hint="eastAsia" w:ascii="仿宋_GB2312" w:eastAsia="仿宋_GB2312"/>
                <w:lang w:val="en-US" w:eastAsia="zh-CN"/>
              </w:rPr>
              <w:t>人民</w:t>
            </w:r>
            <w:r>
              <w:rPr>
                <w:rFonts w:hint="eastAsia" w:ascii="仿宋_GB2312" w:eastAsia="仿宋_GB2312"/>
              </w:rPr>
              <w:t>政府</w:t>
            </w:r>
            <w:r>
              <w:rPr>
                <w:rFonts w:hint="eastAsia" w:ascii="仿宋_GB2312" w:eastAsia="仿宋_GB2312"/>
                <w:lang w:eastAsia="zh-CN"/>
              </w:rPr>
              <w:t>（</w:t>
            </w:r>
            <w:r>
              <w:rPr>
                <w:rFonts w:hint="eastAsia" w:ascii="仿宋_GB2312" w:eastAsia="仿宋_GB2312"/>
                <w:lang w:val="en-US" w:eastAsia="zh-CN"/>
              </w:rPr>
              <w:t>本级</w:t>
            </w:r>
            <w:r>
              <w:rPr>
                <w:rFonts w:hint="eastAsia" w:ascii="仿宋_GB2312" w:eastAsia="仿宋_GB2312"/>
                <w:lang w:eastAsia="zh-CN"/>
              </w:rPr>
              <w:t>）</w:t>
            </w:r>
          </w:p>
        </w:tc>
        <w:tc>
          <w:tcPr>
            <w:tcW w:w="1134"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行政</w:t>
            </w:r>
          </w:p>
        </w:tc>
        <w:tc>
          <w:tcPr>
            <w:tcW w:w="1276"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正科级</w:t>
            </w:r>
          </w:p>
        </w:tc>
        <w:tc>
          <w:tcPr>
            <w:tcW w:w="2902"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财政拨款</w:t>
            </w:r>
          </w:p>
        </w:tc>
      </w:tr>
    </w:tbl>
    <w:p>
      <w:pPr>
        <w:spacing w:line="584"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二、单位预算安排的总体情况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按照预算管理有关规定，目前我县单位预算的编制实行综合预算制度，即全部收入和支出都反映在预算中。</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年预算收入</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万元，其中：一般公共预算收入</w:t>
      </w:r>
      <w:r>
        <w:rPr>
          <w:rFonts w:ascii="仿宋_GB2312" w:hAnsi="Times New Roman" w:eastAsia="仿宋_GB2312" w:cs="Times New Roman"/>
          <w:sz w:val="32"/>
          <w:szCs w:val="32"/>
        </w:rPr>
        <w:t>1353.03</w:t>
      </w:r>
      <w:r>
        <w:rPr>
          <w:rFonts w:hint="eastAsia" w:ascii="仿宋_GB2312" w:hAnsi="Times New Roman" w:eastAsia="仿宋_GB2312" w:cs="Times New Roman"/>
          <w:sz w:val="32"/>
          <w:szCs w:val="32"/>
        </w:rPr>
        <w:t>万元，基金预算收入</w:t>
      </w:r>
      <w:r>
        <w:rPr>
          <w:rFonts w:ascii="仿宋_GB2312" w:hAnsi="Times New Roman" w:eastAsia="仿宋_GB2312" w:cs="Times New Roman"/>
          <w:sz w:val="32"/>
          <w:szCs w:val="32"/>
        </w:rPr>
        <w:t>223</w:t>
      </w:r>
      <w:r>
        <w:rPr>
          <w:rFonts w:hint="eastAsia" w:ascii="仿宋_GB2312" w:hAnsi="Times New Roman" w:eastAsia="仿宋_GB2312" w:cs="Times New Roman"/>
          <w:sz w:val="32"/>
          <w:szCs w:val="32"/>
        </w:rPr>
        <w:t>万元，财政专户核拨收入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万元，其他来源收入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万元，上年结转</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收支预算总表支出栏、基本支出表、项目支出表按经济分类和支出功能分类科目编制，反映我镇</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年度单位预算中支出预算的总体情况。</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年支出预算</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万元，其中基本支出</w:t>
      </w:r>
      <w:r>
        <w:rPr>
          <w:rFonts w:ascii="仿宋_GB2312" w:hAnsi="Times New Roman" w:eastAsia="仿宋_GB2312" w:cs="Times New Roman"/>
          <w:sz w:val="32"/>
          <w:szCs w:val="32"/>
        </w:rPr>
        <w:t>1307.85</w:t>
      </w:r>
      <w:r>
        <w:rPr>
          <w:rFonts w:hint="eastAsia" w:ascii="仿宋_GB2312" w:hAnsi="Times New Roman" w:eastAsia="仿宋_GB2312" w:cs="Times New Roman"/>
          <w:sz w:val="32"/>
          <w:szCs w:val="32"/>
        </w:rPr>
        <w:t>万元，包括人员类项目经费</w:t>
      </w:r>
      <w:r>
        <w:rPr>
          <w:rFonts w:ascii="仿宋_GB2312" w:hAnsi="Times New Roman" w:eastAsia="仿宋_GB2312" w:cs="Times New Roman"/>
          <w:sz w:val="32"/>
          <w:szCs w:val="32"/>
        </w:rPr>
        <w:t>1191.68</w:t>
      </w:r>
      <w:r>
        <w:rPr>
          <w:rFonts w:hint="eastAsia" w:ascii="仿宋_GB2312" w:hAnsi="Times New Roman" w:eastAsia="仿宋_GB2312" w:cs="Times New Roman"/>
          <w:sz w:val="32"/>
          <w:szCs w:val="32"/>
        </w:rPr>
        <w:t>万元和运转类公用项目经费</w:t>
      </w:r>
      <w:r>
        <w:rPr>
          <w:rFonts w:ascii="仿宋_GB2312" w:hAnsi="Times New Roman" w:eastAsia="仿宋_GB2312" w:cs="Times New Roman"/>
          <w:sz w:val="32"/>
          <w:szCs w:val="32"/>
        </w:rPr>
        <w:t>116.17</w:t>
      </w:r>
      <w:r>
        <w:rPr>
          <w:rFonts w:hint="eastAsia" w:ascii="仿宋_GB2312" w:hAnsi="Times New Roman" w:eastAsia="仿宋_GB2312" w:cs="Times New Roman"/>
          <w:sz w:val="32"/>
          <w:szCs w:val="32"/>
        </w:rPr>
        <w:t>万元；运转类其他及特定目标类项目支出</w:t>
      </w:r>
      <w:r>
        <w:rPr>
          <w:rFonts w:ascii="仿宋_GB2312" w:hAnsi="Times New Roman" w:eastAsia="仿宋_GB2312" w:cs="Times New Roman"/>
          <w:sz w:val="32"/>
          <w:szCs w:val="32"/>
        </w:rPr>
        <w:t>268.18</w:t>
      </w:r>
      <w:r>
        <w:rPr>
          <w:rFonts w:hint="eastAsia" w:ascii="仿宋_GB2312" w:hAnsi="Times New Roman" w:eastAsia="仿宋_GB2312" w:cs="Times New Roman"/>
          <w:sz w:val="32"/>
          <w:szCs w:val="32"/>
        </w:rPr>
        <w:t>万元，包括本级支出，主要为安监经费、妇联基层组织建设经费、基层党建带团建经费、建档立卡贫困户扶贫帮扶专项经费、农村环境整治经费、土地整理经费、退役军人服务站工作经费、信访维稳经费等项目支出。</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、比上年增减情况</w:t>
      </w:r>
    </w:p>
    <w:p>
      <w:pPr>
        <w:ind w:firstLine="640" w:firstLineChars="200"/>
        <w:rPr>
          <w:rFonts w:ascii="仿宋_GB2312" w:eastAsia="仿宋_GB2312"/>
        </w:rPr>
      </w:pP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年预算收支安排</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万元，较</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年预算减少</w:t>
      </w:r>
      <w:r>
        <w:rPr>
          <w:rFonts w:ascii="仿宋_GB2312" w:hAnsi="Times New Roman" w:eastAsia="仿宋_GB2312" w:cs="Times New Roman"/>
          <w:sz w:val="32"/>
          <w:szCs w:val="32"/>
        </w:rPr>
        <w:t>170.14</w:t>
      </w:r>
      <w:r>
        <w:rPr>
          <w:rFonts w:hint="eastAsia" w:ascii="仿宋_GB2312" w:hAnsi="Times New Roman" w:eastAsia="仿宋_GB2312" w:cs="Times New Roman"/>
          <w:sz w:val="32"/>
          <w:szCs w:val="32"/>
        </w:rPr>
        <w:t>万元，其中：基本支出减少</w:t>
      </w:r>
      <w:r>
        <w:rPr>
          <w:rFonts w:ascii="仿宋_GB2312" w:hAnsi="Times New Roman" w:eastAsia="仿宋_GB2312" w:cs="Times New Roman"/>
          <w:sz w:val="32"/>
          <w:szCs w:val="32"/>
        </w:rPr>
        <w:t>31.25</w:t>
      </w:r>
      <w:r>
        <w:rPr>
          <w:rFonts w:hint="eastAsia" w:ascii="仿宋_GB2312" w:hAnsi="Times New Roman" w:eastAsia="仿宋_GB2312" w:cs="Times New Roman"/>
          <w:sz w:val="32"/>
          <w:szCs w:val="32"/>
        </w:rPr>
        <w:t>万元，主要为人员调动较大，人员类经费等基本支出；项目支出减少</w:t>
      </w:r>
      <w:r>
        <w:rPr>
          <w:rFonts w:ascii="仿宋_GB2312" w:hAnsi="Times New Roman" w:eastAsia="仿宋_GB2312" w:cs="Times New Roman"/>
          <w:sz w:val="32"/>
          <w:szCs w:val="32"/>
        </w:rPr>
        <w:t>138.89</w:t>
      </w:r>
      <w:r>
        <w:rPr>
          <w:rFonts w:hint="eastAsia" w:ascii="仿宋_GB2312" w:hAnsi="Times New Roman" w:eastAsia="仿宋_GB2312" w:cs="Times New Roman"/>
          <w:sz w:val="32"/>
          <w:szCs w:val="32"/>
        </w:rPr>
        <w:t>万元，主要为土地整理及环境治理等项目支出。</w:t>
      </w:r>
    </w:p>
    <w:p>
      <w:pPr>
        <w:autoSpaceDE w:val="0"/>
        <w:autoSpaceDN w:val="0"/>
        <w:adjustRightInd w:val="0"/>
        <w:spacing w:line="584" w:lineRule="exact"/>
        <w:ind w:left="198"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三、机关运行经费安排情况</w:t>
      </w:r>
    </w:p>
    <w:p>
      <w:pPr>
        <w:autoSpaceDE w:val="0"/>
        <w:autoSpaceDN w:val="0"/>
        <w:adjustRightInd w:val="0"/>
        <w:spacing w:line="584" w:lineRule="exact"/>
        <w:ind w:left="198" w:firstLine="640" w:firstLineChars="200"/>
        <w:jc w:val="left"/>
        <w:rPr>
          <w:rFonts w:ascii="仿宋_GB2312" w:hAnsi="宋体" w:eastAsia="仿宋_GB2312" w:cs="Times New Roman"/>
          <w:sz w:val="32"/>
          <w:szCs w:val="32"/>
        </w:rPr>
      </w:pPr>
      <w:r>
        <w:rPr>
          <w:rFonts w:ascii="仿宋_GB2312" w:hAnsi="宋体" w:eastAsia="仿宋_GB2312" w:cs="Times New Roman"/>
          <w:sz w:val="32"/>
          <w:szCs w:val="32"/>
        </w:rPr>
        <w:t>2022</w:t>
      </w:r>
      <w:r>
        <w:rPr>
          <w:rFonts w:hint="eastAsia" w:ascii="仿宋_GB2312" w:hAnsi="宋体" w:eastAsia="仿宋_GB2312" w:cs="Times New Roman"/>
          <w:sz w:val="32"/>
          <w:szCs w:val="32"/>
        </w:rPr>
        <w:t>年，我镇机关运行经费共计安排</w:t>
      </w:r>
      <w:r>
        <w:rPr>
          <w:rFonts w:ascii="仿宋_GB2312" w:hAnsi="宋体" w:eastAsia="仿宋_GB2312" w:cs="Times New Roman"/>
          <w:sz w:val="32"/>
          <w:szCs w:val="32"/>
        </w:rPr>
        <w:t>116.17</w:t>
      </w:r>
      <w:r>
        <w:rPr>
          <w:rFonts w:hint="eastAsia" w:ascii="仿宋_GB2312" w:hAnsi="宋体" w:eastAsia="仿宋_GB2312" w:cs="Times New Roman"/>
          <w:sz w:val="32"/>
          <w:szCs w:val="32"/>
        </w:rPr>
        <w:t>万元，主要用于镇政府办公区的日常维修、办公用房水电费、办公用房取暖费、办公用房物业管理费等日常运行支出。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_GB2312" w:hAnsi="宋体" w:eastAsia="仿宋_GB2312" w:cs="Times New Roman"/>
          <w:color w:val="FF0000"/>
          <w:sz w:val="32"/>
          <w:szCs w:val="32"/>
        </w:rPr>
      </w:pPr>
      <w:r>
        <w:rPr>
          <w:rFonts w:ascii="仿宋_GB2312" w:hAnsi="宋体" w:eastAsia="仿宋_GB2312" w:cs="Times New Roman"/>
          <w:sz w:val="32"/>
          <w:szCs w:val="32"/>
        </w:rPr>
        <w:t>2022</w:t>
      </w:r>
      <w:r>
        <w:rPr>
          <w:rFonts w:hint="eastAsia" w:ascii="仿宋_GB2312" w:hAnsi="宋体" w:eastAsia="仿宋_GB2312" w:cs="Times New Roman"/>
          <w:sz w:val="32"/>
          <w:szCs w:val="32"/>
        </w:rPr>
        <w:t>年，我镇财政拨款“三公”经费预算安排</w:t>
      </w:r>
      <w:r>
        <w:rPr>
          <w:rFonts w:ascii="仿宋_GB2312" w:hAnsi="宋体" w:eastAsia="仿宋_GB2312" w:cs="Times New Roman"/>
          <w:sz w:val="32"/>
          <w:szCs w:val="32"/>
        </w:rPr>
        <w:t>3</w:t>
      </w:r>
      <w:r>
        <w:rPr>
          <w:rFonts w:hint="eastAsia" w:ascii="仿宋_GB2312" w:hAnsi="宋体" w:eastAsia="仿宋_GB2312" w:cs="Times New Roman"/>
          <w:sz w:val="32"/>
          <w:szCs w:val="32"/>
        </w:rPr>
        <w:t>万元。其中，因公出国（境）费</w:t>
      </w:r>
      <w:r>
        <w:rPr>
          <w:rFonts w:ascii="仿宋_GB2312" w:hAnsi="宋体" w:eastAsia="仿宋_GB2312" w:cs="Times New Roman"/>
          <w:sz w:val="32"/>
          <w:szCs w:val="32"/>
        </w:rPr>
        <w:t>0</w:t>
      </w:r>
      <w:r>
        <w:rPr>
          <w:rFonts w:hint="eastAsia" w:ascii="仿宋_GB2312" w:hAnsi="宋体" w:eastAsia="仿宋_GB2312" w:cs="Times New Roman"/>
          <w:sz w:val="32"/>
          <w:szCs w:val="32"/>
        </w:rPr>
        <w:t>万元；公务用车购置及运维费</w:t>
      </w:r>
      <w:r>
        <w:rPr>
          <w:rFonts w:ascii="仿宋_GB2312" w:hAnsi="宋体" w:eastAsia="仿宋_GB2312" w:cs="Times New Roman"/>
          <w:sz w:val="32"/>
          <w:szCs w:val="32"/>
        </w:rPr>
        <w:t>3</w:t>
      </w:r>
      <w:r>
        <w:rPr>
          <w:rFonts w:hint="eastAsia" w:ascii="仿宋_GB2312" w:hAnsi="宋体" w:eastAsia="仿宋_GB2312" w:cs="Times New Roman"/>
          <w:sz w:val="32"/>
          <w:szCs w:val="32"/>
        </w:rPr>
        <w:t>万元（其中：公务用车购置费为</w:t>
      </w:r>
      <w:r>
        <w:rPr>
          <w:rFonts w:ascii="仿宋_GB2312" w:hAnsi="宋体" w:eastAsia="仿宋_GB2312" w:cs="Times New Roman"/>
          <w:sz w:val="32"/>
          <w:szCs w:val="32"/>
        </w:rPr>
        <w:t>0</w:t>
      </w:r>
      <w:r>
        <w:rPr>
          <w:rFonts w:hint="eastAsia" w:ascii="仿宋_GB2312" w:hAnsi="宋体" w:eastAsia="仿宋_GB2312" w:cs="Times New Roman"/>
          <w:sz w:val="32"/>
          <w:szCs w:val="32"/>
        </w:rPr>
        <w:t>万元，公务用车运维费</w:t>
      </w:r>
      <w:r>
        <w:rPr>
          <w:rFonts w:ascii="仿宋_GB2312" w:hAnsi="宋体" w:eastAsia="仿宋_GB2312" w:cs="Times New Roman"/>
          <w:sz w:val="32"/>
          <w:szCs w:val="32"/>
        </w:rPr>
        <w:t>3</w:t>
      </w:r>
      <w:r>
        <w:rPr>
          <w:rFonts w:hint="eastAsia" w:ascii="仿宋_GB2312" w:hAnsi="宋体" w:eastAsia="仿宋_GB2312" w:cs="Times New Roman"/>
          <w:sz w:val="32"/>
          <w:szCs w:val="32"/>
        </w:rPr>
        <w:t>万元</w:t>
      </w:r>
      <w:r>
        <w:rPr>
          <w:rFonts w:ascii="仿宋_GB2312" w:hAnsi="宋体" w:eastAsia="仿宋_GB2312" w:cs="Times New Roman"/>
          <w:sz w:val="32"/>
          <w:szCs w:val="32"/>
        </w:rPr>
        <w:t>)</w:t>
      </w:r>
      <w:r>
        <w:rPr>
          <w:rFonts w:hint="eastAsia" w:ascii="仿宋_GB2312" w:hAnsi="宋体" w:eastAsia="仿宋_GB2312" w:cs="Times New Roman"/>
          <w:sz w:val="32"/>
          <w:szCs w:val="32"/>
        </w:rPr>
        <w:t>；公务接待费</w:t>
      </w:r>
      <w:r>
        <w:rPr>
          <w:rFonts w:ascii="仿宋_GB2312" w:hAnsi="宋体" w:eastAsia="仿宋_GB2312" w:cs="Times New Roman"/>
          <w:sz w:val="32"/>
          <w:szCs w:val="32"/>
        </w:rPr>
        <w:t>0</w:t>
      </w:r>
      <w:r>
        <w:rPr>
          <w:rFonts w:hint="eastAsia" w:ascii="仿宋_GB2312" w:hAnsi="宋体" w:eastAsia="仿宋_GB2312" w:cs="Times New Roman"/>
          <w:sz w:val="32"/>
          <w:szCs w:val="32"/>
        </w:rPr>
        <w:t>万元。与</w:t>
      </w:r>
      <w:r>
        <w:rPr>
          <w:rFonts w:ascii="仿宋_GB2312" w:hAnsi="宋体" w:eastAsia="仿宋_GB2312" w:cs="Times New Roman"/>
          <w:sz w:val="32"/>
          <w:szCs w:val="32"/>
        </w:rPr>
        <w:t>2021</w:t>
      </w:r>
      <w:r>
        <w:rPr>
          <w:rFonts w:hint="eastAsia" w:ascii="仿宋_GB2312" w:hAnsi="宋体" w:eastAsia="仿宋_GB2312" w:cs="Times New Roman"/>
          <w:sz w:val="32"/>
          <w:szCs w:val="32"/>
        </w:rPr>
        <w:t>年相比持平，无增减变化。</w:t>
      </w:r>
    </w:p>
    <w:p>
      <w:pPr>
        <w:autoSpaceDE w:val="0"/>
        <w:autoSpaceDN w:val="0"/>
        <w:adjustRightInd w:val="0"/>
        <w:spacing w:line="584" w:lineRule="exact"/>
        <w:ind w:left="197" w:leftChars="94"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五、绩效预算信息</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第一部分</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单位整体绩效目标</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（一）总体绩效目标</w:t>
      </w:r>
    </w:p>
    <w:p>
      <w:pPr>
        <w:pStyle w:val="2"/>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年以来，在县委县政府的正确领导下，在广大人民群众的大力支持下，臧屯镇顶住了新冠疫情的严峻压力，各项重点工作稳步推进，国民经济和社会发展不退反进，取得了一定的成绩。</w:t>
      </w:r>
      <w:r>
        <w:rPr>
          <w:rFonts w:ascii="仿宋_GB2312" w:hAnsi="仿宋" w:eastAsia="仿宋_GB2312" w:cs="仿宋"/>
          <w:sz w:val="32"/>
          <w:szCs w:val="32"/>
        </w:rPr>
        <w:t>2022</w:t>
      </w:r>
      <w:r>
        <w:rPr>
          <w:rFonts w:hint="eastAsia" w:ascii="仿宋_GB2312" w:hAnsi="仿宋" w:eastAsia="仿宋_GB2312" w:cs="仿宋"/>
          <w:sz w:val="32"/>
          <w:szCs w:val="32"/>
        </w:rPr>
        <w:t>年，臧屯镇将在今年的基础上，坚持实事求</w:t>
      </w:r>
      <w:r>
        <w:rPr>
          <w:rFonts w:hint="eastAsia" w:ascii="仿宋_GB2312" w:eastAsia="仿宋_GB2312"/>
          <w:sz w:val="32"/>
          <w:szCs w:val="32"/>
        </w:rPr>
        <w:t>是思想</w:t>
      </w:r>
      <w:r>
        <w:rPr>
          <w:rFonts w:hint="eastAsia" w:ascii="仿宋_GB2312" w:eastAsia="仿宋_GB2312"/>
          <w:b/>
          <w:sz w:val="32"/>
          <w:szCs w:val="32"/>
        </w:rPr>
        <w:t>，</w:t>
      </w:r>
      <w:r>
        <w:rPr>
          <w:rFonts w:hint="eastAsia" w:ascii="仿宋_GB2312" w:hAnsi="仿宋" w:eastAsia="仿宋_GB2312" w:cs="仿宋"/>
          <w:sz w:val="32"/>
          <w:szCs w:val="32"/>
        </w:rPr>
        <w:t>坚持稳中求进，细致研判、周密部署，持续发力、狠抓落实，进一步夯实基础，提升应对风险、抢抓机遇的能力和水平，推动社会经济发展迈步新台阶。</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（二）分项绩效目标</w:t>
      </w:r>
    </w:p>
    <w:p>
      <w:pPr>
        <w:spacing w:line="560" w:lineRule="exact"/>
        <w:ind w:firstLine="630" w:firstLineChars="196"/>
        <w:rPr>
          <w:rFonts w:ascii="仿宋_GB2312" w:eastAsia="仿宋_GB2312" w:cs="Times New Roman"/>
          <w:b/>
          <w:sz w:val="32"/>
          <w:szCs w:val="32"/>
        </w:rPr>
      </w:pPr>
      <w:r>
        <w:rPr>
          <w:rFonts w:ascii="仿宋_GB2312" w:eastAsia="仿宋_GB2312" w:cs="Times New Roman"/>
          <w:b/>
          <w:sz w:val="32"/>
          <w:szCs w:val="32"/>
        </w:rPr>
        <w:t>1.</w:t>
      </w:r>
      <w:r>
        <w:rPr>
          <w:rFonts w:hint="eastAsia" w:ascii="仿宋_GB2312" w:eastAsia="仿宋_GB2312" w:cs="Times New Roman"/>
          <w:b/>
          <w:sz w:val="32"/>
          <w:szCs w:val="32"/>
        </w:rPr>
        <w:t>通过开展安全生产工作，发现安全隐患，减少事故发生。</w:t>
      </w:r>
    </w:p>
    <w:p>
      <w:pPr>
        <w:spacing w:line="560" w:lineRule="exact"/>
        <w:ind w:firstLine="964" w:firstLineChars="300"/>
        <w:rPr>
          <w:rFonts w:ascii="仿宋_GB2312" w:eastAsia="仿宋_GB2312" w:cs="Times New Roman"/>
          <w:b/>
          <w:sz w:val="32"/>
          <w:szCs w:val="32"/>
        </w:rPr>
      </w:pPr>
      <w:r>
        <w:rPr>
          <w:rFonts w:hint="eastAsia" w:ascii="仿宋_GB2312" w:eastAsia="仿宋_GB2312" w:cs="Times New Roman"/>
          <w:b/>
          <w:sz w:val="32"/>
          <w:szCs w:val="32"/>
        </w:rPr>
        <w:t>绩效目标：</w:t>
      </w:r>
      <w:r>
        <w:rPr>
          <w:rFonts w:hint="eastAsia" w:ascii="仿宋_GB2312" w:eastAsia="仿宋_GB2312" w:cs="Times New Roman"/>
          <w:sz w:val="32"/>
          <w:szCs w:val="32"/>
        </w:rPr>
        <w:t>通过巡查、宣传等及时处理镇区出现的安全生产、食品药品等安全隐患，提高群众及企业安全生产意识，保证镇区内企业安全生产有效提升。</w:t>
      </w:r>
    </w:p>
    <w:p>
      <w:pPr>
        <w:spacing w:line="560" w:lineRule="exact"/>
        <w:ind w:firstLine="964" w:firstLineChars="300"/>
        <w:rPr>
          <w:rFonts w:ascii="仿宋_GB2312" w:eastAsia="仿宋_GB2312" w:cs="Times New Roman"/>
          <w:b/>
          <w:sz w:val="32"/>
          <w:szCs w:val="32"/>
        </w:rPr>
      </w:pPr>
      <w:r>
        <w:rPr>
          <w:rFonts w:hint="eastAsia" w:ascii="仿宋_GB2312" w:eastAsia="仿宋_GB2312" w:cs="Times New Roman"/>
          <w:b/>
          <w:sz w:val="32"/>
          <w:szCs w:val="32"/>
        </w:rPr>
        <w:t>绩效指标：</w:t>
      </w:r>
      <w:r>
        <w:rPr>
          <w:rFonts w:hint="eastAsia" w:ascii="仿宋_GB2312" w:eastAsia="仿宋_GB2312" w:cs="Times New Roman"/>
          <w:sz w:val="32"/>
          <w:szCs w:val="32"/>
        </w:rPr>
        <w:t>应急管理办公室通过巡查及时处理镇区存在的安全生产隐患，年度巡查次数不少</w:t>
      </w:r>
      <w:r>
        <w:rPr>
          <w:rFonts w:ascii="仿宋_GB2312" w:eastAsia="仿宋_GB2312" w:cs="Times New Roman"/>
          <w:sz w:val="32"/>
          <w:szCs w:val="32"/>
        </w:rPr>
        <w:t>50</w:t>
      </w:r>
      <w:r>
        <w:rPr>
          <w:rFonts w:hint="eastAsia" w:ascii="仿宋_GB2312" w:eastAsia="仿宋_GB2312" w:cs="Times New Roman"/>
          <w:sz w:val="32"/>
          <w:szCs w:val="32"/>
        </w:rPr>
        <w:t>次，实现镇区内企业安全生产意识、安全生产验收达标率、安全隐患整改率的提高</w:t>
      </w:r>
      <w:r>
        <w:rPr>
          <w:rFonts w:ascii="仿宋_GB2312" w:eastAsia="仿宋_GB2312" w:cs="Times New Roman"/>
          <w:sz w:val="32"/>
          <w:szCs w:val="32"/>
        </w:rPr>
        <w:t>,</w:t>
      </w:r>
      <w:r>
        <w:rPr>
          <w:rFonts w:hint="eastAsia" w:ascii="仿宋_GB2312" w:eastAsia="仿宋_GB2312" w:cs="Times New Roman"/>
          <w:sz w:val="32"/>
          <w:szCs w:val="32"/>
        </w:rPr>
        <w:t>达到主管单位整体要求，建立安全监管长效工作机制，创造一个安全生产生活环境。</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通过开展妇联工作，加强妇联基层组织建设。</w:t>
      </w:r>
    </w:p>
    <w:p>
      <w:pPr>
        <w:spacing w:line="560" w:lineRule="exact"/>
        <w:ind w:firstLine="1124" w:firstLineChars="35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spacing w:line="560" w:lineRule="exac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镇妇联通过建设不少于</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个妇女之家，每年第二季度、第四季度按期分别举办</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次评选优秀妇女活动，实现基层妇女组织进一步建设，培养农村妇女后备干部，提升农村妇女在家庭、社会中的影响力，创造一个和谐美满的社会。</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通过开展环保工作，实现环保形势稳步提升。</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通过开展环保工作，组织工作专班，深入到各企业进行排查摸底，督促企业落实主体责任，加强大气、水体、机动车污染防治</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加强企业经营单位固体废弃物、重金属等重点污染治理的防治工作；增强群众的环保意识，遏制少数散乱污经营户，提升全镇企业经营安全、规范有序。</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生态环境办公室通过宣传巡查，全年巡查次数不低于</w:t>
      </w:r>
      <w:r>
        <w:rPr>
          <w:rFonts w:ascii="仿宋_GB2312" w:hAnsi="Times New Roman" w:eastAsia="仿宋_GB2312" w:cs="Times New Roman"/>
          <w:sz w:val="32"/>
          <w:szCs w:val="32"/>
        </w:rPr>
        <w:t>100</w:t>
      </w:r>
      <w:r>
        <w:rPr>
          <w:rFonts w:hint="eastAsia" w:ascii="仿宋_GB2312" w:hAnsi="Times New Roman" w:eastAsia="仿宋_GB2312" w:cs="Times New Roman"/>
          <w:sz w:val="32"/>
          <w:szCs w:val="32"/>
        </w:rPr>
        <w:t>次，发现、纠正、督促企业消除各类违法排污，企业生产环保达标，工作目标按期完成，全年优良天气数量增加，预防和减少环境污染，达到主管单位要求，项目经费控制在</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万元，建立环保工作长效机制，企业环保意识得到提升，实现全镇生态环境形势持续稳定好转，居民安居乐业，打造绿色宜居乡村。</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通过开展农村环境治理工作，提升农村居民生活质量。</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通过及时处理镇区出现的生活垃圾、工业垃圾，宣传环境治理政策，保持镇区环境卫生、整洁，提升群众自觉爱护环境的意识，提升群众生活质量。</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firstLine="640"/>
        <w:rPr>
          <w:rFonts w:ascii="仿宋_GB2312" w:hAnsi="Times New Roman" w:eastAsia="仿宋_GB2312" w:cs="Times New Roman"/>
          <w:b w:val="0"/>
          <w:szCs w:val="32"/>
        </w:rPr>
      </w:pPr>
      <w:r>
        <w:rPr>
          <w:rFonts w:hint="eastAsia" w:ascii="仿宋_GB2312" w:hAnsi="Times New Roman" w:eastAsia="仿宋_GB2312" w:cs="Times New Roman"/>
          <w:szCs w:val="32"/>
        </w:rPr>
        <w:t>绩效指标：</w:t>
      </w:r>
      <w:r>
        <w:rPr>
          <w:rFonts w:hint="eastAsia" w:ascii="仿宋_GB2312" w:hAnsi="Times New Roman" w:eastAsia="仿宋_GB2312" w:cs="Times New Roman"/>
          <w:b w:val="0"/>
          <w:szCs w:val="32"/>
        </w:rPr>
        <w:t>农业服务中心对</w:t>
      </w:r>
      <w:r>
        <w:rPr>
          <w:rFonts w:ascii="仿宋_GB2312" w:hAnsi="Times New Roman" w:eastAsia="仿宋_GB2312" w:cs="Times New Roman"/>
          <w:b w:val="0"/>
          <w:szCs w:val="32"/>
        </w:rPr>
        <w:t>54</w:t>
      </w:r>
      <w:r>
        <w:rPr>
          <w:rFonts w:hint="eastAsia" w:ascii="仿宋_GB2312" w:hAnsi="Times New Roman" w:eastAsia="仿宋_GB2312" w:cs="Times New Roman"/>
          <w:b w:val="0"/>
          <w:szCs w:val="32"/>
        </w:rPr>
        <w:t>个村街垃圾点进行摸底排查，实现农村环境达标率、垃圾及时处理率、生产生活环境得到提高，达到主管单位整体要求，全镇</w:t>
      </w:r>
      <w:r>
        <w:rPr>
          <w:rFonts w:ascii="仿宋_GB2312" w:hAnsi="Times New Roman" w:eastAsia="仿宋_GB2312" w:cs="Times New Roman"/>
          <w:b w:val="0"/>
          <w:szCs w:val="32"/>
        </w:rPr>
        <w:t>5.3</w:t>
      </w:r>
      <w:r>
        <w:rPr>
          <w:rFonts w:hint="eastAsia" w:ascii="仿宋_GB2312" w:hAnsi="Times New Roman" w:eastAsia="仿宋_GB2312" w:cs="Times New Roman"/>
          <w:b w:val="0"/>
          <w:szCs w:val="32"/>
        </w:rPr>
        <w:t>万余人受益，村容村貌得到改善，建立农村环境治理长效工作机制，打造绿色宜居乡村。</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通过开展基层党建带团建工作，带动团组织建设。</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党建办通过开展多种形式的党性教育活动和业务培训活动，活动次数不低于</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次，每次参加人数不少于</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人，按照绩效考核标准对党建团建工作进行考核，实现党建团建工作考核合格率，党建团建工作水平的提高，建立以党带团长效工作机制，推动建立广泛覆盖、富有活力的基层组织。</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6.</w:t>
      </w:r>
      <w:r>
        <w:rPr>
          <w:rFonts w:hint="eastAsia" w:ascii="仿宋_GB2312" w:hAnsi="Times New Roman" w:eastAsia="仿宋_GB2312" w:cs="Times New Roman"/>
          <w:b/>
          <w:sz w:val="32"/>
          <w:szCs w:val="32"/>
        </w:rPr>
        <w:t>通过开展贫困户帮扶工作，提高贫困户生活质量。</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通过实施建档立卡贫困户帮扶项目，改善贫困户在日常生活，解决实际困难，最终实现贫困户不愁吃、不愁穿、保障子女义务教育、基本医疗、保障住房目标。</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扶贫办通过对</w:t>
      </w:r>
      <w:r>
        <w:rPr>
          <w:rFonts w:ascii="仿宋_GB2312" w:hAnsi="Times New Roman" w:eastAsia="仿宋_GB2312" w:cs="Times New Roman"/>
          <w:sz w:val="32"/>
          <w:szCs w:val="32"/>
        </w:rPr>
        <w:t>14</w:t>
      </w:r>
      <w:r>
        <w:rPr>
          <w:rFonts w:hint="eastAsia" w:ascii="仿宋_GB2312" w:hAnsi="Times New Roman" w:eastAsia="仿宋_GB2312" w:cs="Times New Roman"/>
          <w:sz w:val="32"/>
          <w:szCs w:val="32"/>
        </w:rPr>
        <w:t>户建档立卡贫困户发放</w:t>
      </w:r>
      <w:r>
        <w:rPr>
          <w:rFonts w:ascii="仿宋_GB2312" w:hAnsi="Times New Roman" w:eastAsia="仿宋_GB2312" w:cs="Times New Roman"/>
          <w:sz w:val="32"/>
          <w:szCs w:val="32"/>
        </w:rPr>
        <w:t>2000</w:t>
      </w:r>
      <w:r>
        <w:rPr>
          <w:rFonts w:hint="eastAsia" w:ascii="仿宋_GB2312" w:hAnsi="Times New Roman" w:eastAsia="仿宋_GB2312" w:cs="Times New Roman"/>
          <w:sz w:val="32"/>
          <w:szCs w:val="32"/>
        </w:rPr>
        <w:t>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户的慰问金，每年慰问次数不少于</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次，实现慰问金发放准确率，及时率、到位率、贫困户扶贫政策知晓率的提高，达到准管单位要求，项目经费控制在</w:t>
      </w:r>
      <w:r>
        <w:rPr>
          <w:rFonts w:ascii="仿宋_GB2312" w:hAnsi="Times New Roman" w:eastAsia="仿宋_GB2312" w:cs="Times New Roman"/>
          <w:sz w:val="32"/>
          <w:szCs w:val="32"/>
        </w:rPr>
        <w:t>2.8</w:t>
      </w:r>
      <w:r>
        <w:rPr>
          <w:rFonts w:hint="eastAsia" w:ascii="仿宋_GB2312" w:hAnsi="Times New Roman" w:eastAsia="仿宋_GB2312" w:cs="Times New Roman"/>
          <w:sz w:val="32"/>
          <w:szCs w:val="32"/>
        </w:rPr>
        <w:t>万元，建立长效管理机制，确保贫困户生活质量有效提高，实现贫困户家庭收入有效增长，使贫困户对政府扶贫工作达到满意，提升贫困户家庭幸福感。</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7.</w:t>
      </w:r>
      <w:r>
        <w:rPr>
          <w:rFonts w:hint="eastAsia" w:ascii="仿宋_GB2312" w:hAnsi="Times New Roman" w:eastAsia="仿宋_GB2312" w:cs="Times New Roman"/>
          <w:b/>
          <w:sz w:val="32"/>
          <w:szCs w:val="32"/>
        </w:rPr>
        <w:t>通过开展退役军人服务工作，切实维护退役军人合法利益。</w:t>
      </w:r>
    </w:p>
    <w:p>
      <w:pPr>
        <w:spacing w:line="560" w:lineRule="exact"/>
        <w:ind w:firstLine="1124" w:firstLineChars="35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切实维护好退役军人合法权益，成立退役军人服务站，保证机构、人员、经费，切实把广大退役军人工作和生活保障好，激励他们为改革发展和社会稳定作出积极贡献。</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firstLine="640"/>
        <w:rPr>
          <w:rFonts w:ascii="仿宋_GB2312" w:hAnsi="Times New Roman" w:eastAsia="仿宋_GB2312" w:cs="Times New Roman"/>
          <w:b w:val="0"/>
          <w:szCs w:val="32"/>
        </w:rPr>
      </w:pPr>
      <w:r>
        <w:rPr>
          <w:rFonts w:hint="eastAsia" w:ascii="仿宋_GB2312" w:hAnsi="Times New Roman" w:eastAsia="仿宋_GB2312" w:cs="Times New Roman"/>
          <w:szCs w:val="32"/>
        </w:rPr>
        <w:t>绩效指标：</w:t>
      </w:r>
      <w:r>
        <w:rPr>
          <w:rFonts w:hint="eastAsia" w:ascii="仿宋_GB2312" w:hAnsi="Times New Roman" w:eastAsia="仿宋_GB2312" w:cs="Times New Roman"/>
          <w:b w:val="0"/>
          <w:szCs w:val="32"/>
        </w:rPr>
        <w:t>退役军人服务站通过做好就业、创业、扶持、走访慰问、帮扶解困、信访接待、权益保障等工作，走访帮扶不低于</w:t>
      </w:r>
      <w:r>
        <w:rPr>
          <w:rFonts w:ascii="仿宋_GB2312" w:hAnsi="Times New Roman" w:eastAsia="仿宋_GB2312" w:cs="Times New Roman"/>
          <w:b w:val="0"/>
          <w:szCs w:val="32"/>
        </w:rPr>
        <w:t>50</w:t>
      </w:r>
      <w:r>
        <w:rPr>
          <w:rFonts w:hint="eastAsia" w:ascii="仿宋_GB2312" w:hAnsi="Times New Roman" w:eastAsia="仿宋_GB2312" w:cs="Times New Roman"/>
          <w:b w:val="0"/>
          <w:szCs w:val="32"/>
        </w:rPr>
        <w:t>次，实现退役军人慰问金发放及时准确，按期完成退役军人生活技能培训计划，鼓励退役军人自主创业，减少退役军人信访投诉情况发生，达到主管单位要求</w:t>
      </w:r>
      <w:r>
        <w:rPr>
          <w:rFonts w:ascii="仿宋_GB2312" w:hAnsi="Times New Roman" w:eastAsia="仿宋_GB2312" w:cs="Times New Roman"/>
          <w:b w:val="0"/>
          <w:szCs w:val="32"/>
        </w:rPr>
        <w:t>,</w:t>
      </w:r>
      <w:r>
        <w:rPr>
          <w:rFonts w:hint="eastAsia" w:ascii="仿宋_GB2312" w:hAnsi="Times New Roman" w:eastAsia="仿宋_GB2312" w:cs="Times New Roman"/>
          <w:b w:val="0"/>
          <w:szCs w:val="32"/>
        </w:rPr>
        <w:t>建立长效工作机制，切实维护好退役军人合法利益。</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8.</w:t>
      </w:r>
      <w:r>
        <w:rPr>
          <w:rFonts w:hint="eastAsia" w:ascii="仿宋_GB2312" w:hAnsi="Times New Roman" w:eastAsia="仿宋_GB2312" w:cs="Times New Roman"/>
          <w:b/>
          <w:sz w:val="32"/>
          <w:szCs w:val="32"/>
        </w:rPr>
        <w:t>通过创建人大代表联络站，方便代表联系群众，拉近代表与群众的距离，提升辖区社会稳定水平。</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为群众解决了大量最关心、最直接、最现实的问题的同时，进一步拉近了人大代表和群众之间的距离，有效促进了基层社会的和谐稳定。</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通过人大代表联络站，了解关心人大代表对的工作，学习，生活情况，为人大代表履行代表职责提供条件。建立人大代表联络站个数不低于</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个，为各级人大代表联系人民群众搭建平台，是新形势下密切代表与人民群众联系的纽带和桥梁。</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9.</w:t>
      </w:r>
      <w:r>
        <w:rPr>
          <w:rFonts w:hint="eastAsia" w:ascii="仿宋_GB2312" w:hAnsi="Times New Roman" w:eastAsia="仿宋_GB2312" w:cs="Times New Roman"/>
          <w:b/>
          <w:sz w:val="32"/>
          <w:szCs w:val="32"/>
        </w:rPr>
        <w:t>保障完成国防动员宣传教育、征兵、应急抢险等工作任务</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完成国防动员宣传教育、征兵、应急抢险等工作任务，完成县人民武装部交办的各项任务，响应上级命令参加训练集结等工作。</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完成县人民武装部交办的各项任务，响应上级命令参加训练集结等工作。每年训练民兵人数不低于</w:t>
      </w:r>
      <w:r>
        <w:rPr>
          <w:rFonts w:ascii="仿宋_GB2312" w:hAnsi="Times New Roman" w:eastAsia="仿宋_GB2312" w:cs="Times New Roman"/>
          <w:sz w:val="32"/>
          <w:szCs w:val="32"/>
        </w:rPr>
        <w:t>100</w:t>
      </w:r>
      <w:r>
        <w:rPr>
          <w:rFonts w:hint="eastAsia" w:ascii="仿宋_GB2312" w:hAnsi="Times New Roman" w:eastAsia="仿宋_GB2312" w:cs="Times New Roman"/>
          <w:sz w:val="32"/>
          <w:szCs w:val="32"/>
        </w:rPr>
        <w:t>人，战备，训练物资更新补充，提升国防宣传、征兵工作知晓率。</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10.</w:t>
      </w:r>
      <w:r>
        <w:t xml:space="preserve"> </w:t>
      </w:r>
      <w:r>
        <w:rPr>
          <w:rFonts w:hint="eastAsia" w:ascii="仿宋_GB2312" w:hAnsi="Times New Roman" w:eastAsia="仿宋_GB2312" w:cs="Times New Roman"/>
          <w:b/>
          <w:sz w:val="32"/>
          <w:szCs w:val="32"/>
        </w:rPr>
        <w:t>妥善解决刘培福历史遗留问题</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妥善解决我单位原职工刘培福住房安置问题。</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我镇经细致调查，并与县退役军人事务局研究认为，刘培福妻子、子女均为随军户口，符合全迁户军转干部条件，按照《国务院办公厅、中央军委办公厅关于印发军队转业干部住房保障办法的通知》（国办发〔</w:t>
      </w:r>
      <w:r>
        <w:rPr>
          <w:rFonts w:ascii="仿宋_GB2312" w:hAnsi="Times New Roman" w:eastAsia="仿宋_GB2312" w:cs="Times New Roman"/>
          <w:sz w:val="32"/>
          <w:szCs w:val="32"/>
        </w:rPr>
        <w:t>2000</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62</w:t>
      </w:r>
      <w:r>
        <w:rPr>
          <w:rFonts w:hint="eastAsia" w:ascii="仿宋_GB2312" w:hAnsi="Times New Roman" w:eastAsia="仿宋_GB2312" w:cs="Times New Roman"/>
          <w:sz w:val="32"/>
          <w:szCs w:val="32"/>
        </w:rPr>
        <w:t>号）第二条第四款和《国务院军队转业干部安置工作小组、总政治部、劳动人事部、财政部关于做好一九八四年军队转业干部安置工作的意见》文件精神，应妥善解决其住房安置问题。</w:t>
      </w:r>
    </w:p>
    <w:p>
      <w:pPr>
        <w:spacing w:line="560"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11.</w:t>
      </w:r>
      <w:r>
        <w:t xml:space="preserve"> </w:t>
      </w:r>
      <w:r>
        <w:rPr>
          <w:rFonts w:hint="eastAsia" w:ascii="仿宋_GB2312" w:hAnsi="Times New Roman" w:eastAsia="仿宋_GB2312" w:cs="Times New Roman"/>
          <w:b/>
          <w:sz w:val="32"/>
          <w:szCs w:val="32"/>
        </w:rPr>
        <w:t>烟村干渠及臧屯排干污水治理工作</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仿宋" w:eastAsia="仿宋_GB2312"/>
          <w:color w:val="000000"/>
          <w:kern w:val="0"/>
          <w:sz w:val="32"/>
          <w:szCs w:val="32"/>
        </w:rPr>
        <w:t>通过项目的开展完成河道污水的治理，实现水生态环境明显改善，提高人民健康水平</w:t>
      </w:r>
      <w:r>
        <w:rPr>
          <w:rFonts w:hint="eastAsia" w:ascii="仿宋_GB2312" w:hAnsi="Times New Roman" w:eastAsia="仿宋_GB2312" w:cs="Times New Roman"/>
          <w:sz w:val="32"/>
          <w:szCs w:val="32"/>
        </w:rPr>
        <w:t>。</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本工程主要是对烟村干渠（桑杭段、关家务段）及臧屯排干（关家务段）污水进行治理，烟村干渠位于臧屯镇桑杭村东侧，长</w:t>
      </w:r>
      <w:r>
        <w:rPr>
          <w:rFonts w:ascii="仿宋_GB2312" w:hAnsi="Times New Roman" w:eastAsia="仿宋_GB2312" w:cs="Times New Roman"/>
          <w:sz w:val="32"/>
          <w:szCs w:val="32"/>
        </w:rPr>
        <w:t>1254</w:t>
      </w:r>
      <w:r>
        <w:rPr>
          <w:rFonts w:hint="eastAsia" w:ascii="仿宋_GB2312" w:hAnsi="Times New Roman" w:eastAsia="仿宋_GB2312" w:cs="Times New Roman"/>
          <w:sz w:val="32"/>
          <w:szCs w:val="32"/>
        </w:rPr>
        <w:t>米，宽</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米，水量</w:t>
      </w:r>
      <w:r>
        <w:rPr>
          <w:rFonts w:ascii="仿宋_GB2312" w:hAnsi="Times New Roman" w:eastAsia="仿宋_GB2312" w:cs="Times New Roman"/>
          <w:sz w:val="32"/>
          <w:szCs w:val="32"/>
        </w:rPr>
        <w:t>2.4</w:t>
      </w:r>
      <w:r>
        <w:rPr>
          <w:rFonts w:hint="eastAsia" w:ascii="仿宋_GB2312" w:hAnsi="Times New Roman" w:eastAsia="仿宋_GB2312" w:cs="Times New Roman"/>
          <w:sz w:val="32"/>
          <w:szCs w:val="32"/>
        </w:rPr>
        <w:t>万立方。臧屯排干（关家务段）位于关家务村，河道长</w:t>
      </w:r>
      <w:r>
        <w:rPr>
          <w:rFonts w:ascii="仿宋_GB2312" w:hAnsi="Times New Roman" w:eastAsia="仿宋_GB2312" w:cs="Times New Roman"/>
          <w:sz w:val="32"/>
          <w:szCs w:val="32"/>
        </w:rPr>
        <w:t>588</w:t>
      </w:r>
      <w:r>
        <w:rPr>
          <w:rFonts w:hint="eastAsia" w:ascii="仿宋_GB2312" w:hAnsi="Times New Roman" w:eastAsia="仿宋_GB2312" w:cs="Times New Roman"/>
          <w:sz w:val="32"/>
          <w:szCs w:val="32"/>
        </w:rPr>
        <w:t>米，款</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米，水量</w:t>
      </w:r>
      <w:r>
        <w:rPr>
          <w:rFonts w:ascii="仿宋_GB2312" w:hAnsi="Times New Roman" w:eastAsia="仿宋_GB2312" w:cs="Times New Roman"/>
          <w:sz w:val="32"/>
          <w:szCs w:val="32"/>
        </w:rPr>
        <w:t>5800</w:t>
      </w:r>
      <w:r>
        <w:rPr>
          <w:rFonts w:hint="eastAsia" w:ascii="仿宋_GB2312" w:hAnsi="Times New Roman" w:eastAsia="仿宋_GB2312" w:cs="Times New Roman"/>
          <w:sz w:val="32"/>
          <w:szCs w:val="32"/>
        </w:rPr>
        <w:t>立方。</w:t>
      </w:r>
    </w:p>
    <w:p>
      <w:pPr>
        <w:spacing w:line="560" w:lineRule="exact"/>
        <w:ind w:firstLine="964" w:firstLineChars="300"/>
        <w:rPr>
          <w:rFonts w:ascii="仿宋_GB2312" w:hAnsi="Times New Roman" w:eastAsia="仿宋_GB2312" w:cs="Times New Roman"/>
          <w:b/>
          <w:sz w:val="32"/>
          <w:szCs w:val="32"/>
        </w:rPr>
      </w:pPr>
      <w:r>
        <w:rPr>
          <w:rFonts w:ascii="仿宋_GB2312" w:hAnsi="Times New Roman" w:eastAsia="仿宋_GB2312" w:cs="Times New Roman"/>
          <w:b/>
          <w:sz w:val="32"/>
          <w:szCs w:val="32"/>
        </w:rPr>
        <w:t>12.</w:t>
      </w:r>
      <w:r>
        <w:rPr>
          <w:rFonts w:hint="eastAsia" w:ascii="仿宋_GB2312" w:hAnsi="Times New Roman" w:eastAsia="仿宋_GB2312" w:cs="Times New Roman"/>
          <w:b/>
          <w:sz w:val="32"/>
          <w:szCs w:val="32"/>
        </w:rPr>
        <w:t>为加快实施廊泊路两侧改造提升工程进度</w:t>
      </w:r>
      <w:r>
        <w:rPr>
          <w:rFonts w:ascii="仿宋_GB2312" w:hAnsi="Times New Roman" w:eastAsia="仿宋_GB2312" w:cs="Times New Roman"/>
          <w:b/>
          <w:sz w:val="32"/>
          <w:szCs w:val="32"/>
        </w:rPr>
        <w:t>,</w:t>
      </w:r>
      <w:r>
        <w:rPr>
          <w:rFonts w:hint="eastAsia" w:ascii="仿宋_GB2312" w:hAnsi="Times New Roman" w:eastAsia="仿宋_GB2312" w:cs="Times New Roman"/>
          <w:b/>
          <w:sz w:val="32"/>
          <w:szCs w:val="32"/>
        </w:rPr>
        <w:t>启动土地流转工作</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涉及流转土地面积</w:t>
      </w:r>
      <w:r>
        <w:rPr>
          <w:rFonts w:ascii="仿宋_GB2312" w:hAnsi="Times New Roman" w:eastAsia="仿宋_GB2312" w:cs="Times New Roman"/>
          <w:sz w:val="32"/>
          <w:szCs w:val="32"/>
        </w:rPr>
        <w:t>1080.805</w:t>
      </w:r>
      <w:r>
        <w:rPr>
          <w:rFonts w:hint="eastAsia" w:ascii="仿宋_GB2312" w:hAnsi="Times New Roman" w:eastAsia="仿宋_GB2312" w:cs="Times New Roman"/>
          <w:sz w:val="32"/>
          <w:szCs w:val="32"/>
        </w:rPr>
        <w:t>亩</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流转期限</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按照每年</w:t>
      </w:r>
      <w:r>
        <w:rPr>
          <w:rFonts w:ascii="仿宋_GB2312" w:hAnsi="Times New Roman" w:eastAsia="仿宋_GB2312" w:cs="Times New Roman"/>
          <w:sz w:val="32"/>
          <w:szCs w:val="32"/>
        </w:rPr>
        <w:t>1000</w:t>
      </w:r>
      <w:r>
        <w:rPr>
          <w:rFonts w:hint="eastAsia" w:ascii="仿宋_GB2312" w:hAnsi="Times New Roman" w:eastAsia="仿宋_GB2312" w:cs="Times New Roman"/>
          <w:sz w:val="32"/>
          <w:szCs w:val="32"/>
        </w:rPr>
        <w:t>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亩的标准</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共需资金</w:t>
      </w:r>
      <w:r>
        <w:rPr>
          <w:rFonts w:ascii="仿宋_GB2312" w:hAnsi="Times New Roman" w:eastAsia="仿宋_GB2312" w:cs="Times New Roman"/>
          <w:sz w:val="32"/>
          <w:szCs w:val="32"/>
        </w:rPr>
        <w:t>1080.805</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逐年付清</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今年需支付流转资金</w:t>
      </w:r>
      <w:r>
        <w:rPr>
          <w:rFonts w:ascii="仿宋_GB2312" w:hAnsi="Times New Roman" w:eastAsia="仿宋_GB2312" w:cs="Times New Roman"/>
          <w:sz w:val="32"/>
          <w:szCs w:val="32"/>
        </w:rPr>
        <w:t>108.0805</w:t>
      </w:r>
      <w:r>
        <w:rPr>
          <w:rFonts w:hint="eastAsia" w:ascii="仿宋_GB2312" w:hAnsi="Times New Roman" w:eastAsia="仿宋_GB2312" w:cs="Times New Roman"/>
          <w:sz w:val="32"/>
          <w:szCs w:val="32"/>
        </w:rPr>
        <w:t>万元。</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涉及流转土地面积</w:t>
      </w:r>
      <w:r>
        <w:rPr>
          <w:rFonts w:ascii="仿宋_GB2312" w:hAnsi="Times New Roman" w:eastAsia="仿宋_GB2312" w:cs="Times New Roman"/>
          <w:sz w:val="32"/>
          <w:szCs w:val="32"/>
        </w:rPr>
        <w:t>1080.805</w:t>
      </w:r>
      <w:r>
        <w:rPr>
          <w:rFonts w:hint="eastAsia" w:ascii="仿宋_GB2312" w:hAnsi="Times New Roman" w:eastAsia="仿宋_GB2312" w:cs="Times New Roman"/>
          <w:sz w:val="32"/>
          <w:szCs w:val="32"/>
        </w:rPr>
        <w:t>亩</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流转期限</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按照每年</w:t>
      </w:r>
      <w:r>
        <w:rPr>
          <w:rFonts w:ascii="仿宋_GB2312" w:hAnsi="Times New Roman" w:eastAsia="仿宋_GB2312" w:cs="Times New Roman"/>
          <w:sz w:val="32"/>
          <w:szCs w:val="32"/>
        </w:rPr>
        <w:t>1000</w:t>
      </w:r>
      <w:r>
        <w:rPr>
          <w:rFonts w:hint="eastAsia" w:ascii="仿宋_GB2312" w:hAnsi="Times New Roman" w:eastAsia="仿宋_GB2312" w:cs="Times New Roman"/>
          <w:sz w:val="32"/>
          <w:szCs w:val="32"/>
        </w:rPr>
        <w:t>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亩的标准，共需资金</w:t>
      </w:r>
      <w:r>
        <w:rPr>
          <w:rFonts w:ascii="仿宋_GB2312" w:hAnsi="Times New Roman" w:eastAsia="仿宋_GB2312" w:cs="Times New Roman"/>
          <w:sz w:val="32"/>
          <w:szCs w:val="32"/>
        </w:rPr>
        <w:t>1080.805</w:t>
      </w:r>
      <w:r>
        <w:rPr>
          <w:rFonts w:hint="eastAsia" w:ascii="仿宋_GB2312" w:hAnsi="Times New Roman" w:eastAsia="仿宋_GB2312" w:cs="Times New Roman"/>
          <w:sz w:val="32"/>
          <w:szCs w:val="32"/>
        </w:rPr>
        <w:t>万元，使廊沧高速东侧绿化节点合理化，改善镇域环境，为镇域发展提供支撑。</w:t>
      </w:r>
    </w:p>
    <w:p>
      <w:pPr>
        <w:spacing w:line="560" w:lineRule="exact"/>
        <w:ind w:firstLine="420" w:firstLineChars="200"/>
        <w:rPr>
          <w:rFonts w:ascii="仿宋_GB2312" w:hAnsi="Times New Roman" w:eastAsia="仿宋_GB2312" w:cs="Times New Roman"/>
          <w:b/>
          <w:sz w:val="32"/>
          <w:szCs w:val="32"/>
        </w:rPr>
      </w:pPr>
      <w:r>
        <w:t xml:space="preserve">  </w:t>
      </w:r>
      <w:r>
        <w:rPr>
          <w:rFonts w:hint="eastAsia"/>
          <w:lang w:val="en-US" w:eastAsia="zh-CN"/>
        </w:rPr>
        <w:t xml:space="preserve">  </w:t>
      </w:r>
      <w:r>
        <w:t xml:space="preserve"> </w:t>
      </w:r>
      <w:r>
        <w:rPr>
          <w:rFonts w:ascii="仿宋_GB2312" w:hAnsi="Times New Roman" w:eastAsia="仿宋_GB2312" w:cs="Times New Roman"/>
          <w:b/>
          <w:sz w:val="32"/>
          <w:szCs w:val="32"/>
        </w:rPr>
        <w:t>13.</w:t>
      </w:r>
      <w:r>
        <w:rPr>
          <w:rFonts w:hint="eastAsia" w:ascii="仿宋_GB2312" w:hAnsi="Times New Roman" w:eastAsia="仿宋_GB2312" w:cs="Times New Roman"/>
          <w:b/>
          <w:sz w:val="32"/>
          <w:szCs w:val="32"/>
        </w:rPr>
        <w:t>廊泊路两侧改造提升工程监理</w:t>
      </w:r>
    </w:p>
    <w:p>
      <w:pPr>
        <w:spacing w:line="560" w:lineRule="exact"/>
        <w:ind w:firstLine="964" w:firstLineChars="3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绩效目标：</w:t>
      </w:r>
      <w:r>
        <w:rPr>
          <w:rFonts w:hint="eastAsia" w:ascii="仿宋_GB2312" w:hAnsi="Times New Roman" w:eastAsia="仿宋_GB2312" w:cs="Times New Roman"/>
          <w:sz w:val="32"/>
          <w:szCs w:val="32"/>
        </w:rPr>
        <w:t>通过廊泊路两侧改造提升工程项目，对我镇廊泊路两侧村街环境明显改善，提升镇区整体面貌。</w:t>
      </w:r>
    </w:p>
    <w:p>
      <w:pPr>
        <w:spacing w:line="560" w:lineRule="exact"/>
        <w:ind w:firstLine="964" w:firstLineChars="300"/>
      </w:pPr>
      <w:r>
        <w:rPr>
          <w:rFonts w:hint="eastAsia" w:ascii="仿宋_GB2312" w:hAnsi="Times New Roman" w:eastAsia="仿宋_GB2312" w:cs="Times New Roman"/>
          <w:b/>
          <w:sz w:val="32"/>
          <w:szCs w:val="32"/>
        </w:rPr>
        <w:t>绩效指标：</w:t>
      </w:r>
      <w:r>
        <w:rPr>
          <w:rFonts w:hint="eastAsia" w:ascii="仿宋_GB2312" w:hAnsi="Times New Roman" w:eastAsia="仿宋_GB2312" w:cs="Times New Roman"/>
          <w:sz w:val="32"/>
          <w:szCs w:val="32"/>
        </w:rPr>
        <w:t>我镇全力推进过寸段干线两侧外立面改造工程，提升整体面貌。为保障工程质量，推进工程及时开工建设，我镇拟聘请第三方监理介入。</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仿宋_GB2312" w:hAnsi="Times New Roman" w:eastAsia="仿宋_GB2312"/>
          <w:kern w:val="0"/>
          <w:sz w:val="32"/>
          <w:szCs w:val="32"/>
        </w:rPr>
      </w:pPr>
      <w:r>
        <w:rPr>
          <w:rFonts w:ascii="仿宋_GB2312" w:hAnsi="仿宋" w:eastAsia="仿宋_GB2312" w:cs="仿宋"/>
          <w:b/>
          <w:bCs/>
          <w:kern w:val="0"/>
          <w:sz w:val="32"/>
          <w:szCs w:val="32"/>
        </w:rPr>
        <w:t>1.</w:t>
      </w:r>
      <w:r>
        <w:rPr>
          <w:rFonts w:hint="eastAsia" w:ascii="仿宋_GB2312" w:hAnsi="仿宋" w:eastAsia="仿宋_GB2312" w:cs="仿宋"/>
          <w:b/>
          <w:bCs/>
          <w:kern w:val="0"/>
          <w:sz w:val="32"/>
          <w:szCs w:val="32"/>
        </w:rPr>
        <w:t>完善制度建设。</w:t>
      </w:r>
      <w:r>
        <w:rPr>
          <w:rFonts w:hint="eastAsia" w:ascii="仿宋_GB2312" w:hAnsi="仿宋" w:eastAsia="仿宋_GB2312"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仿宋_GB2312" w:hAnsi="·ÂËÎ" w:eastAsia="仿宋_GB2312" w:cs="·ÂËÎ"/>
          <w:kern w:val="0"/>
          <w:sz w:val="32"/>
          <w:szCs w:val="32"/>
        </w:rPr>
      </w:pPr>
      <w:r>
        <w:rPr>
          <w:rFonts w:ascii="仿宋_GB2312" w:hAnsi="仿宋" w:eastAsia="仿宋_GB2312" w:cs="仿宋"/>
          <w:b/>
          <w:bCs/>
          <w:kern w:val="0"/>
          <w:sz w:val="32"/>
          <w:szCs w:val="32"/>
        </w:rPr>
        <w:t>2.</w:t>
      </w:r>
      <w:r>
        <w:rPr>
          <w:rFonts w:hint="eastAsia" w:ascii="仿宋_GB2312" w:hAnsi="仿宋" w:eastAsia="仿宋_GB2312" w:cs="仿宋"/>
          <w:b/>
          <w:bCs/>
          <w:kern w:val="0"/>
          <w:sz w:val="32"/>
          <w:szCs w:val="32"/>
        </w:rPr>
        <w:t>加强支出管理。</w:t>
      </w:r>
      <w:r>
        <w:rPr>
          <w:rFonts w:hint="eastAsia" w:ascii="仿宋_GB2312" w:hAnsi="仿宋" w:eastAsia="仿宋_GB2312" w:cs="仿宋"/>
          <w:color w:val="000000"/>
          <w:kern w:val="0"/>
          <w:sz w:val="32"/>
          <w:szCs w:val="32"/>
        </w:rPr>
        <w:t>通过优化支出结构、编细编实预算、加快履行政府采购手续、尽快启动项目、及时支付资金、</w:t>
      </w:r>
      <w:r>
        <w:rPr>
          <w:rFonts w:ascii="仿宋_GB2312" w:hAnsi="仿宋" w:eastAsia="仿宋_GB2312" w:cs="仿宋"/>
          <w:color w:val="000000"/>
          <w:kern w:val="0"/>
          <w:sz w:val="32"/>
          <w:szCs w:val="32"/>
        </w:rPr>
        <w:t>6</w:t>
      </w:r>
      <w:r>
        <w:rPr>
          <w:rFonts w:hint="eastAsia" w:ascii="仿宋_GB2312" w:hAnsi="仿宋" w:eastAsia="仿宋_GB2312"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3.</w:t>
      </w:r>
      <w:r>
        <w:rPr>
          <w:rFonts w:hint="eastAsia" w:ascii="仿宋_GB2312" w:hAnsi="仿宋" w:eastAsia="仿宋_GB2312" w:cs="仿宋"/>
          <w:b/>
          <w:bCs/>
          <w:kern w:val="0"/>
          <w:sz w:val="32"/>
          <w:szCs w:val="32"/>
        </w:rPr>
        <w:t>加强绩效运行监控。</w:t>
      </w:r>
      <w:r>
        <w:rPr>
          <w:rFonts w:hint="eastAsia" w:ascii="仿宋_GB2312" w:hAnsi="仿宋" w:eastAsia="仿宋_GB2312"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4.</w:t>
      </w:r>
      <w:r>
        <w:rPr>
          <w:rFonts w:hint="eastAsia" w:ascii="仿宋_GB2312" w:hAnsi="仿宋" w:eastAsia="仿宋_GB2312" w:cs="仿宋"/>
          <w:b/>
          <w:bCs/>
          <w:kern w:val="0"/>
          <w:sz w:val="32"/>
          <w:szCs w:val="32"/>
        </w:rPr>
        <w:t>做好绩效自评。</w:t>
      </w:r>
      <w:r>
        <w:rPr>
          <w:rFonts w:hint="eastAsia" w:ascii="仿宋_GB2312" w:hAnsi="仿宋" w:eastAsia="仿宋_GB2312" w:cs="仿宋"/>
          <w:kern w:val="0"/>
          <w:sz w:val="32"/>
          <w:szCs w:val="32"/>
        </w:rPr>
        <w:t>按要求开展上年度单位预算绩效自评和重点评价工作，对评价中发现的问题及时整改，调整优化支出结构，提高财政资金使用效益。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5.</w:t>
      </w:r>
      <w:r>
        <w:rPr>
          <w:rFonts w:hint="eastAsia" w:ascii="仿宋_GB2312" w:hAnsi="仿宋" w:eastAsia="仿宋_GB2312" w:cs="仿宋"/>
          <w:b/>
          <w:bCs/>
          <w:kern w:val="0"/>
          <w:sz w:val="32"/>
          <w:szCs w:val="32"/>
        </w:rPr>
        <w:t>规范财务资产管理。</w:t>
      </w:r>
      <w:r>
        <w:rPr>
          <w:rFonts w:hint="eastAsia" w:ascii="仿宋_GB2312" w:hAnsi="仿宋" w:eastAsia="仿宋_GB2312"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6.</w:t>
      </w:r>
      <w:r>
        <w:rPr>
          <w:rFonts w:hint="eastAsia" w:ascii="仿宋_GB2312" w:hAnsi="仿宋" w:eastAsia="仿宋_GB2312" w:cs="仿宋"/>
          <w:b/>
          <w:bCs/>
          <w:kern w:val="0"/>
          <w:sz w:val="32"/>
          <w:szCs w:val="32"/>
        </w:rPr>
        <w:t>加强内部监督。</w:t>
      </w:r>
      <w:r>
        <w:rPr>
          <w:rFonts w:hint="eastAsia" w:ascii="仿宋_GB2312" w:hAnsi="仿宋" w:eastAsia="仿宋_GB2312"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仿宋_GB2312" w:hAnsi="仿宋" w:eastAsia="仿宋_GB2312" w:cs="仿宋"/>
          <w:kern w:val="0"/>
          <w:sz w:val="32"/>
          <w:szCs w:val="32"/>
        </w:rPr>
      </w:pPr>
      <w:r>
        <w:rPr>
          <w:rFonts w:ascii="仿宋_GB2312" w:hAnsi="仿宋" w:eastAsia="仿宋_GB2312" w:cs="仿宋"/>
          <w:b/>
          <w:bCs/>
          <w:kern w:val="0"/>
          <w:sz w:val="32"/>
          <w:szCs w:val="32"/>
        </w:rPr>
        <w:t>7.</w:t>
      </w:r>
      <w:r>
        <w:rPr>
          <w:rFonts w:hint="eastAsia" w:ascii="仿宋_GB2312" w:hAnsi="仿宋" w:eastAsia="仿宋_GB2312" w:cs="仿宋"/>
          <w:b/>
          <w:bCs/>
          <w:kern w:val="0"/>
          <w:sz w:val="32"/>
          <w:szCs w:val="32"/>
        </w:rPr>
        <w:t>加强宣传培训调研等。</w:t>
      </w:r>
      <w:r>
        <w:rPr>
          <w:rFonts w:hint="eastAsia" w:ascii="仿宋_GB2312" w:hAnsi="仿宋" w:eastAsia="仿宋_GB2312" w:cs="仿宋"/>
          <w:kern w:val="0"/>
          <w:sz w:val="32"/>
          <w:szCs w:val="32"/>
        </w:rPr>
        <w:t>加强人员培训，提高本单位职工业务素质；加强调研，提出优化财政资金配置、提高资金使用效益的意见；加大宣传力度，强化预算绩效管理意识，促进预算绩</w:t>
      </w: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效管理水平进一步提升。</w:t>
      </w:r>
    </w:p>
    <w:p>
      <w:pPr>
        <w:overflowPunct w:val="0"/>
        <w:adjustRightInd w:val="0"/>
        <w:snapToGrid w:val="0"/>
        <w:spacing w:afterLines="50" w:line="580" w:lineRule="exact"/>
        <w:jc w:val="left"/>
        <w:rPr>
          <w:rFonts w:ascii="仿宋_GB2312" w:eastAsia="仿宋_GB2312" w:cs="Times New Roman"/>
          <w:b/>
          <w:sz w:val="32"/>
          <w:szCs w:val="32"/>
        </w:rPr>
      </w:pPr>
      <w:r>
        <w:rPr>
          <w:rFonts w:ascii="仿宋_GB2312" w:eastAsia="仿宋_GB2312" w:cs="Times New Roman"/>
          <w:b/>
          <w:sz w:val="32"/>
          <w:szCs w:val="32"/>
        </w:rPr>
        <w:t xml:space="preserve">   </w:t>
      </w:r>
    </w:p>
    <w:p>
      <w:pPr>
        <w:overflowPunct w:val="0"/>
        <w:adjustRightInd w:val="0"/>
        <w:snapToGrid w:val="0"/>
        <w:spacing w:afterLines="50" w:line="580" w:lineRule="exact"/>
        <w:jc w:val="left"/>
        <w:rPr>
          <w:rFonts w:ascii="仿宋_GB2312" w:eastAsia="仿宋_GB2312" w:cs="Times New Roman"/>
          <w:b/>
          <w:sz w:val="32"/>
          <w:szCs w:val="32"/>
        </w:rPr>
      </w:pPr>
    </w:p>
    <w:p>
      <w:pPr>
        <w:overflowPunct w:val="0"/>
        <w:adjustRightInd w:val="0"/>
        <w:snapToGrid w:val="0"/>
        <w:spacing w:afterLines="50" w:line="580" w:lineRule="exact"/>
        <w:ind w:firstLine="964" w:firstLineChars="300"/>
        <w:jc w:val="left"/>
        <w:rPr>
          <w:rFonts w:ascii="仿宋_GB2312" w:eastAsia="仿宋_GB2312" w:cs="Times New Roman"/>
          <w:b/>
          <w:sz w:val="32"/>
          <w:szCs w:val="32"/>
        </w:rPr>
      </w:pPr>
      <w:r>
        <w:rPr>
          <w:rFonts w:ascii="仿宋_GB2312" w:eastAsia="仿宋_GB2312" w:cs="Times New Roman"/>
          <w:b/>
          <w:sz w:val="32"/>
          <w:szCs w:val="32"/>
        </w:rPr>
        <w:t xml:space="preserve"> </w:t>
      </w:r>
      <w:r>
        <w:rPr>
          <w:rFonts w:hint="eastAsia" w:ascii="仿宋_GB2312" w:eastAsia="仿宋_GB2312" w:cs="Times New Roman"/>
          <w:b/>
          <w:sz w:val="32"/>
          <w:szCs w:val="32"/>
        </w:rPr>
        <w:t>（四）单位整体支出绩效指标</w:t>
      </w:r>
    </w:p>
    <w:tbl>
      <w:tblPr>
        <w:tblStyle w:val="9"/>
        <w:tblW w:w="12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6"/>
        <w:gridCol w:w="1007"/>
        <w:gridCol w:w="2835"/>
        <w:gridCol w:w="2977"/>
        <w:gridCol w:w="2410"/>
        <w:gridCol w:w="567"/>
        <w:gridCol w:w="709"/>
        <w:gridCol w:w="56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86"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一级指标</w:t>
            </w:r>
          </w:p>
        </w:tc>
        <w:tc>
          <w:tcPr>
            <w:tcW w:w="1007"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二级</w:t>
            </w:r>
          </w:p>
          <w:p>
            <w:pPr>
              <w:widowControl/>
              <w:adjustRightInd w:val="0"/>
              <w:snapToGrid w:val="0"/>
              <w:jc w:val="center"/>
              <w:rPr>
                <w:rFonts w:ascii="仿宋_GB2312" w:eastAsia="仿宋_GB2312"/>
                <w:b/>
              </w:rPr>
            </w:pPr>
            <w:r>
              <w:rPr>
                <w:rFonts w:hint="eastAsia" w:ascii="仿宋_GB2312" w:eastAsia="仿宋_GB2312"/>
                <w:b/>
              </w:rPr>
              <w:t>指标</w:t>
            </w:r>
          </w:p>
        </w:tc>
        <w:tc>
          <w:tcPr>
            <w:tcW w:w="2835"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三级</w:t>
            </w:r>
          </w:p>
          <w:p>
            <w:pPr>
              <w:widowControl/>
              <w:adjustRightInd w:val="0"/>
              <w:snapToGrid w:val="0"/>
              <w:jc w:val="center"/>
              <w:rPr>
                <w:rFonts w:ascii="仿宋_GB2312" w:eastAsia="仿宋_GB2312"/>
                <w:b/>
              </w:rPr>
            </w:pPr>
            <w:r>
              <w:rPr>
                <w:rFonts w:hint="eastAsia" w:ascii="仿宋_GB2312" w:eastAsia="仿宋_GB2312"/>
                <w:b/>
              </w:rPr>
              <w:t>指标</w:t>
            </w:r>
          </w:p>
        </w:tc>
        <w:tc>
          <w:tcPr>
            <w:tcW w:w="2977"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评（扣）分标准</w:t>
            </w:r>
          </w:p>
        </w:tc>
        <w:tc>
          <w:tcPr>
            <w:tcW w:w="2410" w:type="dxa"/>
            <w:vAlign w:val="center"/>
          </w:tcPr>
          <w:p>
            <w:pPr>
              <w:widowControl/>
              <w:adjustRightInd w:val="0"/>
              <w:snapToGrid w:val="0"/>
              <w:jc w:val="center"/>
              <w:rPr>
                <w:rFonts w:ascii="仿宋_GB2312" w:eastAsia="仿宋_GB2312"/>
                <w:b/>
              </w:rPr>
            </w:pPr>
            <w:r>
              <w:rPr>
                <w:rFonts w:hint="eastAsia" w:ascii="仿宋_GB2312" w:eastAsia="仿宋_GB2312"/>
                <w:b/>
              </w:rPr>
              <w:t>绩效指标</w:t>
            </w:r>
          </w:p>
          <w:p>
            <w:pPr>
              <w:widowControl/>
              <w:adjustRightInd w:val="0"/>
              <w:snapToGrid w:val="0"/>
              <w:jc w:val="center"/>
              <w:rPr>
                <w:rFonts w:ascii="仿宋_GB2312" w:eastAsia="仿宋_GB2312"/>
                <w:b/>
              </w:rPr>
            </w:pPr>
            <w:r>
              <w:rPr>
                <w:rFonts w:hint="eastAsia" w:ascii="仿宋_GB2312" w:eastAsia="仿宋_GB2312"/>
                <w:b/>
              </w:rPr>
              <w:t>描述</w:t>
            </w:r>
          </w:p>
        </w:tc>
        <w:tc>
          <w:tcPr>
            <w:tcW w:w="1843" w:type="dxa"/>
            <w:gridSpan w:val="3"/>
            <w:vAlign w:val="center"/>
          </w:tcPr>
          <w:p>
            <w:pPr>
              <w:widowControl/>
              <w:adjustRightInd w:val="0"/>
              <w:snapToGrid w:val="0"/>
              <w:jc w:val="center"/>
              <w:rPr>
                <w:rFonts w:ascii="仿宋_GB2312" w:eastAsia="仿宋_GB2312"/>
                <w:b/>
              </w:rPr>
            </w:pPr>
            <w:r>
              <w:rPr>
                <w:rFonts w:hint="eastAsia" w:ascii="仿宋_GB2312" w:eastAsia="仿宋_GB2312"/>
                <w:b/>
              </w:rPr>
              <w:t>指标值</w:t>
            </w:r>
          </w:p>
        </w:tc>
        <w:tc>
          <w:tcPr>
            <w:tcW w:w="949"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指标值</w:t>
            </w:r>
          </w:p>
          <w:p>
            <w:pPr>
              <w:widowControl/>
              <w:adjustRightInd w:val="0"/>
              <w:snapToGrid w:val="0"/>
              <w:jc w:val="center"/>
              <w:rPr>
                <w:rFonts w:ascii="仿宋_GB2312" w:eastAsia="仿宋_GB2312"/>
                <w:b/>
              </w:rPr>
            </w:pPr>
            <w:r>
              <w:rPr>
                <w:rFonts w:hint="eastAsia" w:ascii="仿宋_GB2312" w:eastAsia="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6" w:type="dxa"/>
            <w:vMerge w:val="continue"/>
            <w:vAlign w:val="center"/>
          </w:tcPr>
          <w:p>
            <w:pPr>
              <w:rPr>
                <w:rFonts w:ascii="仿宋_GB2312" w:eastAsia="仿宋_GB2312"/>
              </w:rPr>
            </w:pPr>
          </w:p>
        </w:tc>
        <w:tc>
          <w:tcPr>
            <w:tcW w:w="1007" w:type="dxa"/>
            <w:vMerge w:val="continue"/>
            <w:vAlign w:val="center"/>
          </w:tcPr>
          <w:p>
            <w:pPr>
              <w:rPr>
                <w:rFonts w:ascii="仿宋_GB2312" w:eastAsia="仿宋_GB2312"/>
              </w:rPr>
            </w:pPr>
          </w:p>
        </w:tc>
        <w:tc>
          <w:tcPr>
            <w:tcW w:w="2835" w:type="dxa"/>
            <w:vMerge w:val="continue"/>
            <w:vAlign w:val="center"/>
          </w:tcPr>
          <w:p>
            <w:pPr>
              <w:rPr>
                <w:rFonts w:ascii="仿宋_GB2312" w:eastAsia="仿宋_GB2312"/>
              </w:rPr>
            </w:pPr>
          </w:p>
        </w:tc>
        <w:tc>
          <w:tcPr>
            <w:tcW w:w="2977" w:type="dxa"/>
            <w:vMerge w:val="continue"/>
            <w:vAlign w:val="center"/>
          </w:tcPr>
          <w:p>
            <w:pPr>
              <w:rPr>
                <w:rFonts w:ascii="仿宋_GB2312" w:eastAsia="仿宋_GB2312"/>
              </w:rPr>
            </w:pPr>
          </w:p>
        </w:tc>
        <w:tc>
          <w:tcPr>
            <w:tcW w:w="2410" w:type="dxa"/>
            <w:vAlign w:val="center"/>
          </w:tcPr>
          <w:p>
            <w:pPr>
              <w:rPr>
                <w:rFonts w:ascii="仿宋_GB2312" w:eastAsia="仿宋_GB2312"/>
              </w:rPr>
            </w:pPr>
          </w:p>
        </w:tc>
        <w:tc>
          <w:tcPr>
            <w:tcW w:w="567" w:type="dxa"/>
            <w:vAlign w:val="center"/>
          </w:tcPr>
          <w:p>
            <w:pPr>
              <w:widowControl/>
              <w:adjustRightInd w:val="0"/>
              <w:snapToGrid w:val="0"/>
              <w:jc w:val="center"/>
              <w:rPr>
                <w:rFonts w:ascii="仿宋_GB2312" w:eastAsia="仿宋_GB2312"/>
                <w:b/>
              </w:rPr>
            </w:pPr>
            <w:r>
              <w:rPr>
                <w:rFonts w:hint="eastAsia" w:ascii="仿宋_GB2312" w:eastAsia="仿宋_GB2312"/>
                <w:b/>
              </w:rPr>
              <w:t>符号</w:t>
            </w:r>
          </w:p>
        </w:tc>
        <w:tc>
          <w:tcPr>
            <w:tcW w:w="709" w:type="dxa"/>
            <w:vAlign w:val="center"/>
          </w:tcPr>
          <w:p>
            <w:pPr>
              <w:widowControl/>
              <w:adjustRightInd w:val="0"/>
              <w:snapToGrid w:val="0"/>
              <w:jc w:val="center"/>
              <w:rPr>
                <w:rFonts w:ascii="仿宋_GB2312" w:eastAsia="仿宋_GB2312"/>
                <w:b/>
              </w:rPr>
            </w:pPr>
            <w:r>
              <w:rPr>
                <w:rFonts w:hint="eastAsia" w:ascii="仿宋_GB2312" w:eastAsia="仿宋_GB2312"/>
                <w:b/>
              </w:rPr>
              <w:t>值</w:t>
            </w:r>
          </w:p>
        </w:tc>
        <w:tc>
          <w:tcPr>
            <w:tcW w:w="567" w:type="dxa"/>
            <w:vAlign w:val="center"/>
          </w:tcPr>
          <w:p>
            <w:pPr>
              <w:widowControl/>
              <w:adjustRightInd w:val="0"/>
              <w:snapToGrid w:val="0"/>
              <w:jc w:val="center"/>
              <w:rPr>
                <w:rFonts w:ascii="仿宋_GB2312" w:eastAsia="仿宋_GB2312"/>
                <w:b/>
              </w:rPr>
            </w:pPr>
            <w:r>
              <w:rPr>
                <w:rFonts w:hint="eastAsia" w:ascii="仿宋_GB2312" w:eastAsia="仿宋_GB2312"/>
                <w:b/>
              </w:rPr>
              <w:t>单位</w:t>
            </w:r>
          </w:p>
        </w:tc>
        <w:tc>
          <w:tcPr>
            <w:tcW w:w="949"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6" w:type="dxa"/>
            <w:vMerge w:val="restart"/>
            <w:vAlign w:val="center"/>
          </w:tcPr>
          <w:p>
            <w:pPr>
              <w:widowControl/>
              <w:adjustRightInd w:val="0"/>
              <w:snapToGrid w:val="0"/>
              <w:jc w:val="center"/>
              <w:rPr>
                <w:rFonts w:ascii="仿宋_GB2312" w:eastAsia="仿宋_GB2312"/>
              </w:rPr>
            </w:pPr>
            <w:r>
              <w:rPr>
                <w:rFonts w:hint="eastAsia" w:ascii="仿宋_GB2312" w:eastAsia="仿宋_GB2312"/>
              </w:rPr>
              <w:t>单位产出</w:t>
            </w: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数量</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本年度开展的主要工作的数量</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w:t>
            </w:r>
            <w:r>
              <w:rPr>
                <w:rFonts w:ascii="仿宋_GB2312" w:eastAsia="仿宋_GB2312"/>
              </w:rPr>
              <w:t>2021</w:t>
            </w:r>
            <w:r>
              <w:rPr>
                <w:rFonts w:hint="eastAsia" w:ascii="仿宋_GB2312" w:eastAsia="仿宋_GB2312"/>
              </w:rPr>
              <w:t>年度开展的主要工作的数量</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全镇</w:t>
            </w:r>
            <w:r>
              <w:rPr>
                <w:rFonts w:ascii="仿宋_GB2312" w:eastAsia="仿宋_GB2312"/>
              </w:rPr>
              <w:t>2021</w:t>
            </w:r>
            <w:r>
              <w:rPr>
                <w:rFonts w:hint="eastAsia" w:ascii="仿宋_GB2312" w:eastAsia="仿宋_GB2312"/>
              </w:rPr>
              <w:t>年度开展的主要工作的数量</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w:t>
            </w:r>
          </w:p>
        </w:tc>
        <w:tc>
          <w:tcPr>
            <w:tcW w:w="567" w:type="dxa"/>
            <w:vAlign w:val="center"/>
          </w:tcPr>
          <w:p>
            <w:pPr>
              <w:widowControl/>
              <w:adjustRightInd w:val="0"/>
              <w:snapToGrid w:val="0"/>
              <w:jc w:val="center"/>
              <w:rPr>
                <w:rFonts w:ascii="仿宋_GB2312" w:eastAsia="仿宋_GB2312" w:cs="宋体"/>
              </w:rPr>
            </w:pPr>
            <w:r>
              <w:rPr>
                <w:rFonts w:hint="eastAsia" w:ascii="仿宋_GB2312" w:hAnsi="宋体" w:eastAsia="仿宋_GB2312" w:cs="宋体"/>
              </w:rPr>
              <w:t>个</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9"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质量</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各项主要工作开展落实率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反映全镇各项主要工作开展的落实情况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各项主要工作开展落实率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时效</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主要工作开展时限性</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反映全镇主要工作开展的时限</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主要工作开展时限性</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成本</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成本节约量</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反映开展主要工作的成本节约量</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成本节约量</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270.88</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万元</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3" w:hRule="atLeast"/>
          <w:jc w:val="center"/>
        </w:trPr>
        <w:tc>
          <w:tcPr>
            <w:tcW w:w="586" w:type="dxa"/>
            <w:vMerge w:val="restart"/>
            <w:vAlign w:val="center"/>
          </w:tcPr>
          <w:p>
            <w:pPr>
              <w:adjustRightInd w:val="0"/>
              <w:snapToGrid w:val="0"/>
              <w:jc w:val="center"/>
              <w:rPr>
                <w:rFonts w:ascii="仿宋_GB2312" w:eastAsia="仿宋_GB2312"/>
              </w:rPr>
            </w:pPr>
            <w:r>
              <w:rPr>
                <w:rFonts w:hint="eastAsia" w:ascii="仿宋_GB2312" w:eastAsia="仿宋_GB2312"/>
              </w:rPr>
              <w:t>单位效果</w:t>
            </w: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社会</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辖区居民生活水平显著提升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反映辖区居民生活水平提升情况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辖区居民生活水平显著提升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显著提升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经济</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全镇经济发展稳步提升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反映全镇经济发展水平提升情况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全镇经济发展稳步提升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稳步提升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生态</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jc w:val="center"/>
              <w:rPr>
                <w:rFonts w:ascii="仿宋_GB2312" w:eastAsia="仿宋_GB2312"/>
              </w:rPr>
            </w:pPr>
            <w:r>
              <w:rPr>
                <w:rFonts w:hint="eastAsia" w:ascii="仿宋_GB2312" w:eastAsia="仿宋_GB2312"/>
              </w:rPr>
              <w:t>辖区生态环境显著提升情况</w:t>
            </w:r>
          </w:p>
          <w:p>
            <w:pPr>
              <w:widowControl/>
              <w:adjustRightInd w:val="0"/>
              <w:snapToGrid w:val="0"/>
              <w:jc w:val="center"/>
              <w:rPr>
                <w:rFonts w:ascii="仿宋_GB2312" w:eastAsia="仿宋_GB2312"/>
              </w:rPr>
            </w:pP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反映全镇生态环境提升</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辖区生态环境显著提升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显著提升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2" w:hRule="atLeast"/>
          <w:jc w:val="center"/>
        </w:trPr>
        <w:tc>
          <w:tcPr>
            <w:tcW w:w="586" w:type="dxa"/>
            <w:vMerge w:val="continue"/>
            <w:vAlign w:val="center"/>
          </w:tcPr>
          <w:p>
            <w:pPr>
              <w:rPr>
                <w:rFonts w:ascii="仿宋_GB2312" w:eastAsia="仿宋_GB2312"/>
              </w:rPr>
            </w:pPr>
          </w:p>
        </w:tc>
        <w:tc>
          <w:tcPr>
            <w:tcW w:w="1007" w:type="dxa"/>
            <w:vAlign w:val="center"/>
          </w:tcPr>
          <w:p>
            <w:pPr>
              <w:adjustRightInd w:val="0"/>
              <w:snapToGrid w:val="0"/>
              <w:jc w:val="center"/>
              <w:rPr>
                <w:rFonts w:ascii="仿宋_GB2312" w:eastAsia="仿宋_GB2312"/>
              </w:rPr>
            </w:pPr>
            <w:r>
              <w:rPr>
                <w:rFonts w:hint="eastAsia" w:ascii="仿宋_GB2312" w:eastAsia="仿宋_GB2312"/>
              </w:rPr>
              <w:t>可持续影响</w:t>
            </w:r>
          </w:p>
        </w:tc>
        <w:tc>
          <w:tcPr>
            <w:tcW w:w="2835" w:type="dxa"/>
            <w:vAlign w:val="center"/>
          </w:tcPr>
          <w:p>
            <w:pPr>
              <w:widowControl/>
              <w:adjustRightInd w:val="0"/>
              <w:snapToGrid w:val="0"/>
              <w:rPr>
                <w:rFonts w:ascii="仿宋_GB2312" w:eastAsia="仿宋_GB2312"/>
              </w:rPr>
            </w:pPr>
          </w:p>
        </w:tc>
        <w:tc>
          <w:tcPr>
            <w:tcW w:w="2977" w:type="dxa"/>
            <w:vAlign w:val="center"/>
          </w:tcPr>
          <w:p>
            <w:pPr>
              <w:widowControl/>
              <w:adjustRightInd w:val="0"/>
              <w:snapToGrid w:val="0"/>
              <w:rPr>
                <w:rFonts w:ascii="仿宋_GB2312" w:eastAsia="仿宋_GB2312"/>
              </w:rPr>
            </w:pPr>
          </w:p>
        </w:tc>
        <w:tc>
          <w:tcPr>
            <w:tcW w:w="2410" w:type="dxa"/>
            <w:vAlign w:val="center"/>
          </w:tcPr>
          <w:p>
            <w:pPr>
              <w:widowControl/>
              <w:adjustRightInd w:val="0"/>
              <w:snapToGrid w:val="0"/>
              <w:rPr>
                <w:rFonts w:ascii="仿宋_GB2312" w:eastAsia="仿宋_GB2312"/>
              </w:rPr>
            </w:pPr>
          </w:p>
        </w:tc>
        <w:tc>
          <w:tcPr>
            <w:tcW w:w="567" w:type="dxa"/>
            <w:vAlign w:val="center"/>
          </w:tcPr>
          <w:p>
            <w:pPr>
              <w:widowControl/>
              <w:adjustRightInd w:val="0"/>
              <w:snapToGrid w:val="0"/>
              <w:jc w:val="center"/>
              <w:rPr>
                <w:rFonts w:ascii="仿宋_GB2312" w:eastAsia="仿宋_GB2312"/>
              </w:rPr>
            </w:pP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p>
        </w:tc>
        <w:tc>
          <w:tcPr>
            <w:tcW w:w="949" w:type="dxa"/>
            <w:vAlign w:val="center"/>
          </w:tcPr>
          <w:p>
            <w:pPr>
              <w:widowControl/>
              <w:adjustRightInd w:val="0"/>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满意度</w:t>
            </w:r>
          </w:p>
        </w:tc>
        <w:tc>
          <w:tcPr>
            <w:tcW w:w="2835" w:type="dxa"/>
            <w:vAlign w:val="center"/>
          </w:tcPr>
          <w:p>
            <w:pPr>
              <w:jc w:val="center"/>
              <w:rPr>
                <w:rFonts w:ascii="仿宋_GB2312" w:eastAsia="仿宋_GB2312"/>
              </w:rPr>
            </w:pPr>
            <w:r>
              <w:rPr>
                <w:rFonts w:hint="eastAsia" w:ascii="仿宋_GB2312" w:eastAsia="仿宋_GB2312"/>
              </w:rPr>
              <w:t>群众满意度</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反映群众满意度</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群众满意度</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jc w:val="center"/>
              <w:rPr>
                <w:rFonts w:ascii="仿宋_GB2312" w:eastAsia="仿宋_GB2312"/>
              </w:rPr>
            </w:pPr>
            <w:r>
              <w:rPr>
                <w:rFonts w:ascii="仿宋_GB2312" w:eastAsia="仿宋_GB2312"/>
              </w:rPr>
              <w:t>%</w:t>
            </w:r>
          </w:p>
          <w:p>
            <w:pPr>
              <w:widowControl/>
              <w:adjustRightInd w:val="0"/>
              <w:snapToGrid w:val="0"/>
              <w:jc w:val="center"/>
              <w:rPr>
                <w:rFonts w:ascii="仿宋_GB2312" w:eastAsia="仿宋_GB2312"/>
              </w:rPr>
            </w:pP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实际调查</w:t>
            </w:r>
          </w:p>
        </w:tc>
      </w:tr>
    </w:tbl>
    <w:p>
      <w:pPr>
        <w:spacing w:line="584" w:lineRule="exact"/>
        <w:ind w:firstLine="640" w:firstLineChars="200"/>
        <w:rPr>
          <w:rFonts w:ascii="仿宋_GB2312" w:hAnsi="Times New Roman" w:eastAsia="仿宋_GB2312" w:cs="Times New Roman"/>
          <w:sz w:val="32"/>
          <w:szCs w:val="32"/>
        </w:rPr>
      </w:pPr>
    </w:p>
    <w:p>
      <w:pPr>
        <w:ind w:firstLine="640" w:firstLineChars="200"/>
        <w:jc w:val="left"/>
        <w:outlineLvl w:val="1"/>
        <w:rPr>
          <w:rFonts w:ascii="仿宋_GB2312" w:hAnsi="Times New Roman" w:eastAsia="仿宋_GB2312" w:cs="Times New Roman"/>
          <w:sz w:val="32"/>
          <w:szCs w:val="32"/>
        </w:rPr>
      </w:pPr>
    </w:p>
    <w:p>
      <w:pPr>
        <w:ind w:firstLine="640" w:firstLineChars="200"/>
        <w:jc w:val="left"/>
        <w:outlineLvl w:val="1"/>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第二部分</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资金绩效目标</w:t>
      </w:r>
    </w:p>
    <w:p>
      <w:pPr>
        <w:ind w:firstLine="560" w:firstLineChars="200"/>
        <w:jc w:val="left"/>
        <w:outlineLvl w:val="1"/>
        <w:rPr>
          <w:rFonts w:ascii="仿宋_GB2312" w:hAnsi="Times New Roman" w:eastAsia="仿宋_GB2312" w:cs="Times New Roman"/>
          <w:sz w:val="28"/>
        </w:rPr>
      </w:pPr>
      <w:r>
        <w:rPr>
          <w:rFonts w:ascii="仿宋_GB2312" w:hAnsi="Times New Roman" w:eastAsia="仿宋_GB2312" w:cs="Times New Roman"/>
          <w:sz w:val="28"/>
        </w:rPr>
        <w:t>1.2022</w:t>
      </w:r>
      <w:r>
        <w:rPr>
          <w:rFonts w:hint="eastAsia" w:ascii="仿宋_GB2312" w:hAnsi="宋体" w:eastAsia="仿宋_GB2312" w:cs="宋体"/>
          <w:sz w:val="28"/>
        </w:rPr>
        <w:t>年安监经费项目绩效目标表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13102522P00897810001X    2022</w:t>
            </w:r>
            <w:r>
              <w:rPr>
                <w:rFonts w:hint="eastAsia" w:ascii="仿宋_GB2312" w:hAnsi="宋体" w:eastAsia="仿宋_GB2312" w:cs="宋体"/>
                <w:color w:val="000000"/>
                <w:sz w:val="18"/>
                <w:szCs w:val="18"/>
              </w:rPr>
              <w:t>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通过广播、宣传车、发放明白纸、悬挂标语、入户宣传等多种方式，积极宣传相关法律法规、政策，对全镇企业进行不定期巡查，每季度巡查不低于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通过广播、宣传车、发放明白纸、悬挂标语、入户宣传等多种方式，积极宣传相关法律法规、政策，对全镇企业进行不定期巡查，每季度巡查不低于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巡查次数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反映年度巡查次数</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反映事故处理及时率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显著提升</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企业员工规范操作</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长期</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bl>
    <w:p>
      <w:pPr>
        <w:spacing w:line="14" w:lineRule="exact"/>
        <w:ind w:firstLine="420" w:firstLineChars="200"/>
        <w:jc w:val="center"/>
        <w:rPr>
          <w:rFonts w:ascii="仿宋_GB2312" w:hAnsi="Times New Roman" w:eastAsia="仿宋_GB2312" w:cs="Times New Roman"/>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2.2022</w:t>
      </w:r>
      <w:r>
        <w:rPr>
          <w:rFonts w:hint="eastAsia" w:ascii="仿宋_GB2312" w:hAnsi="宋体" w:eastAsia="仿宋_GB2312" w:cs="宋体"/>
          <w:sz w:val="28"/>
        </w:rPr>
        <w:t>年妇联基层组织建设经费项目绩效目标表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13102522P00898310001Q    2022</w:t>
            </w:r>
            <w:r>
              <w:rPr>
                <w:rFonts w:hint="eastAsia" w:ascii="仿宋_GB2312" w:hAnsi="宋体" w:eastAsia="仿宋_GB2312" w:cs="宋体"/>
                <w:color w:val="000000"/>
                <w:sz w:val="18"/>
                <w:szCs w:val="18"/>
              </w:rPr>
              <w:t>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用于妇联基层组织建设工作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本项目通过妇联基层组织项目开展，制定的妇联组织建设规划，使全镇形成纵横交错的妇女组织网络，通过</w:t>
            </w:r>
            <w:r>
              <w:rPr>
                <w:rFonts w:hint="eastAsia" w:ascii="仿宋_GB2312" w:hAnsi="宋体" w:eastAsia="仿宋_GB2312" w:cs="宋体"/>
                <w:color w:val="000000"/>
                <w:kern w:val="0"/>
                <w:sz w:val="18"/>
                <w:szCs w:val="18"/>
              </w:rPr>
              <w:t>帮助镇区内解决妇女问题</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个以上，举办评选活动次数</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次，使</w:t>
            </w:r>
            <w:r>
              <w:rPr>
                <w:rFonts w:hint="eastAsia" w:ascii="仿宋_GB2312" w:hAnsi="宋体" w:eastAsia="仿宋_GB2312" w:cs="宋体"/>
                <w:color w:val="000000"/>
                <w:sz w:val="18"/>
                <w:szCs w:val="18"/>
              </w:rPr>
              <w:t>妇女干部队伍素质明显提高，把妇女发展作为一项长期性的建设工作，充分调动妇女的积极性，妇女基层组织建设进一步完善。</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举办评选活动次数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反映当年举办活动次数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开展活动质量达标率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促进妇女就业率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反映促进妇女就业情况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促进</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妇女后备干部建设情况</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良好</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历史测算</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spacing w:line="14" w:lineRule="exact"/>
        <w:ind w:firstLine="420" w:firstLineChars="200"/>
        <w:jc w:val="center"/>
        <w:rPr>
          <w:rFonts w:ascii="仿宋_GB2312" w:hAnsi="Times New Roman" w:eastAsia="仿宋_GB2312" w:cs="Times New Roman"/>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3.2022</w:t>
      </w:r>
      <w:r>
        <w:rPr>
          <w:rFonts w:hint="eastAsia" w:ascii="仿宋_GB2312" w:hAnsi="宋体" w:eastAsia="仿宋_GB2312" w:cs="宋体"/>
          <w:sz w:val="28"/>
        </w:rPr>
        <w:t>年环保经费项目绩效目标表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13102522P00897910001K    2022</w:t>
            </w:r>
            <w:r>
              <w:rPr>
                <w:rFonts w:hint="eastAsia" w:ascii="仿宋_GB2312" w:hAnsi="宋体" w:eastAsia="仿宋_GB2312" w:cs="宋体"/>
                <w:color w:val="000000"/>
                <w:sz w:val="18"/>
                <w:szCs w:val="18"/>
              </w:rPr>
              <w:t>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用于环保工作。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通过开展环保工作，组织工作专班，开展不低于</w:t>
            </w:r>
            <w:r>
              <w:rPr>
                <w:rFonts w:ascii="仿宋_GB2312" w:hAnsi="宋体" w:eastAsia="仿宋_GB2312" w:cs="宋体"/>
                <w:color w:val="000000"/>
                <w:sz w:val="18"/>
                <w:szCs w:val="18"/>
              </w:rPr>
              <w:t>200</w:t>
            </w:r>
            <w:r>
              <w:rPr>
                <w:rFonts w:hint="eastAsia" w:ascii="仿宋_GB2312" w:hAnsi="宋体" w:eastAsia="仿宋_GB2312" w:cs="宋体"/>
                <w:color w:val="000000"/>
                <w:sz w:val="18"/>
                <w:szCs w:val="18"/>
              </w:rPr>
              <w:t>家次的企业巡查，督促企业落实主体责任，加强大气、水体、机动车污染防治</w:t>
            </w:r>
            <w:r>
              <w:rPr>
                <w:rFonts w:ascii="仿宋_GB2312" w:hAnsi="宋体" w:eastAsia="仿宋_GB2312" w:cs="宋体"/>
                <w:color w:val="000000"/>
                <w:sz w:val="18"/>
                <w:szCs w:val="18"/>
              </w:rPr>
              <w:t>;</w:t>
            </w:r>
            <w:r>
              <w:rPr>
                <w:rFonts w:hint="eastAsia" w:ascii="仿宋_GB2312" w:hAnsi="宋体" w:eastAsia="仿宋_GB2312" w:cs="宋体"/>
                <w:color w:val="000000"/>
                <w:sz w:val="18"/>
                <w:szCs w:val="18"/>
              </w:rPr>
              <w:t>加强企业经营单位固体废弃物、重金属等重点污染治理的防治工作；处置及综合利用的工业固体废物的数量不低于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处，增强群众的环保意识，遏制少数散乱污经营户，提升全镇企业经营安全、规范有序</w:t>
            </w:r>
            <w:r>
              <w:rPr>
                <w:rFonts w:hint="eastAsia" w:ascii="仿宋_GB2312" w:eastAsia="仿宋_GB2312" w:cs="??_GB2312"/>
                <w:color w:val="000000"/>
              </w:rPr>
              <w:t>。</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工业固体废物处置数量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巡查企业数量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反映巡查企业数量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家次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巡查企业合格率</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工作完成及时性</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环保设施使用年限</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环保设施使用年限</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标准文件</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autoSpaceDE w:val="0"/>
        <w:autoSpaceDN w:val="0"/>
        <w:adjustRightInd w:val="0"/>
        <w:spacing w:line="584" w:lineRule="exact"/>
        <w:jc w:val="left"/>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4.2022</w:t>
      </w:r>
      <w:r>
        <w:rPr>
          <w:rFonts w:hint="eastAsia" w:ascii="仿宋_GB2312" w:hAnsi="宋体" w:eastAsia="仿宋_GB2312" w:cs="宋体"/>
          <w:sz w:val="28"/>
        </w:rPr>
        <w:t>年农村环境整治经费项目绩效目标表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13102522P00898010001P  2022</w:t>
            </w:r>
            <w:r>
              <w:rPr>
                <w:rFonts w:hint="eastAsia" w:ascii="仿宋_GB2312" w:hAnsi="宋体" w:eastAsia="仿宋_GB2312" w:cs="宋体"/>
                <w:color w:val="000000"/>
                <w:sz w:val="18"/>
                <w:szCs w:val="18"/>
              </w:rPr>
              <w:t>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60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通过农村环境整治工作对辖区内</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eastAsia="仿宋_GB2312"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通过农村环境整治工作对辖区内</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排查垃圾处理点数量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37</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环境质量达标率</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反映环境质量达标率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验收报告</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垃圾及时处理性</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垃圾发现及时处理性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环境提升情况</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反映环境提升情况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长效管理机制</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《廊坊市人民政府办公室关于严格农村生活垃圾管理的通知》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5.2022</w:t>
      </w:r>
      <w:r>
        <w:rPr>
          <w:rFonts w:hint="eastAsia" w:ascii="仿宋_GB2312" w:hAnsi="宋体" w:eastAsia="仿宋_GB2312" w:cs="宋体"/>
          <w:sz w:val="28"/>
        </w:rPr>
        <w:t>年基层党建团建工作经费项目绩效目标表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13102522P00898110001D    2022</w:t>
            </w:r>
            <w:r>
              <w:rPr>
                <w:rFonts w:hint="eastAsia" w:ascii="仿宋_GB2312" w:hAnsi="宋体" w:eastAsia="仿宋_GB2312" w:cs="宋体"/>
                <w:color w:val="000000"/>
                <w:sz w:val="18"/>
                <w:szCs w:val="18"/>
              </w:rPr>
              <w:t>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2</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通过开展多种形式的党性教育活动和业务培训活动，开展活动不低于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通过开展多种形式的党性教育活动和业务培训活动，开展活动不低于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反映外宣品的使用程度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80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考核工作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关于《加强新形势下基层党建带团建工作的实施意见》的方案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调查中主管单位对单位工作满意度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6.2022</w:t>
      </w:r>
      <w:r>
        <w:rPr>
          <w:rFonts w:hint="eastAsia" w:ascii="仿宋_GB2312" w:hAnsi="宋体" w:eastAsia="仿宋_GB2312" w:cs="宋体"/>
          <w:sz w:val="28"/>
        </w:rPr>
        <w:t>年建档立卡脱贫户生产生活补助金项目绩效目标表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13102522P008977100018   2022</w:t>
            </w:r>
            <w:r>
              <w:rPr>
                <w:rFonts w:hint="eastAsia" w:ascii="仿宋_GB2312" w:hAnsi="宋体" w:eastAsia="仿宋_GB2312" w:cs="宋体"/>
                <w:color w:val="000000"/>
                <w:sz w:val="18"/>
                <w:szCs w:val="18"/>
              </w:rPr>
              <w:t>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2.8</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通过对我镇</w:t>
            </w:r>
            <w:r>
              <w:rPr>
                <w:rFonts w:ascii="仿宋_GB2312" w:hAnsi="宋体" w:eastAsia="仿宋_GB2312" w:cs="宋体"/>
                <w:color w:val="000000"/>
                <w:sz w:val="18"/>
                <w:szCs w:val="18"/>
              </w:rPr>
              <w:t>14</w:t>
            </w:r>
            <w:r>
              <w:rPr>
                <w:rFonts w:hint="eastAsia" w:ascii="仿宋_GB2312" w:hAnsi="宋体" w:eastAsia="仿宋_GB2312"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75%</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通过对我镇</w:t>
            </w:r>
            <w:r>
              <w:rPr>
                <w:rFonts w:ascii="仿宋_GB2312" w:hAnsi="宋体" w:eastAsia="仿宋_GB2312" w:cs="宋体"/>
                <w:color w:val="000000"/>
                <w:sz w:val="18"/>
                <w:szCs w:val="18"/>
              </w:rPr>
              <w:t>14</w:t>
            </w:r>
            <w:r>
              <w:rPr>
                <w:rFonts w:hint="eastAsia" w:ascii="仿宋_GB2312" w:hAnsi="宋体" w:eastAsia="仿宋_GB2312"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扶助户数</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户</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生活质量达标率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反映生活质量达标率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扶助资金到位率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贫困户慰问金发放标准</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元</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人</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《关于列支建档立卡贫困户帮扶责任人派出单位扶贫慰问专项经费的通知》大组字</w:t>
            </w:r>
            <w:r>
              <w:rPr>
                <w:rFonts w:ascii="仿宋_GB2312" w:hAnsi="宋体" w:eastAsia="仿宋_GB2312" w:cs="宋体"/>
                <w:color w:val="000000"/>
                <w:kern w:val="0"/>
                <w:sz w:val="18"/>
                <w:szCs w:val="18"/>
              </w:rPr>
              <w:t>[2018]66</w:t>
            </w:r>
            <w:r>
              <w:rPr>
                <w:rFonts w:hint="eastAsia" w:ascii="仿宋_GB2312" w:hAnsi="宋体" w:eastAsia="仿宋_GB2312"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调查结果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提高贫困户生活水平</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带动贫困户脱贫</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改善生活</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长效管理机制</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《关于列支建档立卡贫困户帮扶责任人派出单位扶贫慰问专项经费的通知》大组字</w:t>
            </w:r>
            <w:r>
              <w:rPr>
                <w:rFonts w:ascii="仿宋_GB2312" w:hAnsi="宋体" w:eastAsia="仿宋_GB2312" w:cs="宋体"/>
                <w:color w:val="000000"/>
                <w:kern w:val="0"/>
                <w:sz w:val="18"/>
                <w:szCs w:val="18"/>
              </w:rPr>
              <w:t>[2018]66</w:t>
            </w:r>
            <w:r>
              <w:rPr>
                <w:rFonts w:hint="eastAsia" w:ascii="仿宋_GB2312" w:hAnsi="宋体" w:eastAsia="仿宋_GB2312"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被帮扶对象满意度</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反映被帮扶对象满意度</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7.2022</w:t>
      </w:r>
      <w:r>
        <w:rPr>
          <w:rFonts w:hint="eastAsia" w:ascii="仿宋_GB2312" w:hAnsi="宋体" w:eastAsia="仿宋_GB2312" w:cs="宋体"/>
          <w:sz w:val="28"/>
        </w:rPr>
        <w:t>年退役军人服务站工作经费项目绩效目标表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13102522P008982100013   2022</w:t>
            </w:r>
            <w:r>
              <w:rPr>
                <w:rFonts w:hint="eastAsia" w:ascii="仿宋_GB2312" w:hAnsi="宋体" w:eastAsia="仿宋_GB2312" w:cs="宋体"/>
                <w:color w:val="000000"/>
                <w:sz w:val="18"/>
                <w:szCs w:val="18"/>
              </w:rPr>
              <w:t>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退役军人服务站通过开展不低于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退役军人服务站通过开展不低于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eastAsia="仿宋_GB2312"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上级主管单位满意度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反映上级主管单位满意程度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8.2022</w:t>
      </w:r>
      <w:r>
        <w:rPr>
          <w:rFonts w:hint="eastAsia" w:ascii="仿宋_GB2312" w:hAnsi="宋体" w:eastAsia="仿宋_GB2312" w:cs="宋体"/>
          <w:sz w:val="28"/>
        </w:rPr>
        <w:t>年人大代表联络站经费项目绩效目标表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13102522P008985100014    2022</w:t>
            </w:r>
            <w:r>
              <w:rPr>
                <w:rFonts w:hint="eastAsia" w:ascii="仿宋_GB2312" w:hAnsi="宋体" w:eastAsia="仿宋_GB2312" w:cs="宋体"/>
                <w:color w:val="000000"/>
                <w:sz w:val="18"/>
                <w:szCs w:val="18"/>
              </w:rPr>
              <w:t>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6</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r>
              <w:rPr>
                <w:rFonts w:ascii="仿宋_GB2312" w:hAnsi="宋体" w:eastAsia="仿宋_GB2312" w:cs="宋体"/>
                <w:color w:val="000000"/>
                <w:sz w:val="18"/>
                <w:szCs w:val="18"/>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代表活动接待日次数</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选民覆盖率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选民覆盖率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活动举办时效</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活动按期举办</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项目经费控制量</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反映项目经费控制量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代表履职率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反映辖区代表履职水平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活动知晓率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反映辖区群众知晓水平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联络站制度健全性</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反映联络站制度健全性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《人大代表联络站工作职责》、《代表活动制度》等</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spacing w:line="584" w:lineRule="exact"/>
        <w:ind w:firstLine="640" w:firstLineChars="200"/>
        <w:rPr>
          <w:rFonts w:ascii="仿宋_GB2312" w:hAnsi="Times New Roman" w:eastAsia="仿宋_GB2312" w:cs="Times New Roman"/>
          <w:sz w:val="32"/>
          <w:szCs w:val="32"/>
        </w:rPr>
      </w:pPr>
    </w:p>
    <w:p>
      <w:pPr>
        <w:ind w:firstLine="560" w:firstLineChars="200"/>
        <w:jc w:val="left"/>
        <w:outlineLvl w:val="1"/>
        <w:rPr>
          <w:rFonts w:ascii="仿宋_GB2312" w:hAnsi="Times New Roman" w:eastAsia="仿宋_GB2312" w:cs="Times New Roman"/>
          <w:sz w:val="28"/>
        </w:rPr>
      </w:pPr>
      <w:r>
        <w:rPr>
          <w:rFonts w:ascii="仿宋_GB2312" w:hAnsi="Times New Roman" w:eastAsia="仿宋_GB2312" w:cs="Times New Roman"/>
          <w:sz w:val="28"/>
        </w:rPr>
        <w:t>9.2022</w:t>
      </w:r>
      <w:r>
        <w:rPr>
          <w:rFonts w:hint="eastAsia" w:ascii="仿宋_GB2312" w:hAnsi="宋体" w:eastAsia="仿宋_GB2312" w:cs="宋体"/>
          <w:sz w:val="28"/>
        </w:rPr>
        <w:t>年乡镇武装部武装工作经费项目绩效目标表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13102522P00899110001L 2022</w:t>
            </w:r>
            <w:r>
              <w:rPr>
                <w:rFonts w:hint="eastAsia" w:ascii="仿宋_GB2312" w:hAnsi="宋体" w:eastAsia="仿宋_GB2312" w:cs="宋体"/>
                <w:color w:val="000000"/>
                <w:sz w:val="18"/>
                <w:szCs w:val="18"/>
              </w:rPr>
              <w:t>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年乡镇武装部武装工作。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保障武装部日常工作正常运行。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反映宣传活动次数</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eastAsia="仿宋_GB2312"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主管单位要求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合理改善村内布局</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改善村内环境</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r>
    </w:tbl>
    <w:p>
      <w:pPr>
        <w:spacing w:line="584" w:lineRule="exact"/>
        <w:ind w:firstLine="640" w:firstLineChars="200"/>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10.</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年刘培福历史遗留问题项目绩效目标表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13102522P00898710001F  2022</w:t>
            </w:r>
            <w:r>
              <w:rPr>
                <w:rFonts w:hint="eastAsia" w:ascii="仿宋_GB2312" w:hAnsi="宋体" w:eastAsia="仿宋_GB2312" w:cs="宋体"/>
                <w:color w:val="000000"/>
                <w:sz w:val="18"/>
                <w:szCs w:val="18"/>
              </w:rPr>
              <w:t>年刘培福历史遗留问题</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年刘培福历史遗留问题。</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应妥善解决其住房安置问题。为此，经与刘培福本人沟通，对其进行资金补偿。</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建设安置房面积</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建设安置房面积</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平方米</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质量合格率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质量合格率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按期完成率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按期完成率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收益人口数量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反映收益人口数量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主管单位满意度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反映主管单位满意度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bl>
    <w:p>
      <w:pPr>
        <w:ind w:firstLine="560" w:firstLineChars="200"/>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11.</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年烟村干渠及臧屯排干污水治理项目绩效目标表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13102522P00898610001R 2022</w:t>
            </w:r>
            <w:r>
              <w:rPr>
                <w:rFonts w:hint="eastAsia" w:ascii="仿宋_GB2312" w:hAnsi="宋体" w:eastAsia="仿宋_GB2312" w:cs="宋体"/>
                <w:color w:val="000000"/>
                <w:sz w:val="18"/>
                <w:szCs w:val="18"/>
              </w:rPr>
              <w:t>年烟村干渠及臧屯排干污水治理项目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48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年烟村干渠及臧屯排干污水治理项目。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通过项目的开展完成河道污水的治理，实现水生态环境明显改善，提高人民健康水平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河道污水治理总量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反映河道污水治理总量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68</w:t>
            </w:r>
            <w:r>
              <w:rPr>
                <w:rFonts w:hint="eastAsia" w:ascii="仿宋_GB2312" w:hAnsi="宋体" w:eastAsia="仿宋_GB2312"/>
                <w:color w:val="000000"/>
                <w:kern w:val="0"/>
                <w:sz w:val="18"/>
                <w:szCs w:val="18"/>
              </w:rPr>
              <w:t>万</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M</w:t>
            </w:r>
            <w:r>
              <w:rPr>
                <w:rFonts w:hint="eastAsia" w:ascii="仿宋_GB2312" w:hAnsi="宋体" w:cs="宋体"/>
                <w:color w:val="000000"/>
                <w:kern w:val="0"/>
                <w:sz w:val="18"/>
                <w:szCs w:val="18"/>
              </w:rPr>
              <w:t>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坑塘污水治理达标率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反映坑塘污水治理达标率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验收报告</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按期完成的工程量占总工程量的比率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反映按期完成的工程量占总工程量的比率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2020</w:t>
            </w:r>
            <w:r>
              <w:rPr>
                <w:rFonts w:hint="eastAsia" w:ascii="仿宋_GB2312" w:hAnsi="宋体" w:eastAsia="仿宋_GB2312"/>
                <w:color w:val="000000"/>
                <w:kern w:val="0"/>
                <w:sz w:val="18"/>
                <w:szCs w:val="18"/>
              </w:rPr>
              <w:t>年</w:t>
            </w:r>
            <w:r>
              <w:rPr>
                <w:rFonts w:ascii="仿宋_GB2312" w:hAnsi="宋体" w:eastAsia="仿宋_GB2312"/>
                <w:color w:val="000000"/>
                <w:kern w:val="0"/>
                <w:sz w:val="18"/>
                <w:szCs w:val="18"/>
              </w:rPr>
              <w:t>11</w:t>
            </w:r>
            <w:r>
              <w:rPr>
                <w:rFonts w:hint="eastAsia" w:ascii="仿宋_GB2312" w:hAnsi="宋体" w:eastAsia="仿宋_GB2312"/>
                <w:color w:val="000000"/>
                <w:kern w:val="0"/>
                <w:sz w:val="18"/>
                <w:szCs w:val="18"/>
              </w:rPr>
              <w:t>月底</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中冶建筑研究总院有限公司化学分析检车报告</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24.9</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color w:val="000000"/>
                <w:kern w:val="0"/>
                <w:sz w:val="18"/>
                <w:szCs w:val="18"/>
              </w:rPr>
            </w:pPr>
            <w:r>
              <w:rPr>
                <w:rFonts w:hint="eastAsia" w:ascii="仿宋_GB2312" w:hAnsi="宋体" w:eastAsia="仿宋_GB2312"/>
                <w:color w:val="000000"/>
                <w:kern w:val="0"/>
                <w:sz w:val="18"/>
                <w:szCs w:val="18"/>
              </w:rPr>
              <w:t>第三方测算</w:t>
            </w:r>
          </w:p>
        </w:tc>
      </w:tr>
      <w:tr>
        <w:tblPrEx>
          <w:tblCellMar>
            <w:top w:w="0" w:type="dxa"/>
            <w:left w:w="108" w:type="dxa"/>
            <w:bottom w:w="0" w:type="dxa"/>
            <w:right w:w="108" w:type="dxa"/>
          </w:tblCellMar>
        </w:tblPrEx>
        <w:trPr>
          <w:trHeight w:val="479"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环境效益</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水生态环境改善情况</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反映水生态环境改善情况增长情况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明显</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监测报告</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长效管理机制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健全</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文件</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主管单位满意度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反映主管单位满意程度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ascii="仿宋_GB2312" w:hAnsi="仿宋" w:eastAsia="仿宋_GB2312"/>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ascii="仿宋_GB2312" w:hAnsi="仿宋" w:eastAsia="仿宋_GB2312"/>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12.</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年廊泊路两侧整改提升土地流转资金项目绩效目标表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13102522P00898410001E  2022</w:t>
            </w:r>
            <w:r>
              <w:rPr>
                <w:rFonts w:hint="eastAsia" w:ascii="仿宋_GB2312" w:hAnsi="宋体" w:eastAsia="仿宋_GB2312" w:cs="宋体"/>
                <w:color w:val="000000"/>
                <w:sz w:val="18"/>
                <w:szCs w:val="18"/>
              </w:rPr>
              <w:t>年廊泊路两侧整改提升土地流转资金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108.08</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年廊泊路两侧整改提升土地流转资金。</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仿宋" w:eastAsia="仿宋_GB2312"/>
                <w:color w:val="000000"/>
                <w:kern w:val="0"/>
                <w:sz w:val="18"/>
                <w:szCs w:val="18"/>
              </w:rPr>
              <w:t>通过</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年廊泊路两侧整改提升土地流转</w:t>
            </w:r>
            <w:r>
              <w:rPr>
                <w:rFonts w:hint="eastAsia" w:ascii="仿宋_GB2312" w:hAnsi="仿宋" w:eastAsia="仿宋_GB2312"/>
                <w:color w:val="000000"/>
                <w:kern w:val="0"/>
                <w:sz w:val="18"/>
                <w:szCs w:val="18"/>
              </w:rPr>
              <w:t>，提高人民健康水平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补偿面积</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反映补偿占村民地上附着物面积</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亩</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完工验收合格率</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反映工程完工验收合格率</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《园林绿化工程施工及验收规范》</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项目完成及时性</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反映项目按施工节点完成情况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2022</w:t>
            </w:r>
            <w:r>
              <w:rPr>
                <w:rFonts w:hint="eastAsia" w:ascii="仿宋_GB2312" w:hAnsi="宋体" w:eastAsia="仿宋_GB2312"/>
                <w:color w:val="000000"/>
                <w:sz w:val="18"/>
                <w:szCs w:val="18"/>
              </w:rPr>
              <w:t>年</w:t>
            </w:r>
            <w:r>
              <w:rPr>
                <w:rFonts w:ascii="仿宋_GB2312" w:hAnsi="宋体" w:eastAsia="仿宋_GB2312"/>
                <w:color w:val="000000"/>
                <w:sz w:val="18"/>
                <w:szCs w:val="18"/>
              </w:rPr>
              <w:t>6</w:t>
            </w:r>
            <w:r>
              <w:rPr>
                <w:rFonts w:hint="eastAsia" w:ascii="仿宋_GB2312" w:hAnsi="宋体" w:eastAsia="仿宋_GB2312"/>
                <w:color w:val="00000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反映项目成本节约情况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受益人口数</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反映受益人口数量</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686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村民补偿金发放制度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反映村民补偿金发放制度是否完善</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完善</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主管单位满意度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反映主管单位满意度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bl>
    <w:p>
      <w:pPr>
        <w:ind w:firstLine="560" w:firstLineChars="200"/>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13.</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年廊泊路两侧改造提升工程监理项目绩效目标表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13102522P00898810002Q 2022</w:t>
            </w:r>
            <w:r>
              <w:rPr>
                <w:rFonts w:hint="eastAsia" w:ascii="仿宋_GB2312" w:hAnsi="宋体" w:eastAsia="仿宋_GB2312" w:cs="宋体"/>
                <w:color w:val="000000"/>
                <w:sz w:val="18"/>
                <w:szCs w:val="18"/>
              </w:rPr>
              <w:t>年廊泊路两侧改造提升工程监理费用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主管单位</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5</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年廊泊路两侧改造提升工程监理费用。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通过我镇全力推进过寸段干线两侧外立面改造工程，提升整体面貌。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w:t>
            </w:r>
            <w:r>
              <w:rPr>
                <w:rFonts w:ascii="仿宋_GB2312" w:hAnsi="宋体" w:eastAsia="仿宋_GB2312"/>
                <w:color w:val="000000"/>
                <w:sz w:val="18"/>
                <w:szCs w:val="18"/>
              </w:rPr>
              <w:t>26</w:t>
            </w:r>
            <w:r>
              <w:rPr>
                <w:rFonts w:hint="eastAsia" w:ascii="仿宋_GB2312" w:hAnsi="宋体" w:eastAsia="仿宋_GB2312"/>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规划、报告成果采纳率</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规划编制成果采纳率</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完成及时情况</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反映完成及时情况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及时完成</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资金成本</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资金成本控制情况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布局合理化</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反映布局合理化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布局合理</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根据项目实施情况确定</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规划设计的实施有利于村街环境的改善</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反映规划设计的实施有利于村街环境的改善</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根据项目实施情况确定</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为村街发展提供建设支撑</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反映为村街发展提供建设支撑</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提供支撑</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w:t>
            </w:r>
            <w:r>
              <w:rPr>
                <w:rFonts w:ascii="仿宋_GB2312" w:hAnsi="宋体" w:eastAsia="仿宋_GB2312"/>
                <w:color w:val="000000"/>
                <w:sz w:val="18"/>
                <w:szCs w:val="18"/>
              </w:rPr>
              <w:t>26</w:t>
            </w:r>
            <w:r>
              <w:rPr>
                <w:rFonts w:hint="eastAsia" w:ascii="仿宋_GB2312" w:hAnsi="宋体" w:eastAsia="仿宋_GB2312"/>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bl>
    <w:p>
      <w:pPr>
        <w:ind w:firstLine="560" w:firstLineChars="200"/>
        <w:jc w:val="left"/>
        <w:outlineLvl w:val="1"/>
        <w:rPr>
          <w:rFonts w:ascii="仿宋_GB2312" w:hAnsi="Times New Roman" w:eastAsia="仿宋_GB2312" w:cs="Times New Roman"/>
          <w:sz w:val="28"/>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0" w:name="_Toc471398468"/>
      <w:r>
        <w:rPr>
          <w:rFonts w:ascii="仿宋_GB2312" w:hAnsi="Times New Roman" w:eastAsia="仿宋_GB2312" w:cs="Times New Roman"/>
          <w:sz w:val="32"/>
          <w:szCs w:val="24"/>
        </w:rPr>
        <w:t>2022</w:t>
      </w:r>
      <w:r>
        <w:rPr>
          <w:rFonts w:hint="eastAsia" w:ascii="仿宋_GB2312" w:hAnsi="Times New Roman" w:eastAsia="仿宋_GB2312" w:cs="Times New Roman"/>
          <w:sz w:val="32"/>
          <w:szCs w:val="24"/>
        </w:rPr>
        <w:t>年，我单位安排政府采购预算</w:t>
      </w:r>
      <w:r>
        <w:rPr>
          <w:rFonts w:ascii="仿宋_GB2312" w:hAnsi="Times New Roman" w:eastAsia="仿宋_GB2312" w:cs="Times New Roman"/>
          <w:sz w:val="32"/>
          <w:szCs w:val="24"/>
        </w:rPr>
        <w:t>0</w:t>
      </w:r>
      <w:r>
        <w:rPr>
          <w:rFonts w:hint="eastAsia" w:ascii="仿宋_GB2312" w:hAnsi="Times New Roman" w:eastAsia="仿宋_GB2312" w:cs="Times New Roman"/>
          <w:sz w:val="32"/>
          <w:szCs w:val="24"/>
        </w:rPr>
        <w:t>万元。</w:t>
      </w:r>
    </w:p>
    <w:bookmarkEnd w:id="0"/>
    <w:p>
      <w:pPr>
        <w:spacing w:line="584" w:lineRule="exact"/>
        <w:jc w:val="left"/>
        <w:outlineLvl w:val="0"/>
        <w:rPr>
          <w:rFonts w:ascii="仿宋_GB2312" w:hAnsi="Times New Roman" w:eastAsia="仿宋_GB2312" w:cs="Times New Roman"/>
        </w:rPr>
      </w:pPr>
    </w:p>
    <w:p>
      <w:pPr>
        <w:jc w:val="center"/>
        <w:outlineLvl w:val="1"/>
        <w:rPr>
          <w:rFonts w:ascii="仿宋_GB2312" w:hAnsi="Times New Roman" w:eastAsia="仿宋_GB2312" w:cs="Times New Roman"/>
          <w:sz w:val="32"/>
        </w:rPr>
      </w:pPr>
      <w:bookmarkStart w:id="1" w:name="_Toc64920910"/>
      <w:r>
        <w:rPr>
          <w:rFonts w:hint="eastAsia" w:ascii="仿宋_GB2312" w:eastAsia="仿宋_GB2312" w:cs="Times New Roman"/>
          <w:sz w:val="32"/>
        </w:rPr>
        <w:t>单位政府采购预算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cs="Times New Roman"/>
                <w:sz w:val="24"/>
              </w:rPr>
            </w:pPr>
            <w:r>
              <w:rPr>
                <w:rFonts w:hint="eastAsia" w:ascii="仿宋_GB2312" w:eastAsia="仿宋_GB2312" w:cs="Times New Roman"/>
                <w:sz w:val="24"/>
              </w:rPr>
              <w:t>大城县臧屯镇人民政府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cs="Times New Roman"/>
                <w:sz w:val="24"/>
              </w:rPr>
            </w:pPr>
            <w:r>
              <w:rPr>
                <w:rFonts w:hint="eastAsia" w:ascii="仿宋_GB2312"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政府采购项目来源</w:t>
            </w:r>
          </w:p>
        </w:tc>
        <w:tc>
          <w:tcPr>
            <w:tcW w:w="1531"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采购物品名称</w:t>
            </w:r>
          </w:p>
        </w:tc>
        <w:tc>
          <w:tcPr>
            <w:tcW w:w="1531"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政府采购目录序号</w:t>
            </w:r>
          </w:p>
        </w:tc>
        <w:tc>
          <w:tcPr>
            <w:tcW w:w="709"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计量</w:t>
            </w:r>
            <w:r>
              <w:rPr>
                <w:rFonts w:ascii="仿宋_GB2312" w:eastAsia="仿宋_GB2312" w:cs="Times New Roman"/>
                <w:b/>
              </w:rPr>
              <w:t xml:space="preserve">  </w:t>
            </w:r>
            <w:r>
              <w:rPr>
                <w:rFonts w:hint="eastAsia" w:ascii="仿宋_GB2312" w:eastAsia="仿宋_GB2312" w:cs="Times New Roman"/>
                <w:b/>
              </w:rPr>
              <w:t>单位</w:t>
            </w:r>
          </w:p>
        </w:tc>
        <w:tc>
          <w:tcPr>
            <w:tcW w:w="907"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数量</w:t>
            </w:r>
          </w:p>
        </w:tc>
        <w:tc>
          <w:tcPr>
            <w:tcW w:w="907"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单价</w:t>
            </w:r>
          </w:p>
        </w:tc>
        <w:tc>
          <w:tcPr>
            <w:tcW w:w="6804" w:type="dxa"/>
            <w:gridSpan w:val="6"/>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项目名称</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预算资金</w:t>
            </w:r>
          </w:p>
        </w:tc>
        <w:tc>
          <w:tcPr>
            <w:tcW w:w="1531" w:type="dxa"/>
            <w:vMerge w:val="continue"/>
            <w:vAlign w:val="center"/>
          </w:tcPr>
          <w:p>
            <w:pPr>
              <w:rPr>
                <w:rFonts w:ascii="仿宋_GB2312" w:eastAsia="仿宋_GB2312"/>
              </w:rPr>
            </w:pPr>
          </w:p>
        </w:tc>
        <w:tc>
          <w:tcPr>
            <w:tcW w:w="1531" w:type="dxa"/>
            <w:vMerge w:val="continue"/>
            <w:vAlign w:val="center"/>
          </w:tcPr>
          <w:p>
            <w:pPr>
              <w:rPr>
                <w:rFonts w:ascii="仿宋_GB2312" w:eastAsia="仿宋_GB2312"/>
              </w:rPr>
            </w:pPr>
          </w:p>
        </w:tc>
        <w:tc>
          <w:tcPr>
            <w:tcW w:w="709" w:type="dxa"/>
            <w:vMerge w:val="continue"/>
            <w:vAlign w:val="center"/>
          </w:tcPr>
          <w:p>
            <w:pPr>
              <w:rPr>
                <w:rFonts w:ascii="仿宋_GB2312" w:eastAsia="仿宋_GB2312"/>
              </w:rPr>
            </w:pPr>
          </w:p>
        </w:tc>
        <w:tc>
          <w:tcPr>
            <w:tcW w:w="907" w:type="dxa"/>
            <w:vMerge w:val="continue"/>
            <w:vAlign w:val="center"/>
          </w:tcPr>
          <w:p>
            <w:pPr>
              <w:rPr>
                <w:rFonts w:ascii="仿宋_GB2312" w:eastAsia="仿宋_GB2312"/>
              </w:rPr>
            </w:pPr>
          </w:p>
        </w:tc>
        <w:tc>
          <w:tcPr>
            <w:tcW w:w="907" w:type="dxa"/>
            <w:vMerge w:val="continue"/>
            <w:vAlign w:val="center"/>
          </w:tcPr>
          <w:p>
            <w:pPr>
              <w:rPr>
                <w:rFonts w:ascii="仿宋_GB2312" w:eastAsia="仿宋_GB2312"/>
              </w:rPr>
            </w:pP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合计</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一般公共预算拨款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基金预算拨款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国有资本经营预算拨款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财政专户核拨</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合</w:t>
            </w:r>
            <w:r>
              <w:rPr>
                <w:rFonts w:ascii="仿宋_GB2312" w:eastAsia="仿宋_GB2312" w:cs="Times New Roman"/>
                <w:b/>
              </w:rPr>
              <w:t xml:space="preserve">  </w:t>
            </w:r>
            <w:r>
              <w:rPr>
                <w:rFonts w:hint="eastAsia" w:ascii="仿宋_GB2312" w:eastAsia="仿宋_GB2312" w:cs="Times New Roman"/>
                <w:b/>
              </w:rPr>
              <w:t>计</w:t>
            </w:r>
          </w:p>
        </w:tc>
        <w:tc>
          <w:tcPr>
            <w:tcW w:w="1134" w:type="dxa"/>
            <w:vAlign w:val="center"/>
          </w:tcPr>
          <w:p>
            <w:pPr>
              <w:spacing w:line="300" w:lineRule="exact"/>
              <w:jc w:val="righ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709" w:type="dxa"/>
            <w:vAlign w:val="center"/>
          </w:tcPr>
          <w:p>
            <w:pPr>
              <w:spacing w:line="300" w:lineRule="exact"/>
              <w:jc w:val="center"/>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709" w:type="dxa"/>
            <w:vAlign w:val="center"/>
          </w:tcPr>
          <w:p>
            <w:pPr>
              <w:spacing w:line="300" w:lineRule="exact"/>
              <w:jc w:val="center"/>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bl>
    <w:p>
      <w:pPr>
        <w:spacing w:line="584" w:lineRule="exact"/>
        <w:jc w:val="left"/>
        <w:outlineLvl w:val="0"/>
        <w:rPr>
          <w:rFonts w:hint="default" w:ascii="仿宋_GB2312" w:hAnsi="Times New Roman" w:eastAsia="仿宋_GB2312" w:cs="Times New Roman"/>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仿宋_GB2312" w:hAnsi="Times New Roman" w:eastAsia="仿宋_GB2312" w:cs="Times New Roman"/>
          <w:lang w:val="en-US" w:eastAsia="zh-CN"/>
        </w:rPr>
        <w:t>注：无单位政府采购预算，空表列示。</w:t>
      </w:r>
      <w:bookmarkStart w:id="2" w:name="_GoBack"/>
      <w:bookmarkEnd w:id="2"/>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我单位上年末固定资产金额为</w:t>
      </w:r>
      <w:r>
        <w:rPr>
          <w:rFonts w:ascii="仿宋_GB2312" w:hAnsi="Times New Roman" w:eastAsia="仿宋_GB2312" w:cs="Times New Roman"/>
          <w:sz w:val="32"/>
          <w:szCs w:val="32"/>
        </w:rPr>
        <w:t>457.51</w:t>
      </w:r>
      <w:r>
        <w:rPr>
          <w:rFonts w:hint="eastAsia" w:ascii="仿宋_GB2312" w:hAnsi="Times New Roman" w:eastAsia="仿宋_GB2312" w:cs="Times New Roman"/>
          <w:sz w:val="32"/>
          <w:szCs w:val="32"/>
        </w:rPr>
        <w:t>万元（详见下表），本年度我单位</w:t>
      </w:r>
      <w:r>
        <w:rPr>
          <w:rFonts w:hint="eastAsia" w:ascii="仿宋_GB2312" w:hAnsi="黑体" w:eastAsia="仿宋_GB2312"/>
          <w:sz w:val="32"/>
          <w:szCs w:val="32"/>
        </w:rPr>
        <w:t>无新增固定资产计划。</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大城县单位固定资产占用情况表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编制单位：大城县臧屯镇人民政府</w:t>
            </w:r>
          </w:p>
        </w:tc>
        <w:tc>
          <w:tcPr>
            <w:tcW w:w="5103" w:type="dxa"/>
            <w:tcBorders>
              <w:top w:val="nil"/>
              <w:left w:val="nil"/>
              <w:bottom w:val="nil"/>
              <w:right w:val="nil"/>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w:t>
            </w:r>
            <w:r>
              <w:rPr>
                <w:rFonts w:ascii="仿宋_GB2312" w:hAnsi="Times New Roman" w:eastAsia="仿宋_GB2312" w:cs="Times New Roman"/>
                <w:kern w:val="0"/>
                <w:sz w:val="22"/>
              </w:rPr>
              <w:t>2021</w:t>
            </w:r>
            <w:r>
              <w:rPr>
                <w:rFonts w:hint="eastAsia" w:ascii="仿宋_GB2312" w:hAnsi="Times New Roman" w:eastAsia="仿宋_GB2312" w:cs="Times New Roman"/>
                <w:kern w:val="0"/>
                <w:sz w:val="22"/>
              </w:rPr>
              <w:t>年</w:t>
            </w:r>
            <w:r>
              <w:rPr>
                <w:rFonts w:ascii="仿宋_GB2312" w:hAnsi="Times New Roman" w:eastAsia="仿宋_GB2312" w:cs="Times New Roman"/>
                <w:kern w:val="0"/>
                <w:sz w:val="22"/>
              </w:rPr>
              <w:t>12</w:t>
            </w:r>
            <w:r>
              <w:rPr>
                <w:rFonts w:hint="eastAsia" w:ascii="仿宋_GB2312" w:hAnsi="Times New Roman" w:eastAsia="仿宋_GB2312" w:cs="Times New Roman"/>
                <w:kern w:val="0"/>
                <w:sz w:val="22"/>
              </w:rPr>
              <w:t>月</w:t>
            </w:r>
            <w:r>
              <w:rPr>
                <w:rFonts w:ascii="仿宋_GB2312" w:hAnsi="Times New Roman" w:eastAsia="仿宋_GB2312" w:cs="Times New Roman"/>
                <w:kern w:val="0"/>
                <w:sz w:val="22"/>
              </w:rPr>
              <w:t>31</w:t>
            </w:r>
            <w:r>
              <w:rPr>
                <w:rFonts w:hint="eastAsia" w:ascii="仿宋_GB2312" w:hAnsi="Times New Roman" w:eastAsia="仿宋_GB2312" w:cs="Times New Roman"/>
                <w:kern w:val="0"/>
                <w:sz w:val="22"/>
              </w:rPr>
              <w:t>日</w:t>
            </w:r>
            <w:r>
              <w:rPr>
                <w:rFonts w:ascii="仿宋_GB2312"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项</w:t>
            </w:r>
            <w:r>
              <w:rPr>
                <w:rFonts w:ascii="仿宋_GB2312" w:hAnsi="Times New Roman" w:eastAsia="仿宋_GB2312" w:cs="Times New Roman"/>
                <w:b/>
                <w:bCs/>
                <w:kern w:val="0"/>
                <w:sz w:val="22"/>
              </w:rPr>
              <w:t xml:space="preserve">   </w:t>
            </w:r>
            <w:r>
              <w:rPr>
                <w:rFonts w:hint="eastAsia" w:ascii="仿宋_GB2312"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457.51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1</w:t>
            </w:r>
            <w:r>
              <w:rPr>
                <w:rFonts w:hint="eastAsia" w:ascii="仿宋_GB2312"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2730</w:t>
            </w:r>
            <w:r>
              <w:rPr>
                <w:rFonts w:hint="eastAsia" w:ascii="仿宋_GB2312" w:hAnsi="宋体" w:eastAsia="仿宋_GB2312"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1200</w:t>
            </w:r>
            <w:r>
              <w:rPr>
                <w:rFonts w:hint="eastAsia" w:ascii="仿宋_GB2312" w:hAnsi="宋体" w:eastAsia="仿宋_GB2312"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2</w:t>
            </w:r>
            <w:r>
              <w:rPr>
                <w:rFonts w:hint="eastAsia" w:ascii="仿宋_GB2312"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103.77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3</w:t>
            </w:r>
            <w:r>
              <w:rPr>
                <w:rFonts w:hint="eastAsia" w:ascii="仿宋_GB2312" w:hAnsi="Times New Roman" w:eastAsia="仿宋_GB2312" w:cs="Times New Roman"/>
                <w:kern w:val="0"/>
                <w:sz w:val="22"/>
              </w:rPr>
              <w:t>、单价在</w:t>
            </w:r>
            <w:r>
              <w:rPr>
                <w:rFonts w:ascii="仿宋_GB2312" w:hAnsi="Times New Roman" w:eastAsia="仿宋_GB2312" w:cs="Times New Roman"/>
                <w:kern w:val="0"/>
                <w:sz w:val="22"/>
              </w:rPr>
              <w:t>20</w:t>
            </w:r>
            <w:r>
              <w:rPr>
                <w:rFonts w:hint="eastAsia" w:ascii="仿宋_GB2312"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4</w:t>
            </w:r>
            <w:r>
              <w:rPr>
                <w:rFonts w:hint="eastAsia" w:ascii="仿宋_GB2312"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144</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32.24</w:t>
            </w: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八、名词解释</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、一般公共预算拨款收入：</w:t>
      </w:r>
      <w:r>
        <w:rPr>
          <w:rFonts w:hint="eastAsia" w:ascii="仿宋_GB2312" w:hAnsi="Times New Roman" w:eastAsia="仿宋_GB2312" w:cs="Times New Roman"/>
          <w:sz w:val="32"/>
          <w:szCs w:val="32"/>
        </w:rPr>
        <w:t>指县级财政当年拨付的资金。</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、事业收入：</w:t>
      </w:r>
      <w:r>
        <w:rPr>
          <w:rFonts w:hint="eastAsia" w:ascii="仿宋_GB2312"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、其他收入：</w:t>
      </w:r>
      <w:r>
        <w:rPr>
          <w:rFonts w:hint="eastAsia" w:ascii="仿宋_GB2312"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、基本支出：</w:t>
      </w:r>
      <w:r>
        <w:rPr>
          <w:rFonts w:hint="eastAsia" w:ascii="仿宋_GB2312"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、项目支出：</w:t>
      </w:r>
      <w:r>
        <w:rPr>
          <w:rFonts w:hint="eastAsia" w:ascii="仿宋_GB2312"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6</w:t>
      </w:r>
      <w:r>
        <w:rPr>
          <w:rFonts w:hint="eastAsia" w:ascii="仿宋_GB2312" w:hAnsi="Times New Roman" w:eastAsia="仿宋_GB2312" w:cs="Times New Roman"/>
          <w:b/>
          <w:sz w:val="32"/>
          <w:szCs w:val="32"/>
        </w:rPr>
        <w:t>、上缴上级支出：</w:t>
      </w:r>
      <w:r>
        <w:rPr>
          <w:rFonts w:hint="eastAsia" w:ascii="仿宋_GB2312" w:hAnsi="Times New Roman" w:eastAsia="仿宋_GB2312" w:cs="Times New Roman"/>
          <w:sz w:val="32"/>
          <w:szCs w:val="32"/>
        </w:rPr>
        <w:t>指下级单位上缴上级的支出。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7</w:t>
      </w:r>
      <w:r>
        <w:rPr>
          <w:rFonts w:hint="eastAsia" w:ascii="仿宋_GB2312" w:hAnsi="Times New Roman" w:eastAsia="仿宋_GB2312" w:cs="Times New Roman"/>
          <w:b/>
          <w:sz w:val="32"/>
          <w:szCs w:val="32"/>
        </w:rPr>
        <w:t>、“三公”经费：</w:t>
      </w:r>
      <w:r>
        <w:rPr>
          <w:rFonts w:hint="eastAsia" w:ascii="仿宋_GB2312" w:hAnsi="Times New Roman" w:eastAsia="仿宋_GB2312" w:cs="Times New Roman"/>
          <w:sz w:val="32"/>
          <w:szCs w:val="32"/>
        </w:rPr>
        <w:t>纳入县级财政预算管理的“三公”经费，是指县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8</w:t>
      </w:r>
      <w:r>
        <w:rPr>
          <w:rFonts w:hint="eastAsia" w:ascii="仿宋_GB2312" w:hAnsi="Times New Roman" w:eastAsia="仿宋_GB2312" w:cs="Times New Roman"/>
          <w:b/>
          <w:sz w:val="32"/>
          <w:szCs w:val="32"/>
        </w:rPr>
        <w:t>、机关运行费：</w:t>
      </w:r>
      <w:r>
        <w:rPr>
          <w:rFonts w:hint="eastAsia" w:ascii="仿宋_GB2312"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9</w:t>
      </w:r>
      <w:r>
        <w:rPr>
          <w:rFonts w:hint="eastAsia" w:ascii="仿宋_GB2312" w:hAnsi="Times New Roman" w:eastAsia="仿宋_GB2312" w:cs="Times New Roman"/>
          <w:b/>
          <w:sz w:val="32"/>
          <w:szCs w:val="32"/>
        </w:rPr>
        <w:t>、上年结转：</w:t>
      </w:r>
      <w:r>
        <w:rPr>
          <w:rFonts w:hint="eastAsia" w:ascii="仿宋_GB2312"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10</w:t>
      </w:r>
      <w:r>
        <w:rPr>
          <w:rFonts w:hint="eastAsia" w:ascii="仿宋_GB2312" w:hAnsi="Times New Roman" w:eastAsia="仿宋_GB2312" w:cs="Times New Roman"/>
          <w:b/>
          <w:sz w:val="32"/>
          <w:szCs w:val="32"/>
        </w:rPr>
        <w:t>、事业单位经营支出：</w:t>
      </w:r>
      <w:r>
        <w:rPr>
          <w:rFonts w:hint="eastAsia" w:ascii="仿宋_GB2312"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九、其他需要说明的事项</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ÂËÎ">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1</w:t>
    </w:r>
    <w:r>
      <w:rPr>
        <w:lang w:val="zh-CN"/>
      </w:rPr>
      <w:fldChar w:fldCharType="end"/>
    </w:r>
    <w: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1704C"/>
    <w:rsid w:val="00023AD6"/>
    <w:rsid w:val="000509CD"/>
    <w:rsid w:val="00081251"/>
    <w:rsid w:val="00085A7D"/>
    <w:rsid w:val="000B6F73"/>
    <w:rsid w:val="001005D7"/>
    <w:rsid w:val="001424B0"/>
    <w:rsid w:val="001828D4"/>
    <w:rsid w:val="00185DBF"/>
    <w:rsid w:val="001B06DA"/>
    <w:rsid w:val="001B4456"/>
    <w:rsid w:val="00205F52"/>
    <w:rsid w:val="00213AAE"/>
    <w:rsid w:val="00231F8B"/>
    <w:rsid w:val="0025699B"/>
    <w:rsid w:val="002762A7"/>
    <w:rsid w:val="0028389D"/>
    <w:rsid w:val="002A6120"/>
    <w:rsid w:val="002C0067"/>
    <w:rsid w:val="002C0F6D"/>
    <w:rsid w:val="00335104"/>
    <w:rsid w:val="00347E07"/>
    <w:rsid w:val="00351146"/>
    <w:rsid w:val="00354635"/>
    <w:rsid w:val="00356685"/>
    <w:rsid w:val="00372F0D"/>
    <w:rsid w:val="00386D16"/>
    <w:rsid w:val="003918B5"/>
    <w:rsid w:val="003A605B"/>
    <w:rsid w:val="00420428"/>
    <w:rsid w:val="00443751"/>
    <w:rsid w:val="00462DA5"/>
    <w:rsid w:val="00492410"/>
    <w:rsid w:val="004A4904"/>
    <w:rsid w:val="004A54AA"/>
    <w:rsid w:val="004A5A02"/>
    <w:rsid w:val="004D311B"/>
    <w:rsid w:val="005123E8"/>
    <w:rsid w:val="00516FB7"/>
    <w:rsid w:val="00540A20"/>
    <w:rsid w:val="0056306A"/>
    <w:rsid w:val="005737E6"/>
    <w:rsid w:val="005D5A3B"/>
    <w:rsid w:val="005F10EE"/>
    <w:rsid w:val="00612BF2"/>
    <w:rsid w:val="00647841"/>
    <w:rsid w:val="00657587"/>
    <w:rsid w:val="006A00B5"/>
    <w:rsid w:val="006A257E"/>
    <w:rsid w:val="006B27A4"/>
    <w:rsid w:val="006D3252"/>
    <w:rsid w:val="006E08C1"/>
    <w:rsid w:val="006F6D6A"/>
    <w:rsid w:val="00720C28"/>
    <w:rsid w:val="00722448"/>
    <w:rsid w:val="007228D0"/>
    <w:rsid w:val="007318EA"/>
    <w:rsid w:val="007329B1"/>
    <w:rsid w:val="00751BD2"/>
    <w:rsid w:val="007779A0"/>
    <w:rsid w:val="007A2E08"/>
    <w:rsid w:val="007C1D2F"/>
    <w:rsid w:val="007D47D2"/>
    <w:rsid w:val="007D7D22"/>
    <w:rsid w:val="007E1C71"/>
    <w:rsid w:val="007F4437"/>
    <w:rsid w:val="00840337"/>
    <w:rsid w:val="00847514"/>
    <w:rsid w:val="008600DA"/>
    <w:rsid w:val="008726ED"/>
    <w:rsid w:val="008878C3"/>
    <w:rsid w:val="008D0406"/>
    <w:rsid w:val="00920D26"/>
    <w:rsid w:val="00967C89"/>
    <w:rsid w:val="00A1397E"/>
    <w:rsid w:val="00A21A94"/>
    <w:rsid w:val="00A41F40"/>
    <w:rsid w:val="00A620FE"/>
    <w:rsid w:val="00A625EC"/>
    <w:rsid w:val="00A81B8E"/>
    <w:rsid w:val="00A914B8"/>
    <w:rsid w:val="00AC02DF"/>
    <w:rsid w:val="00AD15B3"/>
    <w:rsid w:val="00AE0F41"/>
    <w:rsid w:val="00B1628E"/>
    <w:rsid w:val="00B20A0D"/>
    <w:rsid w:val="00B418B2"/>
    <w:rsid w:val="00B80935"/>
    <w:rsid w:val="00B85E2C"/>
    <w:rsid w:val="00B9040F"/>
    <w:rsid w:val="00B9572E"/>
    <w:rsid w:val="00BA30E3"/>
    <w:rsid w:val="00BF39D4"/>
    <w:rsid w:val="00C06B4A"/>
    <w:rsid w:val="00C17CEF"/>
    <w:rsid w:val="00C8744F"/>
    <w:rsid w:val="00CA1DAE"/>
    <w:rsid w:val="00CB1449"/>
    <w:rsid w:val="00D16F8F"/>
    <w:rsid w:val="00D347CC"/>
    <w:rsid w:val="00D476E9"/>
    <w:rsid w:val="00D601D8"/>
    <w:rsid w:val="00D62C02"/>
    <w:rsid w:val="00D778FB"/>
    <w:rsid w:val="00D77E5D"/>
    <w:rsid w:val="00DB7287"/>
    <w:rsid w:val="00DD0D45"/>
    <w:rsid w:val="00DD5AA6"/>
    <w:rsid w:val="00DF167C"/>
    <w:rsid w:val="00E41773"/>
    <w:rsid w:val="00ED18D0"/>
    <w:rsid w:val="00F14EBD"/>
    <w:rsid w:val="00F2797A"/>
    <w:rsid w:val="00F4445D"/>
    <w:rsid w:val="00F54518"/>
    <w:rsid w:val="00F76ED1"/>
    <w:rsid w:val="00F91F08"/>
    <w:rsid w:val="02732F88"/>
    <w:rsid w:val="032838EB"/>
    <w:rsid w:val="07A63294"/>
    <w:rsid w:val="16E73D24"/>
    <w:rsid w:val="310103F1"/>
    <w:rsid w:val="3F8A033F"/>
    <w:rsid w:val="46E71798"/>
    <w:rsid w:val="48EC1496"/>
    <w:rsid w:val="55E73D2F"/>
    <w:rsid w:val="59ED03E0"/>
    <w:rsid w:val="6D0D4676"/>
    <w:rsid w:val="72A972CE"/>
    <w:rsid w:val="78295334"/>
    <w:rsid w:val="7A411B9B"/>
    <w:rsid w:val="7BF65C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nhideWhenUsed="0" w:uiPriority="99" w:semiHidden="0" w:name="footnote text"/>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rPr>
      <w:rFonts w:cs="Times New Roman"/>
      <w:szCs w:val="24"/>
    </w:rPr>
  </w:style>
  <w:style w:type="paragraph" w:styleId="3">
    <w:name w:val="Balloon Text"/>
    <w:basedOn w:val="1"/>
    <w:link w:val="13"/>
    <w:uiPriority w:val="99"/>
    <w:rPr>
      <w:sz w:val="18"/>
      <w:szCs w:val="18"/>
    </w:rPr>
  </w:style>
  <w:style w:type="paragraph" w:styleId="4">
    <w:name w:val="footer"/>
    <w:basedOn w:val="1"/>
    <w:link w:val="14"/>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99"/>
    <w:rPr>
      <w:rFonts w:ascii="Times New Roman" w:hAnsi="Times New Roman" w:cs="Times New Roman"/>
      <w:szCs w:val="24"/>
    </w:rPr>
  </w:style>
  <w:style w:type="paragraph" w:styleId="7">
    <w:name w:val="footnote text"/>
    <w:basedOn w:val="1"/>
    <w:link w:val="16"/>
    <w:uiPriority w:val="99"/>
    <w:pPr>
      <w:snapToGrid w:val="0"/>
      <w:jc w:val="left"/>
    </w:pPr>
    <w:rPr>
      <w:rFonts w:cs="Times New Roman"/>
      <w:sz w:val="18"/>
      <w:szCs w:val="18"/>
    </w:rPr>
  </w:style>
  <w:style w:type="paragraph" w:styleId="8">
    <w:name w:val="toc 2"/>
    <w:basedOn w:val="1"/>
    <w:next w:val="1"/>
    <w:uiPriority w:val="99"/>
    <w:pPr>
      <w:ind w:left="200" w:leftChars="200"/>
    </w:pPr>
    <w:rPr>
      <w:rFonts w:ascii="Times New Roman" w:hAnsi="Times New Roman" w:cs="Times New Roman"/>
      <w:szCs w:val="24"/>
    </w:rPr>
  </w:style>
  <w:style w:type="character" w:styleId="11">
    <w:name w:val="footnote reference"/>
    <w:basedOn w:val="10"/>
    <w:qFormat/>
    <w:uiPriority w:val="99"/>
    <w:rPr>
      <w:rFonts w:cs="Times New Roman"/>
      <w:vertAlign w:val="superscript"/>
    </w:rPr>
  </w:style>
  <w:style w:type="character" w:customStyle="1" w:styleId="12">
    <w:name w:val="Body Text Char"/>
    <w:basedOn w:val="10"/>
    <w:link w:val="2"/>
    <w:semiHidden/>
    <w:locked/>
    <w:uiPriority w:val="99"/>
    <w:rPr>
      <w:rFonts w:ascii="Calibri" w:hAnsi="Calibri" w:cs="Arial"/>
    </w:rPr>
  </w:style>
  <w:style w:type="character" w:customStyle="1" w:styleId="13">
    <w:name w:val="Balloon Text Char"/>
    <w:basedOn w:val="10"/>
    <w:link w:val="3"/>
    <w:semiHidden/>
    <w:locked/>
    <w:uiPriority w:val="99"/>
    <w:rPr>
      <w:rFonts w:ascii="Calibri" w:hAnsi="Calibri" w:cs="Arial"/>
      <w:sz w:val="2"/>
    </w:rPr>
  </w:style>
  <w:style w:type="character" w:customStyle="1" w:styleId="14">
    <w:name w:val="Footer Char"/>
    <w:basedOn w:val="10"/>
    <w:link w:val="4"/>
    <w:semiHidden/>
    <w:locked/>
    <w:uiPriority w:val="99"/>
    <w:rPr>
      <w:rFonts w:ascii="Calibri" w:hAnsi="Calibri" w:cs="Arial"/>
      <w:sz w:val="18"/>
      <w:szCs w:val="18"/>
    </w:rPr>
  </w:style>
  <w:style w:type="character" w:customStyle="1" w:styleId="15">
    <w:name w:val="Header Char"/>
    <w:basedOn w:val="10"/>
    <w:link w:val="5"/>
    <w:semiHidden/>
    <w:locked/>
    <w:uiPriority w:val="99"/>
    <w:rPr>
      <w:rFonts w:ascii="Calibri" w:hAnsi="Calibri" w:cs="Arial"/>
      <w:sz w:val="18"/>
      <w:szCs w:val="18"/>
    </w:rPr>
  </w:style>
  <w:style w:type="character" w:customStyle="1" w:styleId="16">
    <w:name w:val="Footnote Text Char"/>
    <w:basedOn w:val="10"/>
    <w:link w:val="7"/>
    <w:semiHidden/>
    <w:locked/>
    <w:uiPriority w:val="99"/>
    <w:rPr>
      <w:rFonts w:ascii="Calibri" w:hAnsi="Calibri" w:cs="Arial"/>
      <w:sz w:val="18"/>
      <w:szCs w:val="18"/>
    </w:rPr>
  </w:style>
  <w:style w:type="paragraph" w:customStyle="1" w:styleId="17">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8">
    <w:name w:val="Body Text1"/>
    <w:basedOn w:val="1"/>
    <w:uiPriority w:val="99"/>
    <w:pPr>
      <w:spacing w:after="120"/>
    </w:pPr>
  </w:style>
  <w:style w:type="paragraph" w:customStyle="1" w:styleId="19">
    <w:name w:val="Heading 21"/>
    <w:basedOn w:val="1"/>
    <w:uiPriority w:val="99"/>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14295</Words>
  <Characters>15219</Characters>
  <Lines>0</Lines>
  <Paragraphs>0</Paragraphs>
  <TotalTime>93</TotalTime>
  <ScaleCrop>false</ScaleCrop>
  <LinksUpToDate>false</LinksUpToDate>
  <CharactersWithSpaces>15316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2018-01-30T06:12:00Z</cp:lastPrinted>
  <dcterms:modified xsi:type="dcterms:W3CDTF">2023-08-09T08:01:02Z</dcterms:modified>
  <dc:title>大城县臧屯镇2022年部门预算信息公开情况说明</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66B21AA3B3D64BAB976B49D3C98E3CFC</vt:lpwstr>
  </property>
</Properties>
</file>