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ascii="仿宋_GB2312" w:hAnsi="仿宋_GB2312" w:eastAsia="仿宋_GB2312" w:cs="仿宋_GB2312"/>
          <w:sz w:val="32"/>
        </w:rPr>
      </w:pPr>
      <w:r>
        <w:rPr>
          <w:rFonts w:hint="eastAsia" w:ascii="仿宋_GB2312" w:hAnsi="仿宋_GB2312" w:eastAsia="仿宋_GB2312" w:cs="仿宋_GB2312"/>
          <w:sz w:val="32"/>
        </w:rPr>
        <w:t>办公室负责日常政务、办文办会、机要、保密等检务保障工作；政治部负责干部人事、教育培训、党风廉政、司法警务等工作；第一检察部负责普通刑事案件检察工作、社会综合治理工作；第二检察部负责民事检察、行政检察、公益诉讼检察、破坏社会主义市场经济秩序案件、涉生态环境和资源保护、食品药品安全、国有财产保护、国有土地使用权出让领域的刑事案件的检察工作；第三检察部负责控告申诉、刑事执行、案件管理、法律政策研究、职务犯罪案件检察、涉未成年人犯罪案件检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ascii="仿宋_GB2312" w:hAnsi="仿宋_GB2312" w:eastAsia="仿宋_GB2312" w:cs="仿宋_GB2312"/>
          <w:sz w:val="32"/>
        </w:rPr>
      </w:pPr>
      <w:r>
        <w:rPr>
          <w:rFonts w:hint="eastAsia" w:ascii="仿宋_GB2312" w:hAnsi="仿宋_GB2312" w:eastAsia="仿宋_GB2312" w:cs="仿宋_GB2312"/>
          <w:sz w:val="32"/>
        </w:rPr>
        <w:t>原有内设机构：办公室、政治处、侦查监督科、公诉科、案件管理办公室、未成年人刑事检察科（含生态环境保护科）、控告申诉检察科、刑事执行检察局、园区检察室等。2019年8月经过内设机构改革，机构整合为办公室、第一检察部、第二检察部、第三检察部、政治部（司法警察大队）。</w:t>
      </w:r>
    </w:p>
    <w:p>
      <w:pPr>
        <w:autoSpaceDE w:val="0"/>
        <w:autoSpaceDN w:val="0"/>
        <w:adjustRightInd w:val="0"/>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大城县人民检察院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大城县人民检察院</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1366.85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1214.31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152.55万元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我院2022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1366.85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684.18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626.79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57.38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682.67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聘用制书记员、劳务派遣人员工资及其保险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办案业务经费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综合事务管理经费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1366.85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19.38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减少6.36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25.74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聘用制书记员工资、司法警察工资及保险</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院</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57.38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办公楼</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院</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28.98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25.48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加21.38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减少12.4</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无变化</w:t>
      </w:r>
      <w:r>
        <w:rPr>
          <w:rFonts w:ascii="Times New Roman" w:hAnsi="Times New Roman" w:eastAsia="仿宋_GB2312" w:cs="Times New Roman"/>
          <w:sz w:val="32"/>
          <w:szCs w:val="32"/>
        </w:rPr>
        <w:t>，公务用车</w:t>
      </w:r>
      <w:r>
        <w:rPr>
          <w:rFonts w:hint="eastAsia" w:ascii="Times New Roman" w:hAnsi="Times New Roman" w:eastAsia="仿宋_GB2312" w:cs="Times New Roman"/>
          <w:sz w:val="32"/>
          <w:szCs w:val="32"/>
        </w:rPr>
        <w:t>运维费减少12.4万元)，主要原因是填报2022年预算项目数据时，填列错误；公务接待费万元增加21.38万元，主要原因是填报2022年预算项目数据时，填列错误。</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坚持以习近平新时代中国特色社会主义思想为指导，以推动“四大检察”“十大业务”全面协调充分发展为目标，抓重点、补短板、强弱项，履行好维护国家政治安全、确保社会大局稳定、促进社会公平正义、保障人民安居乐业的职责任务，全面提高检察工作水平，努力提高更加有力的法治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440" w:firstLineChars="200"/>
        <w:rPr>
          <w:rFonts w:ascii="楷体_GB2312" w:eastAsia="楷体_GB2312" w:cs="Times New Roman"/>
          <w:b/>
          <w:sz w:val="32"/>
          <w:szCs w:val="32"/>
        </w:rPr>
      </w:pPr>
      <w:r>
        <w:rPr>
          <w:rFonts w:hint="eastAsia" w:ascii="宋体" w:hAnsi="宋体" w:cs="宋体"/>
          <w:color w:val="000000"/>
          <w:kern w:val="0"/>
          <w:sz w:val="22"/>
        </w:rPr>
        <w:t>一</w:t>
      </w:r>
      <w:r>
        <w:rPr>
          <w:rFonts w:hint="eastAsia" w:ascii="楷体_GB2312" w:eastAsia="楷体_GB2312" w:cs="Times New Roman"/>
          <w:b/>
          <w:sz w:val="32"/>
          <w:szCs w:val="32"/>
        </w:rPr>
        <w:t>、完成机关日常保障工作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绩效目标：办公室加大服务管理、综合协调、督办检查工作力度。加强协作能力的培养，提高信息、简报的质量，增加数量，使报送的采用率有所突破。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绩效指标：提高检察干警满意度，提升服务保障水平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二、全面履行侦查监督和审查起诉只能，抓好审查逮捕、立案监督、侦查活动监督、诉讼活动监督、依法指控犯罪。</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绩效目标：受理公安机关提请批准逮捕各类刑事案件，受理各类审查起诉案件，深入开展扫黑除恶，适用认罪认罚制度，推进检务公开。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指标：批准逮捕率达到95%，提起公诉率达到90%以上，适用认罪人法达到90%以上，进一步推进检务公开，对人民法院所作判决、裁定已生效的x案刑事起诉书、抗诉书、不起诉决定书、行使申诉复查决定书等应当公开的法律文书及时予以公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三、负责民事行政案件监督，提起检察建议书，开展公益诉讼工作。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绩效目标：全年提起检察建议书20分、深入开展公益诉讼工作，加强民事、行政案件监督。</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绩效指标：检察建议采纳率达到95%以上，公益诉讼案件10件。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四、负责案件管理、刑事执行、法律政策研究、控告申诉、职务犯罪案件检察，设计未成年人犯罪案件检察工作。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目标：执法监督、涉案财物管理以及案件质量评查等方面开展，羁押必要性审查、社区矫正财产刑执行监督、重大案件侦查终结前讯问合法性核查，调研、指导性案例编写、受理国家赔偿、刑事申诉、司法救助案件、办理未成年案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绩效指标：案件管理工作在全市排名在前三名、羁押必要性审查达到100%，国家赔偿达到100%，预防未成年犯罪取得良好效果。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五、负责人事相关工作、培训、党风廉政、司法警察、纪检监察等工作。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绩效目标：做好干部人事相关工作，增资减资，人员招录、廉政教育、检察业务宣传、司法警察大队等相关工作。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绩效指标：争取检察宣传工作在全市达到前列，做好培训相关工作，做好纪检监察工作。</w:t>
      </w:r>
    </w:p>
    <w:p>
      <w:pPr>
        <w:numPr>
          <w:ilvl w:val="0"/>
          <w:numId w:val="1"/>
        </w:num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 xml:space="preserve">   一、助力经济发展 。着力服务“三打攻坚战”，努力化解社会重大风险尤其是金融风险，依法严厉惩治非法吸收公众存款、集资诈骗、传销等涉重型经济法犯罪；依法治污，推进生态环境保护，着力纠正有罪不纠、有案不立等违法行为；聚焦决战脱贫工作部署，对照“两不愁,三保障</w:t>
      </w:r>
      <w:r>
        <w:rPr>
          <w:rFonts w:ascii="楷体_GB2312" w:eastAsia="楷体_GB2312" w:cs="Times New Roman"/>
          <w:b/>
          <w:sz w:val="32"/>
          <w:szCs w:val="32"/>
        </w:rPr>
        <w:t>”</w:t>
      </w:r>
      <w:r>
        <w:rPr>
          <w:rFonts w:hint="eastAsia" w:ascii="楷体_GB2312" w:eastAsia="楷体_GB2312" w:cs="Times New Roman"/>
          <w:b/>
          <w:sz w:val="32"/>
          <w:szCs w:val="32"/>
        </w:rPr>
        <w:t>要求，认真开展回头看，推动帮扶村彻底完成脱贫共建任务。大力支持民营经济健康发展，严厉打击侵害民营企业合法权利犯罪。</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全面加强法律监督。依法惩治危害社会稳定犯罪，严厉打击重大刑事犯罪和危害人民群众安全感的犯罪。深入开展扫黑除恶专项斗争，继续在案件攻坚上下功夫，提前介入所有黑社会性质犯罪，加强民事检察和行政检察工作，实现案结事了人和、案结事了政和。积极推进公益诉讼检察工作，开展为期一年的落实“四个最严”专项监督行动，切实维护国家利益和社会公共利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锻造过硬队伍。加强诉讼档案归档工作，开展专项清查活动，对照统一业务应用特别是没有录入系统的案件登记表认真核对，做应归尽归。开展培训和岗位练兵，持续深化司法责任制综合配套改革，持续加强全面从严治检。</w:t>
      </w:r>
    </w:p>
    <w:p>
      <w:pPr>
        <w:spacing w:line="584" w:lineRule="exact"/>
        <w:ind w:firstLine="643" w:firstLineChars="200"/>
        <w:rPr>
          <w:rFonts w:ascii="楷体_GB2312" w:eastAsia="楷体_GB2312" w:cs="Times New Roman"/>
          <w:b/>
          <w:sz w:val="32"/>
          <w:szCs w:val="32"/>
        </w:rPr>
      </w:pPr>
    </w:p>
    <w:p>
      <w:pPr>
        <w:numPr>
          <w:ilvl w:val="0"/>
          <w:numId w:val="2"/>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8"/>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5"/>
        <w:gridCol w:w="1260"/>
        <w:gridCol w:w="1910"/>
        <w:gridCol w:w="1716"/>
        <w:gridCol w:w="1483"/>
        <w:gridCol w:w="543"/>
        <w:gridCol w:w="488"/>
        <w:gridCol w:w="10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4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45" w:type="dxa"/>
            <w:vMerge w:val="continue"/>
            <w:tcBorders>
              <w:tl2br w:val="nil"/>
              <w:tr2bl w:val="nil"/>
            </w:tcBorders>
            <w:vAlign w:val="center"/>
          </w:tcPr>
          <w:p/>
        </w:tc>
        <w:tc>
          <w:tcPr>
            <w:tcW w:w="1260" w:type="dxa"/>
            <w:vMerge w:val="continue"/>
            <w:tcBorders>
              <w:tl2br w:val="nil"/>
              <w:tr2bl w:val="nil"/>
            </w:tcBorders>
            <w:vAlign w:val="center"/>
          </w:tcPr>
          <w:p/>
        </w:tc>
        <w:tc>
          <w:tcPr>
            <w:tcW w:w="1910" w:type="dxa"/>
            <w:vMerge w:val="continue"/>
            <w:tcBorders>
              <w:tl2br w:val="nil"/>
              <w:tr2bl w:val="nil"/>
            </w:tcBorders>
            <w:vAlign w:val="center"/>
          </w:tcPr>
          <w:p/>
        </w:tc>
        <w:tc>
          <w:tcPr>
            <w:tcW w:w="1716"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83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5" w:type="dxa"/>
            <w:vMerge w:val="restart"/>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单位</w:t>
            </w:r>
            <w:r>
              <w:rPr>
                <w:rFonts w:asciiTheme="minorEastAsia" w:hAnsiTheme="minorEastAsia" w:eastAsiaTheme="minorEastAsia"/>
                <w:sz w:val="18"/>
                <w:szCs w:val="18"/>
              </w:rPr>
              <w:t>产出</w:t>
            </w: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培训次数</w:t>
            </w: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培训小于30次</w:t>
            </w: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培训次数</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培训次数</w:t>
            </w: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案件办理率</w:t>
            </w: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案件办理率</w:t>
            </w: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涉及刑事案件的</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案件办理情况</w:t>
            </w: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各项工作完成及时率</w:t>
            </w: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工作完成不及时</w:t>
            </w: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各项工作完成及时率</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工作完成不及时</w:t>
            </w: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各项工作及时完成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按总成本控制</w:t>
            </w: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超出预算</w:t>
            </w: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单位</w:t>
            </w:r>
            <w:r>
              <w:rPr>
                <w:rFonts w:hint="eastAsia" w:asciiTheme="minorEastAsia" w:hAnsiTheme="minorEastAsia" w:eastAsiaTheme="minorEastAsia"/>
                <w:sz w:val="18"/>
                <w:szCs w:val="18"/>
              </w:rPr>
              <w:t>整体支出总成本控制在预算内</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控制在预算内</w:t>
            </w: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5" w:type="dxa"/>
            <w:vMerge w:val="restart"/>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单位</w:t>
            </w:r>
            <w:r>
              <w:rPr>
                <w:rFonts w:hint="eastAsia" w:asciiTheme="minorEastAsia" w:hAnsiTheme="minorEastAsia" w:eastAsiaTheme="minorEastAsia"/>
                <w:sz w:val="18"/>
                <w:szCs w:val="18"/>
              </w:rPr>
              <w:t>效果</w:t>
            </w: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社会</w:t>
            </w:r>
          </w:p>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效益</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生态</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1910"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716"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48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835"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1910"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保证人才队伍可持续建设</w:t>
            </w:r>
          </w:p>
        </w:tc>
        <w:tc>
          <w:tcPr>
            <w:tcW w:w="1716"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保持队伍持续性</w:t>
            </w:r>
          </w:p>
        </w:tc>
        <w:tc>
          <w:tcPr>
            <w:tcW w:w="148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保障检察官队伍、书记员系列、行政人员队伍可持续发展</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检察队伍持续性</w:t>
            </w:r>
          </w:p>
        </w:tc>
        <w:tc>
          <w:tcPr>
            <w:tcW w:w="835"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45" w:type="dxa"/>
            <w:vMerge w:val="continue"/>
            <w:tcBorders>
              <w:tl2br w:val="nil"/>
              <w:tr2bl w:val="nil"/>
            </w:tcBorders>
            <w:vAlign w:val="center"/>
          </w:tcPr>
          <w:p>
            <w:pPr>
              <w:rPr>
                <w:rFonts w:asciiTheme="minorEastAsia" w:hAnsiTheme="minorEastAsia" w:eastAsiaTheme="minorEastAsia"/>
                <w:sz w:val="18"/>
                <w:szCs w:val="18"/>
              </w:rPr>
            </w:pPr>
          </w:p>
        </w:tc>
        <w:tc>
          <w:tcPr>
            <w:tcW w:w="126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1910"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w:t>
            </w:r>
          </w:p>
        </w:tc>
        <w:tc>
          <w:tcPr>
            <w:tcW w:w="1716"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对检察业务处理的满意程度</w:t>
            </w:r>
          </w:p>
        </w:tc>
        <w:tc>
          <w:tcPr>
            <w:tcW w:w="148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涉案当事人，对检察业务处理的满意程度</w:t>
            </w:r>
          </w:p>
        </w:tc>
        <w:tc>
          <w:tcPr>
            <w:tcW w:w="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文字描述</w:t>
            </w:r>
          </w:p>
        </w:tc>
        <w:tc>
          <w:tcPr>
            <w:tcW w:w="488"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c>
          <w:tcPr>
            <w:tcW w:w="101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满意程度</w:t>
            </w:r>
          </w:p>
        </w:tc>
        <w:tc>
          <w:tcPr>
            <w:tcW w:w="835"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机房UPS电源更换</w:t>
      </w:r>
      <w:r>
        <w:rPr>
          <w:rFonts w:ascii="Times New Roman" w:hAnsi="Times New Roman" w:eastAsia="仿宋_GB2312" w:cs="Times New Roman"/>
          <w:sz w:val="28"/>
        </w:rPr>
        <w:t>（项目名称）绩效目标表</w:t>
      </w:r>
      <w:bookmarkStart w:id="0" w:name="_Toc29799657"/>
      <w:bookmarkEnd w:id="0"/>
    </w:p>
    <w:tbl>
      <w:tblPr>
        <w:tblStyle w:val="8"/>
        <w:tblW w:w="14649" w:type="dxa"/>
        <w:tblInd w:w="96" w:type="dxa"/>
        <w:tblLayout w:type="autofit"/>
        <w:tblCellMar>
          <w:top w:w="0" w:type="dxa"/>
          <w:left w:w="108" w:type="dxa"/>
          <w:bottom w:w="0" w:type="dxa"/>
          <w:right w:w="108" w:type="dxa"/>
        </w:tblCellMar>
      </w:tblPr>
      <w:tblGrid>
        <w:gridCol w:w="1656"/>
        <w:gridCol w:w="1521"/>
        <w:gridCol w:w="2155"/>
        <w:gridCol w:w="2799"/>
        <w:gridCol w:w="1831"/>
        <w:gridCol w:w="777"/>
        <w:gridCol w:w="1864"/>
        <w:gridCol w:w="2046"/>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[13102522P00914910001J]机房UPS电源更换（上级）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cs="宋体" w:asciiTheme="minorEastAsia" w:hAnsiTheme="minorEastAsia" w:eastAsiaTheme="minorEastAsia"/>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更换机房UPS电源</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机房更换UPS电源</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购置需要的电源数量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购置需要的电源数量</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检验检测设备达标率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检验检测设备达标率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设备检测达标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设备检测达标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完工及时率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rPr>
              <w:t>完工及时率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及时完工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asciiTheme="minorEastAsia" w:hAnsiTheme="minorEastAsia" w:eastAsiaTheme="minorEastAsia"/>
              </w:rPr>
              <w:t>及时完工</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提高工作效率</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提高工作效率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检察官等人员绩效奖</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78"/>
        <w:gridCol w:w="2348"/>
        <w:gridCol w:w="2549"/>
        <w:gridCol w:w="1831"/>
        <w:gridCol w:w="777"/>
        <w:gridCol w:w="1955"/>
        <w:gridCol w:w="195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[13102522P00882910001P]检察官等人员绩效奖</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69万元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发放检察官等人员绩效奖</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提升检察官等人员价值归属感</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提升检察业务能力</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数量按照实际公务员数量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数量按照实际公务员数量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公务员数量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公务员数量</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按时发放</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检察官办案效率提高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检察官办案效率提高</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3.综合事务管理</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72"/>
        <w:gridCol w:w="2009"/>
        <w:gridCol w:w="2894"/>
        <w:gridCol w:w="1831"/>
        <w:gridCol w:w="777"/>
        <w:gridCol w:w="1959"/>
        <w:gridCol w:w="195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[13102522P009144100016]综合事务管理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用于疫情防控，维修等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疫情防控，机关项目维修</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考核通过率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考核通过率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疫情防控考核通过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疫情防控考核通过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及时执行上级政策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及时执行上级政策</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正常使用率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正常使用率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设备正常使用率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设备正常使用率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提供优质服务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提供优质服务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4.关于提前下达2022年中央政法纪检监察转移支付资金的通知（上级）</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284"/>
        <w:gridCol w:w="2314"/>
        <w:gridCol w:w="3102"/>
        <w:gridCol w:w="1717"/>
        <w:gridCol w:w="891"/>
        <w:gridCol w:w="2229"/>
        <w:gridCol w:w="168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[13102522P009152100012]关于提前下达2022年中央政法纪检监察转移支付资金的通知（上级）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cs="宋体" w:asciiTheme="minorEastAsia" w:hAnsiTheme="minorEastAsia" w:eastAsiaTheme="minorEastAsia"/>
                <w:b/>
                <w:bCs/>
                <w:color w:val="000000"/>
                <w:sz w:val="18"/>
                <w:szCs w:val="18"/>
                <w:lang w:eastAsia="zh-CN"/>
              </w:rPr>
            </w:pPr>
            <w:r>
              <w:rPr>
                <w:rFonts w:hint="eastAsia" w:cs="宋体" w:asciiTheme="minorEastAsia" w:hAnsiTheme="minorEastAsia" w:eastAsiaTheme="minorEastAsia"/>
                <w:b/>
                <w:bCs/>
                <w:color w:val="000000"/>
                <w:kern w:val="0"/>
                <w:sz w:val="18"/>
                <w:szCs w:val="18"/>
              </w:rPr>
              <w:t>主管</w:t>
            </w:r>
            <w:r>
              <w:rPr>
                <w:rFonts w:hint="eastAsia" w:cs="宋体" w:asciiTheme="minorEastAsia" w:hAnsiTheme="minorEastAsia" w:eastAsiaTheme="minorEastAsia"/>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用于支付办案业务费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保障检察业务开展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案件结案率(%)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案件结案率(%)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案件结案率</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结案审核通过率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结案审核通过率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结案审核通过率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资金及时列支，保障办案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成本控制在预算内</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设备正常使用率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持续发展作用力</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5.装备购置配套</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23"/>
        <w:gridCol w:w="2075"/>
        <w:gridCol w:w="2927"/>
        <w:gridCol w:w="1717"/>
        <w:gridCol w:w="891"/>
        <w:gridCol w:w="2083"/>
        <w:gridCol w:w="182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[13102522P00915410001D]装备购置配套</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cs="宋体" w:asciiTheme="minorEastAsia" w:hAnsiTheme="minorEastAsia" w:eastAsiaTheme="minorEastAsia"/>
                <w:b/>
                <w:bCs/>
                <w:color w:val="000000"/>
                <w:sz w:val="18"/>
                <w:szCs w:val="18"/>
                <w:lang w:eastAsia="zh-CN"/>
              </w:rPr>
            </w:pPr>
            <w:r>
              <w:rPr>
                <w:rFonts w:hint="eastAsia" w:cs="宋体" w:asciiTheme="minorEastAsia" w:hAnsiTheme="minorEastAsia" w:eastAsiaTheme="minorEastAsia"/>
                <w:b/>
                <w:bCs/>
                <w:color w:val="000000"/>
                <w:kern w:val="0"/>
                <w:sz w:val="18"/>
                <w:szCs w:val="18"/>
              </w:rPr>
              <w:t>主管</w:t>
            </w:r>
            <w:r>
              <w:rPr>
                <w:rFonts w:hint="eastAsia" w:cs="宋体" w:asciiTheme="minorEastAsia" w:hAnsiTheme="minorEastAsia" w:eastAsiaTheme="minorEastAsia"/>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12万元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用于购置检察业务需要设备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购置设备，保证检察业务开展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完成项目数量</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购置办公设备完成率</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购置办公设备完成率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办公设备购买及时完成</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办公设备购买及时完成</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采购成本控制在预算内</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采购成本控制在预算内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可经济效益指标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提高工作效率</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提高工作效率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r>
        <w:rPr>
          <w:rFonts w:hint="eastAsia" w:ascii="Times New Roman" w:hAnsi="Times New Roman" w:eastAsia="仿宋_GB2312" w:cs="Times New Roman"/>
          <w:vanish/>
          <w:sz w:val="28"/>
        </w:rPr>
        <w:t>、</w:t>
      </w: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6.检委会专用会议室绩效目标表</w:t>
      </w:r>
    </w:p>
    <w:tbl>
      <w:tblPr>
        <w:tblStyle w:val="8"/>
        <w:tblW w:w="15191" w:type="dxa"/>
        <w:tblInd w:w="-176" w:type="dxa"/>
        <w:tblLayout w:type="autofit"/>
        <w:tblCellMar>
          <w:top w:w="0" w:type="dxa"/>
          <w:left w:w="108" w:type="dxa"/>
          <w:bottom w:w="0" w:type="dxa"/>
          <w:right w:w="108" w:type="dxa"/>
        </w:tblCellMar>
      </w:tblPr>
      <w:tblGrid>
        <w:gridCol w:w="1916"/>
        <w:gridCol w:w="1475"/>
        <w:gridCol w:w="2269"/>
        <w:gridCol w:w="3060"/>
        <w:gridCol w:w="1134"/>
        <w:gridCol w:w="1455"/>
        <w:gridCol w:w="1800"/>
        <w:gridCol w:w="2082"/>
      </w:tblGrid>
      <w:tr>
        <w:tblPrEx>
          <w:tblCellMar>
            <w:top w:w="0" w:type="dxa"/>
            <w:left w:w="108" w:type="dxa"/>
            <w:bottom w:w="0" w:type="dxa"/>
            <w:right w:w="108" w:type="dxa"/>
          </w:tblCellMar>
        </w:tblPrEx>
        <w:trPr>
          <w:trHeight w:val="300"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[13102522P009147100017]检委会专用会议室（上级）</w:t>
            </w:r>
          </w:p>
        </w:tc>
        <w:tc>
          <w:tcPr>
            <w:tcW w:w="25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cs="宋体" w:asciiTheme="minorEastAsia" w:hAnsiTheme="minorEastAsia" w:eastAsiaTheme="minorEastAsia"/>
                <w:b/>
                <w:bCs/>
                <w:color w:val="000000"/>
                <w:sz w:val="18"/>
                <w:szCs w:val="18"/>
                <w:lang w:eastAsia="zh-CN"/>
              </w:rPr>
            </w:pPr>
            <w:r>
              <w:rPr>
                <w:rFonts w:hint="eastAsia" w:cs="宋体" w:asciiTheme="minorEastAsia" w:hAnsiTheme="minorEastAsia" w:eastAsiaTheme="minorEastAsia"/>
                <w:b/>
                <w:bCs/>
                <w:color w:val="000000"/>
                <w:kern w:val="0"/>
                <w:sz w:val="18"/>
                <w:szCs w:val="18"/>
              </w:rPr>
              <w:t>主管</w:t>
            </w:r>
            <w:r>
              <w:rPr>
                <w:rFonts w:hint="eastAsia" w:cs="宋体" w:asciiTheme="minorEastAsia" w:hAnsiTheme="minorEastAsia" w:eastAsiaTheme="minorEastAsia"/>
                <w:b/>
                <w:bCs/>
                <w:color w:val="000000"/>
                <w:kern w:val="0"/>
                <w:sz w:val="18"/>
                <w:szCs w:val="18"/>
                <w:lang w:eastAsia="zh-CN"/>
              </w:rPr>
              <w:t>单位</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[151001]大城县人民检察院本级</w:t>
            </w:r>
          </w:p>
        </w:tc>
        <w:tc>
          <w:tcPr>
            <w:tcW w:w="25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38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40万元</w:t>
            </w:r>
          </w:p>
        </w:tc>
      </w:tr>
      <w:tr>
        <w:tblPrEx>
          <w:tblCellMar>
            <w:top w:w="0" w:type="dxa"/>
            <w:left w:w="108" w:type="dxa"/>
            <w:bottom w:w="0" w:type="dxa"/>
            <w:right w:w="108" w:type="dxa"/>
          </w:tblCellMar>
        </w:tblPrEx>
        <w:trPr>
          <w:trHeight w:val="600"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用于支付检委会会议室建设资金</w:t>
            </w:r>
          </w:p>
        </w:tc>
      </w:tr>
      <w:tr>
        <w:tblPrEx>
          <w:tblCellMar>
            <w:top w:w="0" w:type="dxa"/>
            <w:left w:w="108" w:type="dxa"/>
            <w:bottom w:w="0" w:type="dxa"/>
            <w:right w:w="108" w:type="dxa"/>
          </w:tblCellMar>
        </w:tblPrEx>
        <w:trPr>
          <w:trHeight w:val="405" w:hRule="atLeast"/>
        </w:trPr>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7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00" w:hRule="atLeast"/>
        </w:trPr>
        <w:tc>
          <w:tcPr>
            <w:tcW w:w="1917"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满足检委会会议要求</w:t>
            </w:r>
          </w:p>
        </w:tc>
      </w:tr>
      <w:tr>
        <w:tblPrEx>
          <w:tblCellMar>
            <w:top w:w="0" w:type="dxa"/>
            <w:left w:w="108" w:type="dxa"/>
            <w:bottom w:w="0" w:type="dxa"/>
            <w:right w:w="108" w:type="dxa"/>
          </w:tblCellMar>
        </w:tblPrEx>
        <w:trPr>
          <w:trHeight w:val="300" w:hRule="atLeast"/>
        </w:trPr>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2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0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2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0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300" w:hRule="atLeast"/>
        </w:trPr>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数量指标</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办理案件数</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办理案件数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检委会讨论案件数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287"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质量指标</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案件办理率</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案件办理率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案件办理及时性</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购置办公设备完成率</w:t>
            </w:r>
          </w:p>
        </w:tc>
      </w:tr>
      <w:tr>
        <w:tblPrEx>
          <w:tblCellMar>
            <w:top w:w="0" w:type="dxa"/>
            <w:left w:w="108" w:type="dxa"/>
            <w:bottom w:w="0" w:type="dxa"/>
            <w:right w:w="108" w:type="dxa"/>
          </w:tblCellMar>
        </w:tblPrEx>
        <w:trPr>
          <w:trHeight w:val="300"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时效指标</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完工及时率</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完工及时率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cs="宋体" w:asciiTheme="minorEastAsia" w:hAnsiTheme="minorEastAsia" w:eastAsiaTheme="minorEastAsia"/>
                <w:color w:val="000000"/>
                <w:sz w:val="18"/>
                <w:szCs w:val="18"/>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项目及时完工</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办公设备购买及时完成</w:t>
            </w:r>
          </w:p>
        </w:tc>
      </w:tr>
      <w:tr>
        <w:tblPrEx>
          <w:tblCellMar>
            <w:top w:w="0" w:type="dxa"/>
            <w:left w:w="108" w:type="dxa"/>
            <w:bottom w:w="0" w:type="dxa"/>
            <w:right w:w="108" w:type="dxa"/>
          </w:tblCellMar>
        </w:tblPrEx>
        <w:trPr>
          <w:trHeight w:val="330"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成本指标</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宋体" w:asciiTheme="minorEastAsia" w:hAnsiTheme="minorEastAsia" w:eastAsiaTheme="minorEastAsia"/>
                <w:color w:val="000000"/>
                <w:sz w:val="18"/>
                <w:szCs w:val="18"/>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采购成本控制在预算内</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采购成本控制在预算内</w:t>
            </w:r>
          </w:p>
        </w:tc>
      </w:tr>
      <w:tr>
        <w:tblPrEx>
          <w:tblCellMar>
            <w:top w:w="0" w:type="dxa"/>
            <w:left w:w="108" w:type="dxa"/>
            <w:bottom w:w="0" w:type="dxa"/>
            <w:right w:w="108" w:type="dxa"/>
          </w:tblCellMar>
        </w:tblPrEx>
        <w:trPr>
          <w:trHeight w:val="300" w:hRule="atLeast"/>
        </w:trPr>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可持续效益指标</w:t>
            </w: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可持续性服务</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可持续性服务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cs="宋体" w:asciiTheme="minorEastAsia" w:hAnsiTheme="minorEastAsia" w:eastAsiaTheme="minorEastAsia"/>
                <w:color w:val="000000"/>
                <w:sz w:val="18"/>
                <w:szCs w:val="18"/>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提供可持续性服务</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提供可持续性服务</w:t>
            </w:r>
          </w:p>
        </w:tc>
      </w:tr>
      <w:tr>
        <w:tblPrEx>
          <w:tblCellMar>
            <w:top w:w="0" w:type="dxa"/>
            <w:left w:w="108" w:type="dxa"/>
            <w:bottom w:w="0" w:type="dxa"/>
            <w:right w:w="108" w:type="dxa"/>
          </w:tblCellMar>
        </w:tblPrEx>
        <w:trPr>
          <w:trHeight w:val="300"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vanish/>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7.关于提前下达2022年中央政法纪检监察转移支付资金的通知（上级）</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410"/>
        <w:gridCol w:w="2188"/>
        <w:gridCol w:w="3012"/>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[13102522P00915010001N]关于提前下达2022年中央政法纪检监察转移支付资金的通知（上级）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用于支付办案车辆经费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保障办案需要</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设备更新改造（个\台\套\件）</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设备更新改造（个\台\套\件）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正常使用率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正常使用率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及时采购</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经济效益指标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提高工作效率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8.检察监督</w:t>
      </w:r>
      <w:r>
        <w:rPr>
          <w:rFonts w:ascii="Times New Roman" w:hAnsi="Times New Roman" w:eastAsia="仿宋_GB2312" w:cs="Times New Roman"/>
          <w:sz w:val="28"/>
        </w:rPr>
        <w:t>绩效目标表</w:t>
      </w:r>
    </w:p>
    <w:tbl>
      <w:tblPr>
        <w:tblStyle w:val="8"/>
        <w:tblW w:w="14919" w:type="dxa"/>
        <w:tblInd w:w="96" w:type="dxa"/>
        <w:tblLayout w:type="autofit"/>
        <w:tblCellMar>
          <w:top w:w="0" w:type="dxa"/>
          <w:left w:w="108" w:type="dxa"/>
          <w:bottom w:w="0" w:type="dxa"/>
          <w:right w:w="108" w:type="dxa"/>
        </w:tblCellMar>
      </w:tblPr>
      <w:tblGrid>
        <w:gridCol w:w="1586"/>
        <w:gridCol w:w="1247"/>
        <w:gridCol w:w="2326"/>
        <w:gridCol w:w="3041"/>
        <w:gridCol w:w="1646"/>
        <w:gridCol w:w="859"/>
        <w:gridCol w:w="2107"/>
        <w:gridCol w:w="2107"/>
      </w:tblGrid>
      <w:tr>
        <w:tblPrEx>
          <w:tblCellMar>
            <w:top w:w="0" w:type="dxa"/>
            <w:left w:w="108" w:type="dxa"/>
            <w:bottom w:w="0" w:type="dxa"/>
            <w:right w:w="108" w:type="dxa"/>
          </w:tblCellMar>
        </w:tblPrEx>
        <w:trPr>
          <w:trHeight w:val="300" w:hRule="atLeast"/>
        </w:trPr>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[13102522P00914610001H]检察监督</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用于支付办案业务费</w:t>
            </w:r>
          </w:p>
        </w:tc>
      </w:tr>
      <w:tr>
        <w:tblPrEx>
          <w:tblCellMar>
            <w:top w:w="0" w:type="dxa"/>
            <w:left w:w="108" w:type="dxa"/>
            <w:bottom w:w="0" w:type="dxa"/>
            <w:right w:w="108" w:type="dxa"/>
          </w:tblCellMar>
        </w:tblPrEx>
        <w:trPr>
          <w:trHeight w:val="405" w:hRule="atLeast"/>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保障检察业务开展</w:t>
            </w:r>
          </w:p>
        </w:tc>
      </w:tr>
      <w:tr>
        <w:tblPrEx>
          <w:tblCellMar>
            <w:top w:w="0" w:type="dxa"/>
            <w:left w:w="108" w:type="dxa"/>
            <w:bottom w:w="0" w:type="dxa"/>
            <w:right w:w="108" w:type="dxa"/>
          </w:tblCellMar>
        </w:tblPrEx>
        <w:trPr>
          <w:trHeight w:val="300" w:hRule="atLeast"/>
        </w:trPr>
        <w:tc>
          <w:tcPr>
            <w:tcW w:w="165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4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4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刑事、民事、行政结案率</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息诉罢访率(%)</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息诉罢访率(%)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息诉罢访率(%)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治安、刑事案件处理及时性（小时</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治安、刑事案件处理及时性（小时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资金及时列支，保障办案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r>
      <w:tr>
        <w:tblPrEx>
          <w:tblCellMar>
            <w:top w:w="0" w:type="dxa"/>
            <w:left w:w="108" w:type="dxa"/>
            <w:bottom w:w="0" w:type="dxa"/>
            <w:right w:w="108" w:type="dxa"/>
          </w:tblCellMar>
        </w:tblPrEx>
        <w:trPr>
          <w:trHeight w:val="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持出庭意见采纳率</w:t>
            </w: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出庭意见采纳率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Calibri"/>
                <w:color w:val="000000"/>
                <w:sz w:val="18"/>
                <w:szCs w:val="18"/>
              </w:rPr>
            </w:pPr>
            <w:r>
              <w:rPr>
                <w:rFonts w:cs="Calibri"/>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出庭采纳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出庭采纳</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9.关于提前下达2022年省级基层公检法司转移支付资金的通知（上级）</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410"/>
        <w:gridCol w:w="2188"/>
        <w:gridCol w:w="3012"/>
        <w:gridCol w:w="1831"/>
        <w:gridCol w:w="777"/>
        <w:gridCol w:w="2193"/>
        <w:gridCol w:w="171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[13102522P00915110001C]关于提前下达2022省级基层公检法司转移支付资金的通知（上级）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用于支付办案车辆经费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保障办案需要</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设备更新改造（个\台\套\件）</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设备更新改造（个\台\套\件）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正常使用率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正常使用率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及时采购</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经济效益指标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提高工作效率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提高工作效率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10.综合业务管理</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539"/>
        <w:gridCol w:w="1314"/>
        <w:gridCol w:w="2029"/>
        <w:gridCol w:w="2787"/>
        <w:gridCol w:w="1596"/>
        <w:gridCol w:w="837"/>
        <w:gridCol w:w="2119"/>
        <w:gridCol w:w="2698"/>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[13102522P00914310001G]综合业务管理</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用于检察业务宣传，人大政协订阅报纸等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保障综合业务正常顺利开展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各项检察综合业务管理工作完成率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各项检察综合业务管理工作完成率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各项检察综合业务管理工作完成率</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综合业务管理工作完成率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综合业务管理工作完成率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综合业务管理工作完成率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经济效益指标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提供服务次数</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提供服务次数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向全社会宣传检察业务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向全社会宣传检察业务</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11.司法警察工资及其保险</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524"/>
        <w:gridCol w:w="1402"/>
        <w:gridCol w:w="1903"/>
        <w:gridCol w:w="2677"/>
        <w:gridCol w:w="1682"/>
        <w:gridCol w:w="725"/>
        <w:gridCol w:w="2503"/>
        <w:gridCol w:w="250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[13102522P008828100012]司法警察工资及保险</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91.4万元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发放劳务派遣人员工资，缴纳保险</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保障综合业务正常顺利开展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提升人员归属感</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各项检察综合业务管理工作完成率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数量控制在20人以内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数量控制在20人以内</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综合业务管理工作完成率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劳务派遣人员检察业务能力提高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劳务派遣人员检察业务能力提高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劳务派遣人员检察业务能力提高</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按时发放工资，及时缴纳保险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按时发放工资，及时缴纳保险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按时发放工资，及时缴纳保险</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12.聘用制书记员工资及其保险</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23"/>
        <w:gridCol w:w="2075"/>
        <w:gridCol w:w="2927"/>
        <w:gridCol w:w="1831"/>
        <w:gridCol w:w="777"/>
        <w:gridCol w:w="2016"/>
        <w:gridCol w:w="2016"/>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[13102522P00882710001C]聘用制书记员工资及保险</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64.194万元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为其招聘的书记员缴纳工资保险。</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保障综合业务正常顺利开展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提升人员归属感</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数量控制在13人以内</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书记员承担相关工作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书记员承担相关工作</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按时发放工资缴纳保险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按时发放工资缴纳保险</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13.关于提前下达2022年省级基层公检法司转移支付资金的通知（上级）</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284"/>
        <w:gridCol w:w="2314"/>
        <w:gridCol w:w="3102"/>
        <w:gridCol w:w="1717"/>
        <w:gridCol w:w="891"/>
        <w:gridCol w:w="2229"/>
        <w:gridCol w:w="168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[13102522P00915310001P]关于提前下达2022省级基层公检法司转移支付资金的通知（上级）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用于支付办案业务费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结案审核通过率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结案审核通过率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结案审核通过率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资金及时列支，保障办案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设备正常使用率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持续发展作用力</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14.楼面外修</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410"/>
        <w:gridCol w:w="2188"/>
        <w:gridCol w:w="3012"/>
        <w:gridCol w:w="1831"/>
        <w:gridCol w:w="777"/>
        <w:gridCol w:w="2083"/>
        <w:gridCol w:w="182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[13102522P00914510001U]楼面外修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用于支付楼面外修所需资金</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完成项目数量</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项目正常使用</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项目正常使用</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办公设备购买及时完成</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办公设备购买及时完成</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采购成本控制在预算内</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采购成本控制在预算内</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项目实现功能</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项目实现功能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实现检务保障</w:t>
            </w:r>
          </w:p>
        </w:tc>
        <w:tc>
          <w:tcPr>
            <w:tcW w:w="1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实现检务保障</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15.建档立卡脱贫户生产生活补助金</w:t>
      </w:r>
      <w:r>
        <w:rPr>
          <w:rFonts w:ascii="Times New Roman" w:hAnsi="Times New Roman" w:eastAsia="仿宋_GB2312" w:cs="Times New Roman"/>
          <w:sz w:val="28"/>
        </w:rPr>
        <w:t>绩效目标表</w:t>
      </w:r>
    </w:p>
    <w:tbl>
      <w:tblPr>
        <w:tblStyle w:val="8"/>
        <w:tblW w:w="14875" w:type="dxa"/>
        <w:tblInd w:w="96" w:type="dxa"/>
        <w:tblLayout w:type="autofit"/>
        <w:tblCellMar>
          <w:top w:w="0" w:type="dxa"/>
          <w:left w:w="108" w:type="dxa"/>
          <w:bottom w:w="0" w:type="dxa"/>
          <w:right w:w="108" w:type="dxa"/>
        </w:tblCellMar>
      </w:tblPr>
      <w:tblGrid>
        <w:gridCol w:w="1619"/>
        <w:gridCol w:w="1267"/>
        <w:gridCol w:w="2258"/>
        <w:gridCol w:w="3026"/>
        <w:gridCol w:w="1577"/>
        <w:gridCol w:w="973"/>
        <w:gridCol w:w="2231"/>
        <w:gridCol w:w="1968"/>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[13102522P009155100013]建档立卡脱贫户生产生活补助金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0.8万元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用于对贫困户的补助</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用于对贫困户的补助</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三下乡慰问、扶贫活动</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三下乡慰问、扶贫活动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每月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每月到访贫困户的次数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每月到访贫困户的次数</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完成率</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资金补助到位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资金补助到位</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各项任务完成及时率（%）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扶贫任务完成0.9</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每个贫困户保证在2000元</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给予贫困户优质服务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提供优质服务</w:t>
            </w: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提供优质服务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给予贫困户优质服务</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给予贫困户优质服务</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16.密码机购置</w:t>
      </w:r>
      <w:r>
        <w:rPr>
          <w:rFonts w:ascii="Times New Roman" w:hAnsi="Times New Roman" w:eastAsia="仿宋_GB2312" w:cs="Times New Roman"/>
          <w:sz w:val="28"/>
        </w:rPr>
        <w:t>绩效目标表</w:t>
      </w:r>
    </w:p>
    <w:tbl>
      <w:tblPr>
        <w:tblStyle w:val="8"/>
        <w:tblW w:w="14903" w:type="dxa"/>
        <w:tblInd w:w="96" w:type="dxa"/>
        <w:tblLayout w:type="fixed"/>
        <w:tblCellMar>
          <w:top w:w="0" w:type="dxa"/>
          <w:left w:w="108" w:type="dxa"/>
          <w:bottom w:w="0" w:type="dxa"/>
          <w:right w:w="108" w:type="dxa"/>
        </w:tblCellMar>
      </w:tblPr>
      <w:tblGrid>
        <w:gridCol w:w="1656"/>
        <w:gridCol w:w="1311"/>
        <w:gridCol w:w="2287"/>
        <w:gridCol w:w="2399"/>
        <w:gridCol w:w="1950"/>
        <w:gridCol w:w="1050"/>
        <w:gridCol w:w="2117"/>
        <w:gridCol w:w="213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5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[13102522P00914810001W]密码机购置</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5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25万元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用于支付密码机购置资金</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51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51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93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保障检察业务上传下达</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93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51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2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2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各项检务保障工作完成率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各项检务保障工作完成率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各项检务保障工作完成率</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各项检务保障工作完成率</w:t>
            </w:r>
          </w:p>
        </w:tc>
      </w:tr>
      <w:tr>
        <w:tblPrEx>
          <w:tblCellMar>
            <w:top w:w="0" w:type="dxa"/>
            <w:left w:w="108" w:type="dxa"/>
            <w:bottom w:w="0" w:type="dxa"/>
            <w:right w:w="108" w:type="dxa"/>
          </w:tblCellMar>
        </w:tblPrEx>
        <w:trPr>
          <w:trHeight w:val="28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信息系统故障发生率</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信息系统故障发生率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信息系统故障发生率</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信息系统故障发生率</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办公设备购买及时完成</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办公设备购买及时完成</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购置资金控制在25万元以内</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购置资金控制在25万元以内</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生态效益指标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满足生态环保要求</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满足生态环保要求</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满足生态环保要求</w:t>
            </w: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满足生态环保要求</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17.临时人员工资及保险</w:t>
      </w:r>
      <w:r>
        <w:rPr>
          <w:rFonts w:ascii="Times New Roman" w:hAnsi="Times New Roman" w:eastAsia="仿宋_GB2312" w:cs="Times New Roman"/>
          <w:sz w:val="28"/>
        </w:rPr>
        <w:t>绩效目标表</w:t>
      </w:r>
    </w:p>
    <w:tbl>
      <w:tblPr>
        <w:tblStyle w:val="8"/>
        <w:tblW w:w="14919" w:type="dxa"/>
        <w:tblInd w:w="96" w:type="dxa"/>
        <w:tblLayout w:type="fixed"/>
        <w:tblCellMar>
          <w:top w:w="0" w:type="dxa"/>
          <w:left w:w="108" w:type="dxa"/>
          <w:bottom w:w="0" w:type="dxa"/>
          <w:right w:w="108" w:type="dxa"/>
        </w:tblCellMar>
      </w:tblPr>
      <w:tblGrid>
        <w:gridCol w:w="1643"/>
        <w:gridCol w:w="1157"/>
        <w:gridCol w:w="2413"/>
        <w:gridCol w:w="3094"/>
        <w:gridCol w:w="1771"/>
        <w:gridCol w:w="819"/>
        <w:gridCol w:w="2190"/>
        <w:gridCol w:w="36"/>
        <w:gridCol w:w="1796"/>
      </w:tblGrid>
      <w:tr>
        <w:tblPrEx>
          <w:tblCellMar>
            <w:top w:w="0" w:type="dxa"/>
            <w:left w:w="108" w:type="dxa"/>
            <w:bottom w:w="0" w:type="dxa"/>
            <w:right w:w="108" w:type="dxa"/>
          </w:tblCellMar>
        </w:tblPrEx>
        <w:trPr>
          <w:trHeight w:val="300" w:hRule="atLeast"/>
        </w:trPr>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6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[13102522P00883010001U]临时人员工资及保险</w:t>
            </w:r>
          </w:p>
        </w:tc>
        <w:tc>
          <w:tcPr>
            <w:tcW w:w="25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40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25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403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12.72万元</w:t>
            </w:r>
          </w:p>
        </w:tc>
      </w:tr>
      <w:tr>
        <w:tblPrEx>
          <w:tblCellMar>
            <w:top w:w="0" w:type="dxa"/>
            <w:left w:w="108" w:type="dxa"/>
            <w:bottom w:w="0" w:type="dxa"/>
            <w:right w:w="108" w:type="dxa"/>
          </w:tblCellMar>
        </w:tblPrEx>
        <w:trPr>
          <w:trHeight w:val="600" w:hRule="atLeast"/>
        </w:trPr>
        <w:tc>
          <w:tcPr>
            <w:tcW w:w="1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8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发放工资</w:t>
            </w:r>
          </w:p>
        </w:tc>
      </w:tr>
      <w:tr>
        <w:tblPrEx>
          <w:tblCellMar>
            <w:top w:w="0" w:type="dxa"/>
            <w:left w:w="108" w:type="dxa"/>
            <w:bottom w:w="0" w:type="dxa"/>
            <w:right w:w="108" w:type="dxa"/>
          </w:tblCellMar>
        </w:tblPrEx>
        <w:trPr>
          <w:trHeight w:val="405" w:hRule="atLeast"/>
        </w:trPr>
        <w:tc>
          <w:tcPr>
            <w:tcW w:w="1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48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4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12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保障后勤工作开展</w:t>
            </w:r>
          </w:p>
        </w:tc>
      </w:tr>
      <w:tr>
        <w:tblPrEx>
          <w:tblCellMar>
            <w:top w:w="0" w:type="dxa"/>
            <w:left w:w="108" w:type="dxa"/>
            <w:bottom w:w="0" w:type="dxa"/>
            <w:right w:w="108" w:type="dxa"/>
          </w:tblCellMar>
        </w:tblPrEx>
        <w:trPr>
          <w:trHeight w:val="300" w:hRule="atLeast"/>
        </w:trPr>
        <w:tc>
          <w:tcPr>
            <w:tcW w:w="164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212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提升人员归属感</w:t>
            </w:r>
          </w:p>
        </w:tc>
      </w:tr>
      <w:tr>
        <w:tblPrEx>
          <w:tblCellMar>
            <w:top w:w="0" w:type="dxa"/>
            <w:left w:w="108" w:type="dxa"/>
            <w:bottom w:w="0" w:type="dxa"/>
            <w:right w:w="108" w:type="dxa"/>
          </w:tblCellMar>
        </w:tblPrEx>
        <w:trPr>
          <w:trHeight w:val="300" w:hRule="atLeast"/>
        </w:trPr>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0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聘用人员数量</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聘用人员数量</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数量控制在13人以内</w:t>
            </w:r>
          </w:p>
        </w:tc>
      </w:tr>
      <w:tr>
        <w:tblPrEx>
          <w:tblCellMar>
            <w:top w:w="0" w:type="dxa"/>
            <w:left w:w="108" w:type="dxa"/>
            <w:bottom w:w="0" w:type="dxa"/>
            <w:right w:w="108" w:type="dxa"/>
          </w:tblCellMar>
        </w:tblPrEx>
        <w:trPr>
          <w:trHeight w:val="287"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处置时效</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处置时效</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我院后勤保障质量提高</w:t>
            </w:r>
          </w:p>
        </w:tc>
        <w:tc>
          <w:tcPr>
            <w:tcW w:w="18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我院后勤保障质量提高</w:t>
            </w:r>
          </w:p>
        </w:tc>
      </w:tr>
      <w:tr>
        <w:tblPrEx>
          <w:tblCellMar>
            <w:top w:w="0" w:type="dxa"/>
            <w:left w:w="108" w:type="dxa"/>
            <w:bottom w:w="0" w:type="dxa"/>
            <w:right w:w="108" w:type="dxa"/>
          </w:tblCellMar>
        </w:tblPrEx>
        <w:trPr>
          <w:trHeight w:val="300"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按时发放工资缴纳保险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按时发放工资缴纳保险</w:t>
            </w:r>
          </w:p>
        </w:tc>
      </w:tr>
      <w:tr>
        <w:tblPrEx>
          <w:tblCellMar>
            <w:top w:w="0" w:type="dxa"/>
            <w:left w:w="108" w:type="dxa"/>
            <w:bottom w:w="0" w:type="dxa"/>
            <w:right w:w="108" w:type="dxa"/>
          </w:tblCellMar>
        </w:tblPrEx>
        <w:trPr>
          <w:trHeight w:val="330"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300" w:hRule="atLeast"/>
        </w:trPr>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社会对检察院环境评价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社会对检察院环境评价</w:t>
            </w:r>
          </w:p>
        </w:tc>
      </w:tr>
      <w:tr>
        <w:tblPrEx>
          <w:tblCellMar>
            <w:top w:w="0" w:type="dxa"/>
            <w:left w:w="108" w:type="dxa"/>
            <w:bottom w:w="0" w:type="dxa"/>
            <w:right w:w="108" w:type="dxa"/>
          </w:tblCellMar>
        </w:tblPrEx>
        <w:trPr>
          <w:trHeight w:val="300"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22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.18关于提前下达2021年省级基层公检法司转移支付资金的通知（上级）</w:t>
      </w:r>
      <w:r>
        <w:rPr>
          <w:rFonts w:ascii="Times New Roman" w:hAnsi="Times New Roman" w:eastAsia="仿宋_GB2312" w:cs="Times New Roman"/>
          <w:sz w:val="28"/>
        </w:rPr>
        <w:t>绩效目标表</w:t>
      </w:r>
    </w:p>
    <w:tbl>
      <w:tblPr>
        <w:tblStyle w:val="8"/>
        <w:tblW w:w="14919" w:type="dxa"/>
        <w:tblInd w:w="96" w:type="dxa"/>
        <w:tblLayout w:type="fixed"/>
        <w:tblCellMar>
          <w:top w:w="0" w:type="dxa"/>
          <w:left w:w="108" w:type="dxa"/>
          <w:bottom w:w="0" w:type="dxa"/>
          <w:right w:w="108" w:type="dxa"/>
        </w:tblCellMar>
      </w:tblPr>
      <w:tblGrid>
        <w:gridCol w:w="1646"/>
        <w:gridCol w:w="1013"/>
        <w:gridCol w:w="2564"/>
        <w:gridCol w:w="3213"/>
        <w:gridCol w:w="1672"/>
        <w:gridCol w:w="921"/>
        <w:gridCol w:w="1945"/>
        <w:gridCol w:w="1945"/>
      </w:tblGrid>
      <w:tr>
        <w:tblPrEx>
          <w:tblCellMar>
            <w:top w:w="0" w:type="dxa"/>
            <w:left w:w="108" w:type="dxa"/>
            <w:bottom w:w="0" w:type="dxa"/>
            <w:right w:w="108" w:type="dxa"/>
          </w:tblCellMar>
        </w:tblPrEx>
        <w:trPr>
          <w:trHeight w:val="3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[13102521YFSQHFVBEDAHG]关于提前下达2021年省级基层公检法司转移支付资金—上级（装备）</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7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8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50.万元</w:t>
            </w:r>
          </w:p>
        </w:tc>
      </w:tr>
      <w:tr>
        <w:tblPrEx>
          <w:tblCellMar>
            <w:top w:w="0" w:type="dxa"/>
            <w:left w:w="108" w:type="dxa"/>
            <w:bottom w:w="0" w:type="dxa"/>
            <w:right w:w="108" w:type="dxa"/>
          </w:tblCellMar>
        </w:tblPrEx>
        <w:trPr>
          <w:trHeight w:val="6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27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保障办公设备正常购买</w:t>
            </w:r>
          </w:p>
        </w:tc>
      </w:tr>
      <w:tr>
        <w:tblPrEx>
          <w:tblCellMar>
            <w:top w:w="0" w:type="dxa"/>
            <w:left w:w="108" w:type="dxa"/>
            <w:bottom w:w="0" w:type="dxa"/>
            <w:right w:w="108" w:type="dxa"/>
          </w:tblCellMar>
        </w:tblPrEx>
        <w:trPr>
          <w:trHeight w:val="405"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5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45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2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保障检察业务开展所需购买办公办案设备</w:t>
            </w:r>
          </w:p>
        </w:tc>
      </w:tr>
      <w:tr>
        <w:tblPrEx>
          <w:tblCellMar>
            <w:top w:w="0" w:type="dxa"/>
            <w:left w:w="108" w:type="dxa"/>
            <w:bottom w:w="0" w:type="dxa"/>
            <w:right w:w="108" w:type="dxa"/>
          </w:tblCellMar>
        </w:tblPrEx>
        <w:trPr>
          <w:trHeight w:val="300" w:hRule="atLeast"/>
        </w:trPr>
        <w:tc>
          <w:tcPr>
            <w:tcW w:w="164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22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促进科技强检</w:t>
            </w:r>
          </w:p>
        </w:tc>
      </w:tr>
      <w:tr>
        <w:tblPrEx>
          <w:tblCellMar>
            <w:top w:w="0" w:type="dxa"/>
            <w:left w:w="108" w:type="dxa"/>
            <w:bottom w:w="0" w:type="dxa"/>
            <w:right w:w="108" w:type="dxa"/>
          </w:tblCellMar>
        </w:tblPrEx>
        <w:trPr>
          <w:trHeight w:val="3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5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5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5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保障购买数量符合财政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要求</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保障购买数量符合财政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要求</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0.9</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保障购买数量符合财政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要求</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保障购买数量符合财政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要求</w:t>
            </w:r>
          </w:p>
        </w:tc>
      </w:tr>
      <w:tr>
        <w:tblPrEx>
          <w:tblCellMar>
            <w:top w:w="0" w:type="dxa"/>
            <w:left w:w="108" w:type="dxa"/>
            <w:bottom w:w="0" w:type="dxa"/>
            <w:right w:w="108" w:type="dxa"/>
          </w:tblCellMar>
        </w:tblPrEx>
        <w:trPr>
          <w:trHeight w:val="287"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保障业务装备的购买质量</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保障业务装备的购买质量</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保障业务装备的购买质量</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保障业务装备的购买质量</w:t>
            </w:r>
          </w:p>
        </w:tc>
      </w:tr>
      <w:tr>
        <w:tblPrEx>
          <w:tblCellMar>
            <w:top w:w="0" w:type="dxa"/>
            <w:left w:w="108" w:type="dxa"/>
            <w:bottom w:w="0" w:type="dxa"/>
            <w:right w:w="108" w:type="dxa"/>
          </w:tblCellMar>
        </w:tblPrEx>
        <w:trPr>
          <w:trHeight w:val="3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及时依据业务科室要求进行采购</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及时依据业务科室要求进行采购</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及时依据业务科室要求进行采购</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及时依据业务科室要求进行采购</w:t>
            </w:r>
          </w:p>
        </w:tc>
      </w:tr>
      <w:tr>
        <w:tblPrEx>
          <w:tblCellMar>
            <w:top w:w="0" w:type="dxa"/>
            <w:left w:w="108" w:type="dxa"/>
            <w:bottom w:w="0" w:type="dxa"/>
            <w:right w:w="108" w:type="dxa"/>
          </w:tblCellMar>
        </w:tblPrEx>
        <w:trPr>
          <w:trHeight w:val="33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成本控制在50万元内</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成本控制在50万元内</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成本控制在50万元内</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成本控制在50万元内</w:t>
            </w:r>
          </w:p>
        </w:tc>
      </w:tr>
      <w:tr>
        <w:tblPrEx>
          <w:tblCellMar>
            <w:top w:w="0" w:type="dxa"/>
            <w:left w:w="108" w:type="dxa"/>
            <w:bottom w:w="0" w:type="dxa"/>
            <w:right w:w="108" w:type="dxa"/>
          </w:tblCellMar>
        </w:tblPrEx>
        <w:trPr>
          <w:trHeight w:val="3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3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3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19.关于提前下达2021年省级基层公检法司转移支付资金的通知（上级）</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284"/>
        <w:gridCol w:w="2314"/>
        <w:gridCol w:w="3102"/>
        <w:gridCol w:w="1717"/>
        <w:gridCol w:w="891"/>
        <w:gridCol w:w="2229"/>
        <w:gridCol w:w="168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[13102521SI6KAPFBGPSH6]关于提前下达2021年省级基层公检法转移支付资金—上级（业务）</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37.09766万元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用于支付办案业务费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提升检务保障水平</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保障检察业务有序顺利开展</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案件到期结案率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案件到期结案率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案件结案率</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结案审核通过率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专款专用率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结案审核通过率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资金及时列支，保障办案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成本控制在预算内</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设备正常使用率</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持续发展作用力</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持续发展作用力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20关于提前下达2021年中央政法纪检监察转移支付资金的通知（上级-装备）</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548"/>
        <w:gridCol w:w="1321"/>
        <w:gridCol w:w="2040"/>
        <w:gridCol w:w="2803"/>
        <w:gridCol w:w="1710"/>
        <w:gridCol w:w="735"/>
        <w:gridCol w:w="2381"/>
        <w:gridCol w:w="238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[131025217LPRARQKGT3ZM]关于提前下达2021年中央政法纪检监察转移支付资金—上级（装备）</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9.354500万元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保障检察装备购置工作顺利开展</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保障检察装备购置顺利开展</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设备更新改造（个\台\套\件）</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的要求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的要求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采购数量符合财政</w:t>
            </w:r>
            <w:r>
              <w:rPr>
                <w:rFonts w:hint="eastAsia" w:ascii="宋体" w:hAnsi="宋体" w:cs="宋体"/>
                <w:color w:val="000000"/>
                <w:sz w:val="18"/>
                <w:szCs w:val="18"/>
                <w:lang w:eastAsia="zh-CN"/>
              </w:rPr>
              <w:t>单位</w:t>
            </w:r>
            <w:r>
              <w:rPr>
                <w:rFonts w:hint="eastAsia" w:ascii="宋体" w:hAnsi="宋体" w:cs="宋体"/>
                <w:color w:val="000000"/>
                <w:sz w:val="18"/>
                <w:szCs w:val="18"/>
              </w:rPr>
              <w:t>的要求</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正常使用率</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采购办公办案设备的质量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采购办公办案设备的质量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采购办公办案设备的质量</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资金支付不及时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资金支付不及时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资金支付不及时</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资金成本</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控制在预算内</w:t>
            </w:r>
          </w:p>
        </w:tc>
      </w:tr>
      <w:tr>
        <w:tblPrEx>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可持续性指标</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21.关于提前下达2021年中央政法纪检监察转移支付资金的通知（上级-业务）</w:t>
      </w:r>
      <w:r>
        <w:rPr>
          <w:rFonts w:ascii="Times New Roman" w:hAnsi="Times New Roman" w:eastAsia="仿宋_GB2312" w:cs="Times New Roman"/>
          <w:sz w:val="28"/>
        </w:rPr>
        <w:t>绩效目标表</w:t>
      </w:r>
    </w:p>
    <w:tbl>
      <w:tblPr>
        <w:tblStyle w:val="8"/>
        <w:tblW w:w="14876" w:type="dxa"/>
        <w:tblInd w:w="96" w:type="dxa"/>
        <w:tblLayout w:type="autofit"/>
        <w:tblCellMar>
          <w:top w:w="0" w:type="dxa"/>
          <w:left w:w="108" w:type="dxa"/>
          <w:bottom w:w="0" w:type="dxa"/>
          <w:right w:w="108" w:type="dxa"/>
        </w:tblCellMar>
      </w:tblPr>
      <w:tblGrid>
        <w:gridCol w:w="1640"/>
        <w:gridCol w:w="1462"/>
        <w:gridCol w:w="2292"/>
        <w:gridCol w:w="3071"/>
        <w:gridCol w:w="1386"/>
        <w:gridCol w:w="1198"/>
        <w:gridCol w:w="1686"/>
        <w:gridCol w:w="2184"/>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7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[13102521IEHN4QOIWCGBP]关于提前下达2021年中央政法纪检监察转移支付资金—上级（业务）</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rPr>
              <w:t>主管</w:t>
            </w:r>
            <w:r>
              <w:rPr>
                <w:rFonts w:hint="eastAsia" w:ascii="宋体" w:hAnsi="宋体" w:cs="宋体"/>
                <w:b/>
                <w:bCs/>
                <w:color w:val="0000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[151]大城县人民检察院本级</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[151001]大城县人民检察院本级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56.096860万元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保障检察业务开展所需要经费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保障办案需要</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1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案件到期结案率</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办案数量提高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办案数量提高</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办案数量提高</w:t>
            </w:r>
          </w:p>
        </w:tc>
      </w:tr>
      <w:tr>
        <w:tblPrEx>
          <w:tblCellMar>
            <w:top w:w="0" w:type="dxa"/>
            <w:left w:w="108" w:type="dxa"/>
            <w:bottom w:w="0" w:type="dxa"/>
            <w:right w:w="108" w:type="dxa"/>
          </w:tblCellMar>
        </w:tblPrEx>
        <w:trPr>
          <w:trHeight w:val="2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专款专用率</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案件评比提升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案件评比提升</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案件评比提升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及时性</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办案业务费及时报销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95"/>
              </w:tabs>
              <w:jc w:val="left"/>
              <w:textAlignment w:val="center"/>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办案业务费及时报销</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办案业务费及时报销</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不超预算成本支出数</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成本控制在预算内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成本控制在预算内</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成本控制在预算内</w:t>
            </w:r>
          </w:p>
        </w:tc>
      </w:tr>
      <w:tr>
        <w:tblPrEx>
          <w:tblCellMar>
            <w:top w:w="0" w:type="dxa"/>
            <w:left w:w="108" w:type="dxa"/>
            <w:bottom w:w="0" w:type="dxa"/>
            <w:right w:w="108" w:type="dxa"/>
          </w:tblCellMar>
        </w:tblPrEx>
        <w:trPr>
          <w:trHeight w:val="79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可持续影响指标</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持续服务率(%)</w:t>
            </w: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持续服务率(%)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项目可持续性</w:t>
            </w:r>
          </w:p>
        </w:tc>
      </w:tr>
      <w:tr>
        <w:tblPrEx>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3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autoSpaceDE w:val="0"/>
        <w:autoSpaceDN w:val="0"/>
        <w:adjustRightInd w:val="0"/>
        <w:spacing w:line="584" w:lineRule="exact"/>
        <w:ind w:firstLine="360" w:firstLineChars="200"/>
        <w:jc w:val="left"/>
        <w:rPr>
          <w:rFonts w:ascii="Times New Roman" w:hAnsi="Times New Roman" w:eastAsia="黑体"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177</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2000"/>
        <w:gridCol w:w="429"/>
        <w:gridCol w:w="718"/>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大城县人民检察院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200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42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71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2000" w:type="dxa"/>
            <w:vMerge w:val="continue"/>
            <w:shd w:val="clear" w:color="auto" w:fill="auto"/>
            <w:vAlign w:val="center"/>
          </w:tcPr>
          <w:p/>
        </w:tc>
        <w:tc>
          <w:tcPr>
            <w:tcW w:w="429" w:type="dxa"/>
            <w:vMerge w:val="continue"/>
            <w:shd w:val="clear" w:color="auto" w:fill="auto"/>
            <w:vAlign w:val="center"/>
          </w:tcPr>
          <w:p/>
        </w:tc>
        <w:tc>
          <w:tcPr>
            <w:tcW w:w="718"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177.00</w:t>
            </w:r>
          </w:p>
        </w:tc>
        <w:tc>
          <w:tcPr>
            <w:tcW w:w="1531" w:type="dxa"/>
            <w:shd w:val="clear" w:color="auto" w:fill="auto"/>
            <w:vAlign w:val="center"/>
          </w:tcPr>
          <w:p>
            <w:pPr>
              <w:spacing w:line="300" w:lineRule="exact"/>
              <w:jc w:val="left"/>
              <w:rPr>
                <w:rFonts w:ascii="方正书宋_GBK" w:eastAsia="方正书宋_GBK" w:cs="Times New Roman"/>
                <w:b/>
              </w:rPr>
            </w:pPr>
          </w:p>
        </w:tc>
        <w:tc>
          <w:tcPr>
            <w:tcW w:w="2000" w:type="dxa"/>
            <w:shd w:val="clear" w:color="auto" w:fill="auto"/>
            <w:vAlign w:val="center"/>
          </w:tcPr>
          <w:p>
            <w:pPr>
              <w:spacing w:line="300" w:lineRule="exact"/>
              <w:jc w:val="left"/>
              <w:rPr>
                <w:rFonts w:ascii="方正书宋_GBK" w:eastAsia="方正书宋_GBK" w:cs="Times New Roman"/>
                <w:b/>
              </w:rPr>
            </w:pPr>
          </w:p>
        </w:tc>
        <w:tc>
          <w:tcPr>
            <w:tcW w:w="429" w:type="dxa"/>
            <w:shd w:val="clear" w:color="auto" w:fill="auto"/>
            <w:vAlign w:val="center"/>
          </w:tcPr>
          <w:p>
            <w:pPr>
              <w:spacing w:line="300" w:lineRule="exact"/>
              <w:jc w:val="center"/>
              <w:rPr>
                <w:rFonts w:ascii="方正书宋_GBK" w:eastAsia="方正书宋_GBK" w:cs="Times New Roman"/>
                <w:b/>
              </w:rPr>
            </w:pPr>
          </w:p>
        </w:tc>
        <w:tc>
          <w:tcPr>
            <w:tcW w:w="718"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w:t>
            </w: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177.00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177.00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楼面外修</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30.00</w:t>
            </w:r>
          </w:p>
        </w:tc>
        <w:tc>
          <w:tcPr>
            <w:tcW w:w="1531" w:type="dxa"/>
            <w:shd w:val="clear" w:color="auto" w:fill="auto"/>
            <w:vAlign w:val="center"/>
          </w:tcPr>
          <w:p>
            <w:pPr>
              <w:spacing w:line="300" w:lineRule="exact"/>
              <w:jc w:val="left"/>
              <w:rPr>
                <w:rFonts w:ascii="方正书宋_GBK" w:eastAsia="方正书宋_GBK" w:cs="Times New Roman"/>
                <w:b/>
              </w:rPr>
            </w:pPr>
          </w:p>
        </w:tc>
        <w:tc>
          <w:tcPr>
            <w:tcW w:w="2000"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[B0899]</w:t>
            </w:r>
          </w:p>
        </w:tc>
        <w:tc>
          <w:tcPr>
            <w:tcW w:w="429" w:type="dxa"/>
            <w:shd w:val="clear" w:color="auto" w:fill="auto"/>
            <w:vAlign w:val="center"/>
          </w:tcPr>
          <w:p>
            <w:pPr>
              <w:spacing w:line="300" w:lineRule="exact"/>
              <w:jc w:val="center"/>
              <w:rPr>
                <w:rFonts w:ascii="方正书宋_GBK" w:eastAsia="方正书宋_GBK" w:cs="Times New Roman"/>
                <w:b/>
              </w:rPr>
            </w:pPr>
          </w:p>
        </w:tc>
        <w:tc>
          <w:tcPr>
            <w:tcW w:w="718"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30.00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30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30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检委会专用会议室</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40.00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[A02010699]</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40.00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40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密码机购置</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25.00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[A020299]</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25.00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25</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交通设备</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[A02030699]</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交通设备</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[A02030699]</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20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委托业务费</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[C0908]</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30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装备购置配套</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12.00</w:t>
            </w:r>
          </w:p>
        </w:tc>
        <w:tc>
          <w:tcPr>
            <w:tcW w:w="1531" w:type="dxa"/>
            <w:shd w:val="clear" w:color="auto" w:fill="auto"/>
            <w:vAlign w:val="center"/>
          </w:tcPr>
          <w:p>
            <w:pPr>
              <w:spacing w:line="300" w:lineRule="exact"/>
              <w:jc w:val="left"/>
              <w:rPr>
                <w:rFonts w:ascii="方正书宋_GBK" w:eastAsia="方正书宋_GBK" w:cs="Times New Roman"/>
              </w:rPr>
            </w:pPr>
          </w:p>
        </w:tc>
        <w:tc>
          <w:tcPr>
            <w:tcW w:w="2000"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[A020299]</w:t>
            </w:r>
          </w:p>
        </w:tc>
        <w:tc>
          <w:tcPr>
            <w:tcW w:w="429" w:type="dxa"/>
            <w:shd w:val="clear" w:color="auto" w:fill="auto"/>
            <w:vAlign w:val="center"/>
          </w:tcPr>
          <w:p>
            <w:pPr>
              <w:spacing w:line="300" w:lineRule="exact"/>
              <w:jc w:val="center"/>
              <w:rPr>
                <w:rFonts w:ascii="方正书宋_GBK" w:eastAsia="方正书宋_GBK" w:cs="Times New Roman"/>
              </w:rPr>
            </w:pPr>
          </w:p>
        </w:tc>
        <w:tc>
          <w:tcPr>
            <w:tcW w:w="718"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12.00</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12</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我院</w:t>
      </w:r>
      <w:r>
        <w:rPr>
          <w:rFonts w:ascii="Times New Roman" w:hAnsi="Times New Roman" w:eastAsia="仿宋_GB2312" w:cs="Times New Roman"/>
          <w:sz w:val="32"/>
          <w:szCs w:val="32"/>
        </w:rPr>
        <w:t>（含所属单位）上年末固定资产金额为万元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总额为177万元，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（检委会专用会议室、密码机、</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编制</w:t>
            </w:r>
            <w:r>
              <w:rPr>
                <w:rFonts w:hint="eastAsia" w:ascii="Times New Roman" w:hAnsi="Times New Roman" w:eastAsia="仿宋_GB2312" w:cs="Times New Roman"/>
                <w:kern w:val="0"/>
                <w:sz w:val="28"/>
                <w:szCs w:val="28"/>
                <w:lang w:eastAsia="zh-CN"/>
              </w:rPr>
              <w:t>单位</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大城县人民检察院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截止时间：20</w:t>
            </w:r>
            <w:r>
              <w:rPr>
                <w:rFonts w:hint="eastAsia" w:ascii="Times New Roman" w:hAnsi="Times New Roman" w:eastAsia="仿宋_GB2312" w:cs="Times New Roman"/>
                <w:kern w:val="0"/>
                <w:sz w:val="28"/>
                <w:szCs w:val="28"/>
              </w:rPr>
              <w:t>21</w:t>
            </w:r>
            <w:r>
              <w:rPr>
                <w:rFonts w:ascii="Times New Roman" w:hAnsi="Times New Roman" w:eastAsia="仿宋_GB2312" w:cs="Times New Roman"/>
                <w:kern w:val="0"/>
                <w:sz w:val="28"/>
                <w:szCs w:val="28"/>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8"/>
                <w:szCs w:val="28"/>
              </w:rPr>
            </w:pPr>
            <w:r>
              <w:rPr>
                <w:rFonts w:ascii="Times New Roman" w:hAnsi="Times New Roman" w:eastAsia="仿宋_GB2312" w:cs="Times New Roman"/>
                <w:b/>
                <w:bCs/>
                <w:kern w:val="0"/>
                <w:sz w:val="28"/>
                <w:szCs w:val="28"/>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945.26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4023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382.99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1734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171.02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77.93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484.34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76EB995"/>
    <w:multiLevelType w:val="singleLevel"/>
    <w:tmpl w:val="376EB995"/>
    <w:lvl w:ilvl="0" w:tentative="0">
      <w:start w:val="3"/>
      <w:numFmt w:val="chineseCounting"/>
      <w:suff w:val="nothing"/>
      <w:lvlText w:val="（%1）"/>
      <w:lvlJc w:val="left"/>
      <w:rPr>
        <w:rFonts w:hint="eastAsia"/>
      </w:r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WU4YWQ4MTMyMWUzZTBjN2VkMTIxYTE1MDVkOGQifQ=="/>
  </w:docVars>
  <w:rsids>
    <w:rsidRoot w:val="00D347CC"/>
    <w:rsid w:val="000C166A"/>
    <w:rsid w:val="00150A11"/>
    <w:rsid w:val="00150BF1"/>
    <w:rsid w:val="00271C8E"/>
    <w:rsid w:val="0029737D"/>
    <w:rsid w:val="002E79C9"/>
    <w:rsid w:val="004A54AA"/>
    <w:rsid w:val="00616335"/>
    <w:rsid w:val="006B12D1"/>
    <w:rsid w:val="006C53A6"/>
    <w:rsid w:val="006C664A"/>
    <w:rsid w:val="007D0917"/>
    <w:rsid w:val="00805754"/>
    <w:rsid w:val="00873113"/>
    <w:rsid w:val="008F38D8"/>
    <w:rsid w:val="009F5649"/>
    <w:rsid w:val="00AB2DCF"/>
    <w:rsid w:val="00B65265"/>
    <w:rsid w:val="00B80935"/>
    <w:rsid w:val="00CB4C9A"/>
    <w:rsid w:val="00D347CC"/>
    <w:rsid w:val="00D80A18"/>
    <w:rsid w:val="00E06198"/>
    <w:rsid w:val="00EF5603"/>
    <w:rsid w:val="019966C7"/>
    <w:rsid w:val="02732F88"/>
    <w:rsid w:val="02B72BC6"/>
    <w:rsid w:val="03533494"/>
    <w:rsid w:val="03C33FA3"/>
    <w:rsid w:val="080C164C"/>
    <w:rsid w:val="0B3D1C1B"/>
    <w:rsid w:val="0BD74010"/>
    <w:rsid w:val="0F3A061E"/>
    <w:rsid w:val="115B7915"/>
    <w:rsid w:val="136D1FFE"/>
    <w:rsid w:val="143A3AA6"/>
    <w:rsid w:val="1581636F"/>
    <w:rsid w:val="19A80E82"/>
    <w:rsid w:val="1AD01200"/>
    <w:rsid w:val="1C3B0352"/>
    <w:rsid w:val="22A92764"/>
    <w:rsid w:val="23F327E9"/>
    <w:rsid w:val="25F902D7"/>
    <w:rsid w:val="26F1568E"/>
    <w:rsid w:val="270337CB"/>
    <w:rsid w:val="2A6D3059"/>
    <w:rsid w:val="2B03472C"/>
    <w:rsid w:val="2D820452"/>
    <w:rsid w:val="31AA2C4C"/>
    <w:rsid w:val="32E87BBC"/>
    <w:rsid w:val="33B10D9B"/>
    <w:rsid w:val="34730AFD"/>
    <w:rsid w:val="34B025C1"/>
    <w:rsid w:val="3579286D"/>
    <w:rsid w:val="3A9A4FA0"/>
    <w:rsid w:val="3C6801BD"/>
    <w:rsid w:val="3F886D47"/>
    <w:rsid w:val="3F8A033F"/>
    <w:rsid w:val="458A778A"/>
    <w:rsid w:val="46E71798"/>
    <w:rsid w:val="48172458"/>
    <w:rsid w:val="49BE54CC"/>
    <w:rsid w:val="4CFE1C3E"/>
    <w:rsid w:val="4E663815"/>
    <w:rsid w:val="4ED704C3"/>
    <w:rsid w:val="4F750978"/>
    <w:rsid w:val="4FD12A79"/>
    <w:rsid w:val="54144AEF"/>
    <w:rsid w:val="5591348A"/>
    <w:rsid w:val="55E73D2F"/>
    <w:rsid w:val="597C592B"/>
    <w:rsid w:val="59DD4F83"/>
    <w:rsid w:val="5AEC07EF"/>
    <w:rsid w:val="5C282475"/>
    <w:rsid w:val="5CB617D5"/>
    <w:rsid w:val="5D7E2EE6"/>
    <w:rsid w:val="5E095A48"/>
    <w:rsid w:val="5E481AB6"/>
    <w:rsid w:val="6022744F"/>
    <w:rsid w:val="613468AE"/>
    <w:rsid w:val="63BB6D01"/>
    <w:rsid w:val="65A04A65"/>
    <w:rsid w:val="687C0C91"/>
    <w:rsid w:val="69290ACA"/>
    <w:rsid w:val="6A8711EF"/>
    <w:rsid w:val="6D0D4676"/>
    <w:rsid w:val="6D633DEF"/>
    <w:rsid w:val="6D686D7A"/>
    <w:rsid w:val="6E5E6F32"/>
    <w:rsid w:val="6EA04119"/>
    <w:rsid w:val="6F7A1B90"/>
    <w:rsid w:val="718E38B4"/>
    <w:rsid w:val="73712B70"/>
    <w:rsid w:val="746F455F"/>
    <w:rsid w:val="76116581"/>
    <w:rsid w:val="78C62BC6"/>
    <w:rsid w:val="79137F70"/>
    <w:rsid w:val="79567220"/>
    <w:rsid w:val="79DF00B9"/>
    <w:rsid w:val="7A3A3474"/>
    <w:rsid w:val="7A411B9B"/>
    <w:rsid w:val="7A4379CD"/>
    <w:rsid w:val="7CCD3F66"/>
    <w:rsid w:val="7CE30548"/>
    <w:rsid w:val="7DA56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2485</Words>
  <Characters>14169</Characters>
  <Lines>118</Lines>
  <Paragraphs>33</Paragraphs>
  <TotalTime>35</TotalTime>
  <ScaleCrop>false</ScaleCrop>
  <LinksUpToDate>false</LinksUpToDate>
  <CharactersWithSpaces>16621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刚刚好</cp:lastModifiedBy>
  <cp:lastPrinted>2022-03-28T07:13:00Z</cp:lastPrinted>
  <dcterms:modified xsi:type="dcterms:W3CDTF">2023-08-08T00:58:36Z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1D465D497AAC4E67B38FE02613DAAF11_13</vt:lpwstr>
  </property>
</Properties>
</file>