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大城县民兵训练基地</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大城县民兵训练基地</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1、保障民兵训练：确保本县民兵训练高质量，严要求完成。达到预期效果为参训人员营造一个安全、舒适的训练环境。</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2、维护训练基地基础设施：确保好基地的各项工作正常高效运转。</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3、民兵日常管理。完成应急分队的建设，完善民兵营连部。完成战备执勤任务，按照上级要求完成任务，做到全县备勤，在全县境内突发事件，完成应急处突任务。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4、民兵组织建设。完善战事动员计划，做到战时拉得出、用得上，保障、办理国防动员委员会办公室的日常工作。做好日常训练和各项硬件设施的日常维护，严格按照各项操作规程执行保障任务。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5、人武部建设：确保日常工作有序进行，加强双拥共建、军民融合，完成地方党委、政府和上级军事机关交给的其他任务。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征兵业务管理。保障征兵工作的高效运转，高质量、高标准完成征兵工作，确保我县的征兵工作按照上级要求的兵源数量、质量达到标准，圆满完成我县征兵任务，确保我县预备役军官、士官登记，统计数据完整。</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7、负责本系统物资装备管理工作；指导、监督本系统财务、装备、设施、场所等保障工作。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8、指导全县民兵队伍建设相关工作，监督管理本系统队伍建设。</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hint="default" w:ascii="仿宋" w:hAnsi="仿宋" w:eastAsia="仿宋"/>
                <w:szCs w:val="24"/>
                <w:lang w:val="en-US"/>
              </w:rPr>
            </w:pPr>
            <w:r>
              <w:rPr>
                <w:rFonts w:hint="eastAsia" w:ascii="仿宋" w:hAnsi="仿宋" w:eastAsia="仿宋"/>
                <w:szCs w:val="24"/>
                <w:lang w:val="en-US" w:eastAsia="zh-CN"/>
              </w:rPr>
              <w:t>大城县民兵训练基地（本级）</w:t>
            </w:r>
          </w:p>
        </w:tc>
        <w:tc>
          <w:tcPr>
            <w:tcW w:w="1134" w:type="dxa"/>
            <w:noWrap w:val="0"/>
            <w:vAlign w:val="center"/>
          </w:tcPr>
          <w:p>
            <w:pPr>
              <w:spacing w:line="300" w:lineRule="exact"/>
              <w:jc w:val="center"/>
              <w:rPr>
                <w:rFonts w:hint="eastAsia" w:ascii="仿宋" w:hAnsi="仿宋" w:eastAsia="仿宋"/>
                <w:szCs w:val="24"/>
                <w:lang w:eastAsia="zh-CN"/>
              </w:rPr>
            </w:pPr>
            <w:r>
              <w:rPr>
                <w:rFonts w:hint="eastAsia" w:ascii="仿宋" w:hAnsi="仿宋" w:eastAsia="仿宋"/>
                <w:szCs w:val="24"/>
                <w:lang w:eastAsia="zh-CN"/>
              </w:rPr>
              <w:t>全额事业</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正科级</w:t>
            </w:r>
          </w:p>
        </w:tc>
        <w:tc>
          <w:tcPr>
            <w:tcW w:w="2902" w:type="dxa"/>
            <w:noWrap w:val="0"/>
            <w:vAlign w:val="center"/>
          </w:tcPr>
          <w:p>
            <w:pPr>
              <w:spacing w:line="300" w:lineRule="exact"/>
              <w:jc w:val="center"/>
              <w:rPr>
                <w:rFonts w:hint="eastAsia" w:ascii="仿宋" w:hAnsi="仿宋" w:eastAsia="仿宋"/>
                <w:szCs w:val="24"/>
                <w:lang w:eastAsia="zh-CN"/>
              </w:rPr>
            </w:pPr>
            <w:r>
              <w:rPr>
                <w:rFonts w:hint="eastAsia" w:ascii="仿宋" w:hAnsi="仿宋" w:eastAsia="仿宋"/>
                <w:szCs w:val="24"/>
                <w:lang w:val="en-US" w:eastAsia="zh-CN"/>
              </w:rPr>
              <w:t>财政性资金基本保证</w:t>
            </w:r>
          </w:p>
        </w:tc>
      </w:tr>
    </w:tbl>
    <w:p>
      <w:pPr>
        <w:numPr>
          <w:ilvl w:val="0"/>
          <w:numId w:val="1"/>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numPr>
          <w:ilvl w:val="0"/>
          <w:numId w:val="0"/>
        </w:num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大城县民兵训练基地</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154.77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130.54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24.23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137</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2022年新建民兵训练基地配套设施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2022年新建民兵训练基地、2022年民兵训练基地运行经费</w:t>
      </w:r>
      <w:r>
        <w:rPr>
          <w:rFonts w:ascii="Times New Roman" w:hAnsi="Times New Roman" w:eastAsia="仿宋_GB2312" w:cs="Times New Roman"/>
          <w:sz w:val="32"/>
          <w:szCs w:val="32"/>
        </w:rPr>
        <w:t>等；其他支出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291.77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188.69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8.69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180</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减少了民兵训练基地配套设施资金</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eastAsia="zh-CN"/>
        </w:rPr>
        <w:t>机关运行经费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23.21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highlight w:val="none"/>
          <w:lang w:val="en-US" w:eastAsia="zh-CN"/>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我</w:t>
      </w:r>
      <w:r>
        <w:rPr>
          <w:rFonts w:hint="eastAsia" w:ascii="Times New Roman" w:hAnsi="Times New Roman" w:eastAsia="仿宋_GB2312" w:cs="Times New Roman"/>
          <w:sz w:val="32"/>
          <w:szCs w:val="32"/>
          <w:highlight w:val="none"/>
          <w:lang w:val="en-US" w:eastAsia="zh-CN"/>
        </w:rPr>
        <w:t>单位</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，公务接待费增加</w:t>
      </w:r>
      <w:r>
        <w:rPr>
          <w:rFonts w:hint="eastAsia" w:ascii="Times New Roman" w:hAnsi="Times New Roman" w:eastAsia="仿宋_GB2312" w:cs="Times New Roman"/>
          <w:sz w:val="32"/>
          <w:szCs w:val="32"/>
          <w:highlight w:val="none"/>
          <w:lang w:val="en-US" w:eastAsia="zh-CN"/>
        </w:rPr>
        <w:t>0万元。</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组织开展多种形式国防教育活动，扎实推进国防教有深入开展，增强全其人民的爱国热情：确实一名安全联络员，专门负责我</w:t>
      </w:r>
      <w:r>
        <w:rPr>
          <w:rFonts w:hint="eastAsia" w:ascii="Times New Roman" w:hAnsi="Times New Roman" w:eastAsia="仿宋_GB2312" w:cs="Times New Roman"/>
          <w:sz w:val="32"/>
          <w:szCs w:val="32"/>
          <w:highlight w:val="none"/>
          <w:lang w:val="en-US" w:eastAsia="zh-CN"/>
        </w:rPr>
        <w:t>单位</w:t>
      </w:r>
      <w:r>
        <w:rPr>
          <w:rFonts w:hint="eastAsia" w:ascii="Times New Roman" w:hAnsi="Times New Roman" w:eastAsia="仿宋_GB2312" w:cs="Times New Roman"/>
          <w:sz w:val="32"/>
          <w:szCs w:val="32"/>
          <w:highlight w:val="none"/>
        </w:rPr>
        <w:t>的安全联络工作，确保应对安全事故处置；大城县民兵训练基地新建项目是整合军地资源，加强制度建设的需要，提高了民兵训练基地的建设质量和使用效益，使之成为战斗力生成”摇篮”。本项目的建设有利于改善大城县人民武装部基础训练设施落后的现状，提升管理水平、促进军事指挥手段现代化，增蛋战斗力。项目的实施将充分发挥大城县人民武装部的使用效益。该项目建设不但非常必要，而且意义重大。本项目的实施，满足了大城县民兵队伍日常训练的需求，充分发挥训练基地的优势，进一步提高民兵队伍支援地方建设、参加抢险救灾和服务社会经济发展的能力，更好的促进大城县国防后备力量建设和经济社会建设协调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1、进一步提高民兵队伍支援地方建设，参加抢险救灾和服务社会经济发展的能力，更好的促进大城县国防后备力量建设和经济社会建设协调发展。</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绩效目标：2022年完成地下射击场、综合楼、阅兵台、东西配楼的主体建设及装修等工程，通过竣工验收及整体移交。</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通过新建民兵训练基地到2022年12月底完成12638.39平方米建设及配套设施使用；有利于改善县人武部基础训练设施落后的现状，提高管理水平、促进军事指挥手段现代化，增强战斗力；每年训练不少于10次，保证完成上级赋予的各项任务。</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2、今年完成基地配套实施使用，并按要求生活设施、办公设施、医疗设施、监控设施、供电设施等相关设施，通过竣工验收达到使用效果。</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绩效指标：完善民兵训基地的配套设施建设，完成建设需求达到使用效果。</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该项目的设施可以保障民兵训练基地的正常使用，提高民兵训练和役前训练质量，创建军民融合发展的桥梁；为民兵和新兵提供优质的生活、训练环境，提高民兵队伍应战能力和新兵提前适应部队生活的能力。保障民兵训练基地正常运行。</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绩效目标：保障民兵训练基地的正常使用，提高民兵训练和役前训练质量，创建军民融合发展的桥梁。</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抓好领导干部的国防教育，与县委党校配合，把国防教育纳入党校干部培训内容，聘请党校教师为全县专武干部进行国防教育专题授课；加强青少年学生国防教育；广泛开展国防教育宣传活动，围绕重大节日和重大活动开展多种上形式的国防宣传教育活动、</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绩效目标：通过开展爱国主义宣传教育，实现提高全县人民国防素质，增强国防理念总目标。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5、通过开展安全生产工作，发现安全隐息，减少事故发生。安全隐惠，提高群众及企业安全生产意识，保证镇区内企业安全生产有效提升。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绩效指标：通过开展安全生产巡查，每年不低于2次，及时发现处理达到90%以上，管辖内企业安全生广意识，实现资安监制度，隐感整改率不低于90%创造一个安全生产生活环境的目标。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1、完善制度建设</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制定并完善《大城县民兵训练基地内部控制管理手册》、《大城县民兵训练基地预算绩效管理制度》。并完善资金管理办法、工作保障措施等，为全年预算绩效目标的实现奠定制度基础。</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2、加强支出管理</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通过优化支出结构、编细编实预算、加快履行政府采购手续、尽快启动项目、及时支付资金、按规定及时下达资金等多种措施，确保支出进度达标。</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3、加强绩效运行监控</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按要求开展绩效运行监控，发现问题及时采取措施，确保绩效目标如期保质实现。</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4、做好绩效自评。</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5、规范财务资金管理。</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完善财务管理制度，严格审批程序，加强固定资产登记、使用和报废处置管理，做到支出合理，物尽其用。</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6、加强内部监督。</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加强内部监管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7、加强宣传培训调研等。</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加强人员培训，提高本部门职工业务素质；加强调研，提出优化财政资金配置、提高资金使用效益的意见；加大宣传力度，强化预算绩效管理意识，促进预算绩效管理水平进一步提升。</w:t>
      </w: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515"/>
        <w:gridCol w:w="1631"/>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1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631"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1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31"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单位</w:t>
            </w:r>
            <w:r>
              <w:rPr>
                <w:rFonts w:hint="eastAsia" w:ascii="方正书宋_GBK" w:eastAsia="方正书宋_GBK"/>
              </w:rPr>
              <w:t>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各项检务保障工作完成率</w:t>
            </w:r>
          </w:p>
        </w:tc>
        <w:tc>
          <w:tcPr>
            <w:tcW w:w="151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日常公用按月支付次数</w:t>
            </w:r>
          </w:p>
        </w:tc>
        <w:tc>
          <w:tcPr>
            <w:tcW w:w="1631"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日常公用按月支付次数</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月</w:t>
            </w:r>
          </w:p>
        </w:tc>
        <w:tc>
          <w:tcPr>
            <w:tcW w:w="76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其他各项综合实务工作完成率</w:t>
            </w:r>
          </w:p>
        </w:tc>
        <w:tc>
          <w:tcPr>
            <w:tcW w:w="151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其他各项综合实务工作完成率</w:t>
            </w:r>
          </w:p>
        </w:tc>
        <w:tc>
          <w:tcPr>
            <w:tcW w:w="1631"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其他各项综合实务工作完成率</w:t>
            </w:r>
          </w:p>
        </w:tc>
        <w:tc>
          <w:tcPr>
            <w:tcW w:w="51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113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时效指标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完成及时率</w:t>
            </w:r>
          </w:p>
        </w:tc>
        <w:tc>
          <w:tcPr>
            <w:tcW w:w="151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按项目时间分阶段完成</w:t>
            </w:r>
          </w:p>
        </w:tc>
        <w:tc>
          <w:tcPr>
            <w:tcW w:w="1631"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按项目时间分阶段完成</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三季度完成</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成本指标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成本控制</w:t>
            </w:r>
          </w:p>
        </w:tc>
        <w:tc>
          <w:tcPr>
            <w:tcW w:w="151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按预算数全部支出</w:t>
            </w:r>
          </w:p>
        </w:tc>
        <w:tc>
          <w:tcPr>
            <w:tcW w:w="1631"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按预算数全部支出</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113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单位</w:t>
            </w:r>
            <w:r>
              <w:rPr>
                <w:rFonts w:hint="eastAsia" w:ascii="方正书宋_GBK" w:eastAsia="方正书宋_GBK"/>
              </w:rPr>
              <w:t>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社会效益指标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提供优质服务</w:t>
            </w:r>
          </w:p>
        </w:tc>
        <w:tc>
          <w:tcPr>
            <w:tcW w:w="151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提高民兵队伍的执行任务能力</w:t>
            </w:r>
          </w:p>
        </w:tc>
        <w:tc>
          <w:tcPr>
            <w:tcW w:w="1631"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提高民兵队伍的执行任务能力</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53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提高</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5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可持续影响指标</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提供年度建议</w:t>
            </w:r>
          </w:p>
        </w:tc>
        <w:tc>
          <w:tcPr>
            <w:tcW w:w="151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提供年度建议</w:t>
            </w:r>
          </w:p>
        </w:tc>
        <w:tc>
          <w:tcPr>
            <w:tcW w:w="1631"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提供年度建议</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提供年度建议</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持续</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主管部门满意度</w:t>
            </w:r>
          </w:p>
        </w:tc>
        <w:tc>
          <w:tcPr>
            <w:tcW w:w="151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主管部门满意度</w:t>
            </w:r>
          </w:p>
        </w:tc>
        <w:tc>
          <w:tcPr>
            <w:tcW w:w="1631"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主管部门满意度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w:t>
            </w:r>
            <w:r>
              <w:rPr>
                <w:rFonts w:hint="eastAsia" w:ascii="方正书宋_GBK" w:eastAsia="方正书宋_GBK"/>
                <w:lang w:val="en-US" w:eastAsia="zh-CN"/>
              </w:rPr>
              <w:t>5</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按照工作要求</w:t>
            </w:r>
          </w:p>
        </w:tc>
      </w:tr>
    </w:tbl>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1.安监经费</w:t>
      </w:r>
      <w:r>
        <w:rPr>
          <w:rFonts w:ascii="Times New Roman" w:hAnsi="Times New Roman" w:eastAsia="仿宋_GB2312" w:cs="Times New Roman"/>
          <w:sz w:val="28"/>
        </w:rPr>
        <w:t>绩效目标表</w:t>
      </w:r>
      <w:bookmarkStart w:id="0" w:name="_Toc29799657"/>
      <w:bookmarkEnd w:id="0"/>
    </w:p>
    <w:tbl>
      <w:tblPr>
        <w:tblStyle w:val="8"/>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5"/>
        <w:gridCol w:w="2282"/>
        <w:gridCol w:w="1997"/>
        <w:gridCol w:w="3425"/>
        <w:gridCol w:w="1854"/>
        <w:gridCol w:w="21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5" w:hRule="atLeast"/>
          <w:tblHeader/>
          <w:jc w:val="center"/>
        </w:trPr>
        <w:tc>
          <w:tcPr>
            <w:tcW w:w="24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734"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搞好安全生产工作对于巩固社会的安定增加社会财富、减少经济损失具有实在的经济意义。维护全镇安全生产形势稳定，防范事故发生，降低事故发生率，防止重大事故发生。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tblHeader/>
          <w:jc w:val="center"/>
        </w:trPr>
        <w:tc>
          <w:tcPr>
            <w:tcW w:w="24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9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6" w:hRule="atLeast"/>
          <w:jc w:val="center"/>
        </w:trPr>
        <w:tc>
          <w:tcPr>
            <w:tcW w:w="242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制作与发放外宣品的数量（份）</w:t>
            </w:r>
          </w:p>
        </w:tc>
        <w:tc>
          <w:tcPr>
            <w:tcW w:w="3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发放外宣品的数量</w:t>
            </w:r>
          </w:p>
        </w:tc>
        <w:tc>
          <w:tcPr>
            <w:tcW w:w="185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w:t>
            </w:r>
            <w:r>
              <w:rPr>
                <w:rFonts w:hint="eastAsia" w:ascii="宋体" w:hAnsi="宋体" w:cs="宋体"/>
                <w:i w:val="0"/>
                <w:iCs w:val="0"/>
                <w:color w:val="000000"/>
                <w:kern w:val="0"/>
                <w:sz w:val="18"/>
                <w:szCs w:val="18"/>
                <w:u w:val="none"/>
                <w:lang w:val="en-US" w:eastAsia="zh-CN" w:bidi="ar"/>
              </w:rPr>
              <w:t>套</w:t>
            </w:r>
          </w:p>
        </w:tc>
        <w:tc>
          <w:tcPr>
            <w:tcW w:w="21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6" w:hRule="atLeast"/>
          <w:jc w:val="center"/>
        </w:trPr>
        <w:tc>
          <w:tcPr>
            <w:tcW w:w="242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企业安全规理率</w:t>
            </w:r>
          </w:p>
        </w:tc>
        <w:tc>
          <w:tcPr>
            <w:tcW w:w="3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规范企业数量占实际登记管理的企业总数的比例</w:t>
            </w:r>
          </w:p>
        </w:tc>
        <w:tc>
          <w:tcPr>
            <w:tcW w:w="185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r>
              <w:rPr>
                <w:rFonts w:hint="eastAsia" w:ascii="宋体" w:hAnsi="宋体" w:cs="宋体"/>
                <w:i w:val="0"/>
                <w:iCs w:val="0"/>
                <w:color w:val="000000"/>
                <w:kern w:val="0"/>
                <w:sz w:val="18"/>
                <w:szCs w:val="18"/>
                <w:u w:val="none"/>
                <w:lang w:val="en-US" w:eastAsia="zh-CN" w:bidi="ar"/>
              </w:rPr>
              <w:t>%</w:t>
            </w:r>
          </w:p>
        </w:tc>
        <w:tc>
          <w:tcPr>
            <w:tcW w:w="21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6" w:hRule="atLeast"/>
          <w:jc w:val="center"/>
        </w:trPr>
        <w:tc>
          <w:tcPr>
            <w:tcW w:w="242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事故发生率</w:t>
            </w:r>
          </w:p>
        </w:tc>
        <w:tc>
          <w:tcPr>
            <w:tcW w:w="3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企业发生安全事故数量占总企业数量的比例（百分比</w:t>
            </w:r>
          </w:p>
        </w:tc>
        <w:tc>
          <w:tcPr>
            <w:tcW w:w="185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w:t>
            </w:r>
          </w:p>
        </w:tc>
        <w:tc>
          <w:tcPr>
            <w:tcW w:w="21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6" w:hRule="atLeast"/>
          <w:jc w:val="center"/>
        </w:trPr>
        <w:tc>
          <w:tcPr>
            <w:tcW w:w="242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2"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97"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成本节约量</w:t>
            </w:r>
          </w:p>
        </w:tc>
        <w:tc>
          <w:tcPr>
            <w:tcW w:w="3425"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宣传活动1次，费用2500元；宣传印刷费2500元。</w:t>
            </w:r>
          </w:p>
        </w:tc>
        <w:tc>
          <w:tcPr>
            <w:tcW w:w="1854" w:type="dxa"/>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≤0.5</w:t>
            </w:r>
            <w:r>
              <w:rPr>
                <w:rFonts w:hint="eastAsia" w:ascii="宋体" w:hAnsi="宋体" w:cs="宋体"/>
                <w:i w:val="0"/>
                <w:iCs w:val="0"/>
                <w:color w:val="000000"/>
                <w:kern w:val="0"/>
                <w:sz w:val="18"/>
                <w:szCs w:val="18"/>
                <w:u w:val="none"/>
                <w:lang w:val="en-US" w:eastAsia="zh-CN" w:bidi="ar"/>
              </w:rPr>
              <w:t>万元</w:t>
            </w:r>
          </w:p>
        </w:tc>
        <w:tc>
          <w:tcPr>
            <w:tcW w:w="2176"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7" w:hRule="atLeast"/>
          <w:jc w:val="center"/>
        </w:trPr>
        <w:tc>
          <w:tcPr>
            <w:tcW w:w="242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企业安全生产</w:t>
            </w:r>
          </w:p>
        </w:tc>
        <w:tc>
          <w:tcPr>
            <w:tcW w:w="3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反映通过宣传企业提高安全生产意识</w:t>
            </w:r>
          </w:p>
        </w:tc>
        <w:tc>
          <w:tcPr>
            <w:tcW w:w="1854" w:type="dxa"/>
            <w:shd w:val="clear" w:color="auto" w:fill="auto"/>
            <w:vAlign w:val="center"/>
          </w:tcPr>
          <w:p>
            <w:pPr>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提升</w:t>
            </w:r>
          </w:p>
        </w:tc>
        <w:tc>
          <w:tcPr>
            <w:tcW w:w="21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7" w:hRule="atLeast"/>
          <w:jc w:val="center"/>
        </w:trPr>
        <w:tc>
          <w:tcPr>
            <w:tcW w:w="242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9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长期有效监管制度</w:t>
            </w:r>
          </w:p>
        </w:tc>
        <w:tc>
          <w:tcPr>
            <w:tcW w:w="3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反映监管企业制度是否健全</w:t>
            </w:r>
          </w:p>
        </w:tc>
        <w:tc>
          <w:tcPr>
            <w:tcW w:w="1854" w:type="dxa"/>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健全</w:t>
            </w:r>
          </w:p>
        </w:tc>
        <w:tc>
          <w:tcPr>
            <w:tcW w:w="217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7" w:hRule="atLeast"/>
          <w:jc w:val="center"/>
        </w:trPr>
        <w:tc>
          <w:tcPr>
            <w:tcW w:w="242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群众满意度</w:t>
            </w:r>
          </w:p>
        </w:tc>
        <w:tc>
          <w:tcPr>
            <w:tcW w:w="3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群众对当年安监情况整体满意度</w:t>
            </w:r>
          </w:p>
        </w:tc>
        <w:tc>
          <w:tcPr>
            <w:tcW w:w="1854" w:type="dxa"/>
            <w:shd w:val="clear" w:color="auto" w:fill="auto"/>
            <w:vAlign w:val="center"/>
          </w:tcPr>
          <w:p>
            <w:pPr>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80%</w:t>
            </w:r>
          </w:p>
        </w:tc>
        <w:tc>
          <w:tcPr>
            <w:tcW w:w="2176" w:type="dxa"/>
            <w:shd w:val="clear" w:color="auto" w:fill="auto"/>
            <w:vAlign w:val="center"/>
          </w:tcPr>
          <w:p>
            <w:pPr>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实际调</w:t>
            </w:r>
            <w:r>
              <w:rPr>
                <w:rFonts w:hint="eastAsia" w:ascii="宋体" w:hAnsi="宋体" w:cs="宋体"/>
                <w:i w:val="0"/>
                <w:iCs w:val="0"/>
                <w:color w:val="000000"/>
                <w:kern w:val="0"/>
                <w:sz w:val="18"/>
                <w:szCs w:val="18"/>
                <w:u w:val="none"/>
                <w:lang w:val="en-US" w:eastAsia="zh-CN" w:bidi="ar"/>
              </w:rPr>
              <w:t>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5" w:hRule="atLeast"/>
          <w:jc w:val="center"/>
        </w:trPr>
        <w:tc>
          <w:tcPr>
            <w:tcW w:w="2425" w:type="dxa"/>
            <w:vMerge w:val="continue"/>
            <w:tcBorders/>
            <w:shd w:val="clear" w:color="auto" w:fill="auto"/>
            <w:vAlign w:val="center"/>
          </w:tcPr>
          <w:p>
            <w:pPr>
              <w:spacing w:line="584" w:lineRule="exact"/>
              <w:jc w:val="center"/>
              <w:rPr>
                <w:rFonts w:ascii="Times New Roman" w:hAnsi="Times New Roman" w:eastAsia="仿宋_GB2312" w:cs="Times New Roman"/>
              </w:rPr>
            </w:pPr>
          </w:p>
        </w:tc>
        <w:tc>
          <w:tcPr>
            <w:tcW w:w="22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9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342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接受安全监管的人群满意程度</w:t>
            </w:r>
          </w:p>
        </w:tc>
        <w:tc>
          <w:tcPr>
            <w:tcW w:w="185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w:t>
            </w:r>
            <w:r>
              <w:rPr>
                <w:rFonts w:hint="eastAsia" w:ascii="宋体" w:hAnsi="宋体" w:cs="宋体"/>
                <w:i w:val="0"/>
                <w:iCs w:val="0"/>
                <w:color w:val="000000"/>
                <w:kern w:val="0"/>
                <w:sz w:val="18"/>
                <w:szCs w:val="18"/>
                <w:u w:val="none"/>
                <w:lang w:val="en-US" w:eastAsia="zh-CN" w:bidi="ar"/>
              </w:rPr>
              <w:t>%</w:t>
            </w:r>
          </w:p>
        </w:tc>
        <w:tc>
          <w:tcPr>
            <w:tcW w:w="217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实际调</w:t>
            </w:r>
            <w:r>
              <w:rPr>
                <w:rFonts w:hint="eastAsia" w:ascii="宋体" w:hAnsi="宋体" w:cs="宋体"/>
                <w:i w:val="0"/>
                <w:iCs w:val="0"/>
                <w:color w:val="000000"/>
                <w:kern w:val="0"/>
                <w:sz w:val="18"/>
                <w:szCs w:val="18"/>
                <w:u w:val="none"/>
                <w:lang w:val="en-US" w:eastAsia="zh-CN" w:bidi="ar"/>
              </w:rPr>
              <w:t>查</w:t>
            </w:r>
          </w:p>
        </w:tc>
      </w:tr>
    </w:tbl>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国防教育经费项目</w:t>
      </w:r>
      <w:r>
        <w:rPr>
          <w:rFonts w:ascii="Times New Roman" w:hAnsi="Times New Roman" w:eastAsia="仿宋_GB2312" w:cs="Times New Roman"/>
          <w:sz w:val="28"/>
        </w:rPr>
        <w:t>绩效目标表</w:t>
      </w:r>
    </w:p>
    <w:tbl>
      <w:tblPr>
        <w:tblStyle w:val="8"/>
        <w:tblW w:w="134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5"/>
        <w:gridCol w:w="2170"/>
        <w:gridCol w:w="1899"/>
        <w:gridCol w:w="3255"/>
        <w:gridCol w:w="1764"/>
        <w:gridCol w:w="20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5" w:hRule="atLeast"/>
          <w:tblHeader/>
          <w:jc w:val="center"/>
        </w:trPr>
        <w:tc>
          <w:tcPr>
            <w:tcW w:w="23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154"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宏观通过开展爱国主义宣传教育，实现提高全县人民国防素质, 增强国防理念总目标。</w:t>
            </w:r>
            <w:bookmarkStart w:id="3" w:name="_GoBack"/>
            <w:bookmarkEnd w:id="3"/>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5" w:hRule="atLeast"/>
          <w:tblHeader/>
          <w:jc w:val="center"/>
        </w:trPr>
        <w:tc>
          <w:tcPr>
            <w:tcW w:w="230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9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06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9" w:hRule="atLeast"/>
          <w:jc w:val="center"/>
        </w:trPr>
        <w:tc>
          <w:tcPr>
            <w:tcW w:w="230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8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宣传活动实际完成次数</w:t>
            </w:r>
          </w:p>
        </w:tc>
        <w:tc>
          <w:tcPr>
            <w:tcW w:w="32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考核和反映宣传活动数量目标实现数值</w:t>
            </w:r>
          </w:p>
        </w:tc>
        <w:tc>
          <w:tcPr>
            <w:tcW w:w="17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≥3次</w:t>
            </w:r>
          </w:p>
        </w:tc>
        <w:tc>
          <w:tcPr>
            <w:tcW w:w="20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jc w:val="center"/>
        </w:trPr>
        <w:tc>
          <w:tcPr>
            <w:tcW w:w="230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8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宣传活动质量达标率</w:t>
            </w:r>
          </w:p>
        </w:tc>
        <w:tc>
          <w:tcPr>
            <w:tcW w:w="32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活动覆盖群众数量</w:t>
            </w:r>
          </w:p>
        </w:tc>
        <w:tc>
          <w:tcPr>
            <w:tcW w:w="17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0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8" w:hRule="atLeast"/>
          <w:jc w:val="center"/>
        </w:trPr>
        <w:tc>
          <w:tcPr>
            <w:tcW w:w="230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8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宣传活动完成时间</w:t>
            </w:r>
          </w:p>
        </w:tc>
        <w:tc>
          <w:tcPr>
            <w:tcW w:w="32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按时间分阶段完成</w:t>
            </w:r>
          </w:p>
        </w:tc>
        <w:tc>
          <w:tcPr>
            <w:tcW w:w="1764" w:type="dxa"/>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2022年四季度</w:t>
            </w:r>
          </w:p>
        </w:tc>
        <w:tc>
          <w:tcPr>
            <w:tcW w:w="20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9" w:hRule="atLeast"/>
          <w:jc w:val="center"/>
        </w:trPr>
        <w:tc>
          <w:tcPr>
            <w:tcW w:w="230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70"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899"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宣传活动</w:t>
            </w:r>
          </w:p>
        </w:tc>
        <w:tc>
          <w:tcPr>
            <w:tcW w:w="3255"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规定每年不少于3万元，并随着财政收入的增长而逐年增加。</w:t>
            </w:r>
          </w:p>
        </w:tc>
        <w:tc>
          <w:tcPr>
            <w:tcW w:w="1764" w:type="dxa"/>
            <w:shd w:val="clear" w:color="auto" w:fill="auto"/>
            <w:vAlign w:val="top"/>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1.5万元</w:t>
            </w:r>
          </w:p>
        </w:tc>
        <w:tc>
          <w:tcPr>
            <w:tcW w:w="2066"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9" w:hRule="atLeast"/>
          <w:jc w:val="center"/>
        </w:trPr>
        <w:tc>
          <w:tcPr>
            <w:tcW w:w="2305"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8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在全县营造浓厚的爱国主义氛围</w:t>
            </w:r>
          </w:p>
        </w:tc>
        <w:tc>
          <w:tcPr>
            <w:tcW w:w="32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反映宣传活动实现社会效果</w:t>
            </w:r>
          </w:p>
        </w:tc>
        <w:tc>
          <w:tcPr>
            <w:tcW w:w="17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20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jc w:val="center"/>
        </w:trPr>
        <w:tc>
          <w:tcPr>
            <w:tcW w:w="2305"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8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长期持续性</w:t>
            </w:r>
          </w:p>
        </w:tc>
        <w:tc>
          <w:tcPr>
            <w:tcW w:w="32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人民群众对国防事业的认可度</w:t>
            </w:r>
          </w:p>
        </w:tc>
        <w:tc>
          <w:tcPr>
            <w:tcW w:w="176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w:t>
            </w:r>
          </w:p>
        </w:tc>
        <w:tc>
          <w:tcPr>
            <w:tcW w:w="206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2" w:hRule="atLeast"/>
          <w:jc w:val="center"/>
        </w:trPr>
        <w:tc>
          <w:tcPr>
            <w:tcW w:w="2305"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9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人民群众对国防事业的认可</w:t>
            </w:r>
          </w:p>
        </w:tc>
        <w:tc>
          <w:tcPr>
            <w:tcW w:w="32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人民群众对国防事业的认可情况</w:t>
            </w:r>
          </w:p>
        </w:tc>
        <w:tc>
          <w:tcPr>
            <w:tcW w:w="176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≥90</w:t>
            </w:r>
            <w:r>
              <w:rPr>
                <w:rFonts w:hint="eastAsia" w:ascii="宋体" w:hAnsi="宋体" w:cs="宋体"/>
                <w:i w:val="0"/>
                <w:iCs w:val="0"/>
                <w:color w:val="000000"/>
                <w:kern w:val="0"/>
                <w:sz w:val="18"/>
                <w:szCs w:val="18"/>
                <w:u w:val="none"/>
                <w:lang w:val="en-US" w:eastAsia="zh-CN" w:bidi="ar"/>
              </w:rPr>
              <w:t>%</w:t>
            </w:r>
          </w:p>
        </w:tc>
        <w:tc>
          <w:tcPr>
            <w:tcW w:w="206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实际调查</w:t>
            </w:r>
          </w:p>
        </w:tc>
      </w:tr>
    </w:tbl>
    <w:p>
      <w:pPr>
        <w:jc w:val="left"/>
        <w:outlineLvl w:val="1"/>
        <w:rPr>
          <w:rFonts w:ascii="Times New Roman" w:hAnsi="Times New Roman" w:eastAsia="仿宋_GB2312" w:cs="Times New Roman"/>
          <w:sz w:val="28"/>
        </w:rPr>
      </w:pPr>
    </w:p>
    <w:p>
      <w:pPr>
        <w:numPr>
          <w:ilvl w:val="0"/>
          <w:numId w:val="4"/>
        </w:numPr>
        <w:tabs>
          <w:tab w:val="left" w:pos="545"/>
        </w:tabs>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民兵训练基地运行经费项目</w:t>
      </w:r>
      <w:r>
        <w:rPr>
          <w:rFonts w:ascii="Times New Roman" w:hAnsi="Times New Roman" w:eastAsia="仿宋_GB2312" w:cs="Times New Roman"/>
          <w:sz w:val="28"/>
        </w:rPr>
        <w:t>绩效目标表</w:t>
      </w:r>
    </w:p>
    <w:tbl>
      <w:tblPr>
        <w:tblStyle w:val="8"/>
        <w:tblW w:w="137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0"/>
        <w:gridCol w:w="2222"/>
        <w:gridCol w:w="1945"/>
        <w:gridCol w:w="3333"/>
        <w:gridCol w:w="1806"/>
        <w:gridCol w:w="21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6" w:hRule="atLeast"/>
          <w:tblHeader/>
          <w:jc w:val="center"/>
        </w:trPr>
        <w:tc>
          <w:tcPr>
            <w:tcW w:w="23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419"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确保民兵训练和新兵役前训练正常进行。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6" w:hRule="atLeast"/>
          <w:tblHeader/>
          <w:jc w:val="center"/>
        </w:trPr>
        <w:tc>
          <w:tcPr>
            <w:tcW w:w="23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2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1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36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基地维护次数</w:t>
            </w:r>
          </w:p>
        </w:tc>
        <w:tc>
          <w:tcPr>
            <w:tcW w:w="33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每年对基地进行管理维修、维护情况</w:t>
            </w:r>
          </w:p>
        </w:tc>
        <w:tc>
          <w:tcPr>
            <w:tcW w:w="18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次</w:t>
            </w:r>
          </w:p>
        </w:tc>
        <w:tc>
          <w:tcPr>
            <w:tcW w:w="2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36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基地维护效果</w:t>
            </w:r>
          </w:p>
        </w:tc>
        <w:tc>
          <w:tcPr>
            <w:tcW w:w="33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基地每年维护的效果</w:t>
            </w:r>
          </w:p>
        </w:tc>
        <w:tc>
          <w:tcPr>
            <w:tcW w:w="18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正常使用</w:t>
            </w:r>
          </w:p>
        </w:tc>
        <w:tc>
          <w:tcPr>
            <w:tcW w:w="2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36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训练活动完成时间</w:t>
            </w:r>
          </w:p>
        </w:tc>
        <w:tc>
          <w:tcPr>
            <w:tcW w:w="33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按训练计划完成</w:t>
            </w:r>
          </w:p>
        </w:tc>
        <w:tc>
          <w:tcPr>
            <w:tcW w:w="18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2022年12月底</w:t>
            </w:r>
          </w:p>
        </w:tc>
        <w:tc>
          <w:tcPr>
            <w:tcW w:w="2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8" w:hRule="atLeast"/>
          <w:jc w:val="center"/>
        </w:trPr>
        <w:tc>
          <w:tcPr>
            <w:tcW w:w="236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2"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45"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项目成本控制</w:t>
            </w:r>
          </w:p>
        </w:tc>
        <w:tc>
          <w:tcPr>
            <w:tcW w:w="3333"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项目经费支出是否按照具体文件规定控制成本不超标</w:t>
            </w:r>
          </w:p>
        </w:tc>
        <w:tc>
          <w:tcPr>
            <w:tcW w:w="1806"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35万元</w:t>
            </w:r>
          </w:p>
        </w:tc>
        <w:tc>
          <w:tcPr>
            <w:tcW w:w="2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360"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保障部门工作的运转</w:t>
            </w:r>
          </w:p>
        </w:tc>
        <w:tc>
          <w:tcPr>
            <w:tcW w:w="33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保证基地的正常运转</w:t>
            </w:r>
          </w:p>
        </w:tc>
        <w:tc>
          <w:tcPr>
            <w:tcW w:w="18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按规定进行</w:t>
            </w:r>
          </w:p>
        </w:tc>
        <w:tc>
          <w:tcPr>
            <w:tcW w:w="2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8" w:hRule="atLeast"/>
          <w:jc w:val="center"/>
        </w:trPr>
        <w:tc>
          <w:tcPr>
            <w:tcW w:w="2360"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制度及实施方案健全程度</w:t>
            </w:r>
          </w:p>
        </w:tc>
        <w:tc>
          <w:tcPr>
            <w:tcW w:w="33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以后年度项目持续实施是否具备健全的制度保障</w:t>
            </w:r>
          </w:p>
        </w:tc>
        <w:tc>
          <w:tcPr>
            <w:tcW w:w="18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健全</w:t>
            </w:r>
          </w:p>
        </w:tc>
        <w:tc>
          <w:tcPr>
            <w:tcW w:w="2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9" w:hRule="atLeast"/>
          <w:jc w:val="center"/>
        </w:trPr>
        <w:tc>
          <w:tcPr>
            <w:tcW w:w="2360"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2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参训民兵满意度</w:t>
            </w:r>
          </w:p>
        </w:tc>
        <w:tc>
          <w:tcPr>
            <w:tcW w:w="333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反映参训民兵对基地满意程度</w:t>
            </w:r>
          </w:p>
        </w:tc>
        <w:tc>
          <w:tcPr>
            <w:tcW w:w="180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97</w:t>
            </w:r>
            <w:r>
              <w:rPr>
                <w:rFonts w:hint="eastAsia" w:ascii="宋体" w:hAnsi="宋体" w:eastAsia="宋体" w:cs="宋体"/>
                <w:i w:val="0"/>
                <w:iCs w:val="0"/>
                <w:color w:val="000000"/>
                <w:kern w:val="0"/>
                <w:sz w:val="18"/>
                <w:szCs w:val="18"/>
                <w:u w:val="none"/>
                <w:lang w:val="en-US" w:eastAsia="zh-CN" w:bidi="ar"/>
              </w:rPr>
              <w:t>%</w:t>
            </w:r>
          </w:p>
        </w:tc>
        <w:tc>
          <w:tcPr>
            <w:tcW w:w="21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实际调查/工作情况</w:t>
            </w:r>
          </w:p>
        </w:tc>
      </w:tr>
    </w:tbl>
    <w:p>
      <w:pPr>
        <w:numPr>
          <w:ilvl w:val="0"/>
          <w:numId w:val="0"/>
        </w:numPr>
        <w:jc w:val="left"/>
        <w:outlineLvl w:val="1"/>
        <w:rPr>
          <w:rFonts w:ascii="Times New Roman" w:hAnsi="Times New Roman" w:eastAsia="仿宋_GB2312" w:cs="Times New Roman"/>
          <w:sz w:val="28"/>
          <w:lang w:val="en-US" w:eastAsia="zh-CN"/>
        </w:rPr>
      </w:pPr>
    </w:p>
    <w:p>
      <w:pPr>
        <w:numPr>
          <w:ilvl w:val="0"/>
          <w:numId w:val="4"/>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新建民兵训练基地项目绩</w:t>
      </w:r>
      <w:r>
        <w:rPr>
          <w:rFonts w:ascii="Times New Roman" w:hAnsi="Times New Roman" w:eastAsia="仿宋_GB2312" w:cs="Times New Roman"/>
          <w:sz w:val="28"/>
        </w:rPr>
        <w:t>效目标表</w:t>
      </w:r>
    </w:p>
    <w:tbl>
      <w:tblPr>
        <w:tblStyle w:val="8"/>
        <w:tblW w:w="13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4"/>
        <w:gridCol w:w="2254"/>
        <w:gridCol w:w="1973"/>
        <w:gridCol w:w="3382"/>
        <w:gridCol w:w="1832"/>
        <w:gridCol w:w="2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5" w:hRule="atLeast"/>
          <w:tblHeader/>
          <w:jc w:val="center"/>
        </w:trPr>
        <w:tc>
          <w:tcPr>
            <w:tcW w:w="23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585"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进一步提高民兵队伍支援地方建设、参加抢险救灾和服务社会经济发展的能力，更好的促进大城县国防后备力量建设和经济社会建设协调发展。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5" w:hRule="atLeast"/>
          <w:tblHeader/>
          <w:jc w:val="center"/>
        </w:trPr>
        <w:tc>
          <w:tcPr>
            <w:tcW w:w="239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8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23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工程实际完成量</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工程数量目标实现程度</w:t>
            </w:r>
          </w:p>
        </w:tc>
        <w:tc>
          <w:tcPr>
            <w:tcW w:w="18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12638.39平方米</w:t>
            </w:r>
          </w:p>
        </w:tc>
        <w:tc>
          <w:tcPr>
            <w:tcW w:w="214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基建工程实施方案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2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工程质量达标率</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工程质量目标实现程度</w:t>
            </w:r>
          </w:p>
        </w:tc>
        <w:tc>
          <w:tcPr>
            <w:tcW w:w="18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14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jc w:val="center"/>
        </w:trPr>
        <w:tc>
          <w:tcPr>
            <w:tcW w:w="2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工程按期完成率</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工程完成时间目标实现程度</w:t>
            </w:r>
          </w:p>
        </w:tc>
        <w:tc>
          <w:tcPr>
            <w:tcW w:w="18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2022年12月底</w:t>
            </w:r>
          </w:p>
        </w:tc>
        <w:tc>
          <w:tcPr>
            <w:tcW w:w="214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50" w:hRule="atLeast"/>
          <w:jc w:val="center"/>
        </w:trPr>
        <w:tc>
          <w:tcPr>
            <w:tcW w:w="2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4"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73"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工程成本控制量</w:t>
            </w:r>
          </w:p>
        </w:tc>
        <w:tc>
          <w:tcPr>
            <w:tcW w:w="338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工程成本控制情况</w:t>
            </w:r>
          </w:p>
        </w:tc>
        <w:tc>
          <w:tcPr>
            <w:tcW w:w="183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≤50万元</w:t>
            </w:r>
          </w:p>
        </w:tc>
        <w:tc>
          <w:tcPr>
            <w:tcW w:w="2144"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大发改（2019）24号文件《大城县发展和改革局关于大城县民兵训练基地新建项目项目建议书的批复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3" w:hRule="atLeast"/>
          <w:jc w:val="center"/>
        </w:trPr>
        <w:tc>
          <w:tcPr>
            <w:tcW w:w="239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提高民兵队伍执行任务能力</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反映通过修建训练基地，民兵训练素质的增长情况</w:t>
            </w:r>
          </w:p>
        </w:tc>
        <w:tc>
          <w:tcPr>
            <w:tcW w:w="18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增长</w:t>
            </w:r>
          </w:p>
        </w:tc>
        <w:tc>
          <w:tcPr>
            <w:tcW w:w="214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3" w:hRule="atLeast"/>
          <w:jc w:val="center"/>
        </w:trPr>
        <w:tc>
          <w:tcPr>
            <w:tcW w:w="239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长期持续性、长期使用性</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反映长期持续性、长期使用性的情况</w:t>
            </w:r>
          </w:p>
        </w:tc>
        <w:tc>
          <w:tcPr>
            <w:tcW w:w="18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w:t>
            </w:r>
          </w:p>
        </w:tc>
        <w:tc>
          <w:tcPr>
            <w:tcW w:w="214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4" w:hRule="atLeast"/>
          <w:jc w:val="center"/>
        </w:trPr>
        <w:tc>
          <w:tcPr>
            <w:tcW w:w="239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参训民兵满意度</w:t>
            </w:r>
          </w:p>
        </w:tc>
        <w:tc>
          <w:tcPr>
            <w:tcW w:w="338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反映参训民兵对新建训练基地的满意程度</w:t>
            </w:r>
          </w:p>
        </w:tc>
        <w:tc>
          <w:tcPr>
            <w:tcW w:w="18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≥97%</w:t>
            </w:r>
          </w:p>
        </w:tc>
        <w:tc>
          <w:tcPr>
            <w:tcW w:w="214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实际调查/工作情况</w:t>
            </w:r>
          </w:p>
        </w:tc>
      </w:tr>
    </w:tbl>
    <w:p>
      <w:pPr>
        <w:numPr>
          <w:numId w:val="0"/>
        </w:num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5.新建民兵训练基地配套设施项目</w:t>
      </w:r>
      <w:r>
        <w:rPr>
          <w:rFonts w:ascii="Times New Roman" w:hAnsi="Times New Roman" w:eastAsia="仿宋_GB2312" w:cs="Times New Roman"/>
          <w:sz w:val="28"/>
        </w:rPr>
        <w:t>绩效目标表</w:t>
      </w:r>
    </w:p>
    <w:tbl>
      <w:tblPr>
        <w:tblStyle w:val="8"/>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7"/>
        <w:gridCol w:w="2256"/>
        <w:gridCol w:w="1974"/>
        <w:gridCol w:w="3385"/>
        <w:gridCol w:w="1833"/>
        <w:gridCol w:w="21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7" w:hRule="atLeast"/>
          <w:tblHeader/>
          <w:jc w:val="center"/>
        </w:trPr>
        <w:tc>
          <w:tcPr>
            <w:tcW w:w="239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02"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kern w:val="0"/>
                <w:sz w:val="18"/>
                <w:szCs w:val="18"/>
                <w:u w:val="none"/>
                <w:lang w:val="en-US" w:eastAsia="zh-CN" w:bidi="ar"/>
              </w:rPr>
              <w:t>2022年完成地配套设施使用,并按要求生活设施、办公设施、医疗设施、监控设施、供电设施等相关设施，通过竣工验收达到使用效果。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7" w:hRule="atLeast"/>
          <w:tblHeader/>
          <w:jc w:val="center"/>
        </w:trPr>
        <w:tc>
          <w:tcPr>
            <w:tcW w:w="239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7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2397"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数量指标</w:t>
            </w:r>
          </w:p>
        </w:tc>
        <w:tc>
          <w:tcPr>
            <w:tcW w:w="197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工程实际完成量</w:t>
            </w:r>
          </w:p>
        </w:tc>
        <w:tc>
          <w:tcPr>
            <w:tcW w:w="33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工程数量目标实现程度</w:t>
            </w:r>
          </w:p>
        </w:tc>
        <w:tc>
          <w:tcPr>
            <w:tcW w:w="18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=2638.39平米</w:t>
            </w:r>
          </w:p>
        </w:tc>
        <w:tc>
          <w:tcPr>
            <w:tcW w:w="2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基建工程实施方案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239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质量指标</w:t>
            </w:r>
          </w:p>
        </w:tc>
        <w:tc>
          <w:tcPr>
            <w:tcW w:w="197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工程质量达标率</w:t>
            </w:r>
          </w:p>
        </w:tc>
        <w:tc>
          <w:tcPr>
            <w:tcW w:w="33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工程质量目标实现程度</w:t>
            </w:r>
          </w:p>
        </w:tc>
        <w:tc>
          <w:tcPr>
            <w:tcW w:w="18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2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239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时效指标</w:t>
            </w:r>
          </w:p>
        </w:tc>
        <w:tc>
          <w:tcPr>
            <w:tcW w:w="197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工程按期完成率</w:t>
            </w:r>
          </w:p>
        </w:tc>
        <w:tc>
          <w:tcPr>
            <w:tcW w:w="33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工程完成时间目标实现程度</w:t>
            </w:r>
          </w:p>
        </w:tc>
        <w:tc>
          <w:tcPr>
            <w:tcW w:w="18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2022年底</w:t>
            </w:r>
          </w:p>
        </w:tc>
        <w:tc>
          <w:tcPr>
            <w:tcW w:w="2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18" w:hRule="atLeast"/>
          <w:jc w:val="center"/>
        </w:trPr>
        <w:tc>
          <w:tcPr>
            <w:tcW w:w="239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6"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成本指标</w:t>
            </w:r>
          </w:p>
        </w:tc>
        <w:tc>
          <w:tcPr>
            <w:tcW w:w="1974"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工程成本控制量</w:t>
            </w:r>
          </w:p>
        </w:tc>
        <w:tc>
          <w:tcPr>
            <w:tcW w:w="33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工程成本控制情况</w:t>
            </w:r>
          </w:p>
        </w:tc>
        <w:tc>
          <w:tcPr>
            <w:tcW w:w="1833" w:type="dxa"/>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50万元</w:t>
            </w:r>
          </w:p>
        </w:tc>
        <w:tc>
          <w:tcPr>
            <w:tcW w:w="2154"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大武｛2020｝19号大城县人民武装部关于购置民兵训练基地配套设备的请示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3" w:hRule="atLeast"/>
          <w:jc w:val="center"/>
        </w:trPr>
        <w:tc>
          <w:tcPr>
            <w:tcW w:w="2397"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社会效益指标</w:t>
            </w:r>
          </w:p>
        </w:tc>
        <w:tc>
          <w:tcPr>
            <w:tcW w:w="197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提高民兵队伍执行任务能力</w:t>
            </w:r>
          </w:p>
        </w:tc>
        <w:tc>
          <w:tcPr>
            <w:tcW w:w="33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反映通过修建训练基地，民兵训练素质的增长情况</w:t>
            </w:r>
          </w:p>
        </w:tc>
        <w:tc>
          <w:tcPr>
            <w:tcW w:w="18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增长</w:t>
            </w:r>
          </w:p>
        </w:tc>
        <w:tc>
          <w:tcPr>
            <w:tcW w:w="2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3" w:hRule="atLeast"/>
          <w:jc w:val="center"/>
        </w:trPr>
        <w:tc>
          <w:tcPr>
            <w:tcW w:w="2397"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可持续影响指标</w:t>
            </w:r>
          </w:p>
        </w:tc>
        <w:tc>
          <w:tcPr>
            <w:tcW w:w="197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长期持续性、长期使用性</w:t>
            </w:r>
          </w:p>
        </w:tc>
        <w:tc>
          <w:tcPr>
            <w:tcW w:w="33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反映长期持续性、长期使用性的情况</w:t>
            </w:r>
          </w:p>
        </w:tc>
        <w:tc>
          <w:tcPr>
            <w:tcW w:w="183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w:t>
            </w:r>
          </w:p>
        </w:tc>
        <w:tc>
          <w:tcPr>
            <w:tcW w:w="2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3" w:hRule="atLeast"/>
          <w:jc w:val="center"/>
        </w:trPr>
        <w:tc>
          <w:tcPr>
            <w:tcW w:w="2397"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7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参训民兵满意度</w:t>
            </w:r>
          </w:p>
        </w:tc>
        <w:tc>
          <w:tcPr>
            <w:tcW w:w="33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反映参训民兵对基地的配套设施的满意程度</w:t>
            </w:r>
          </w:p>
        </w:tc>
        <w:tc>
          <w:tcPr>
            <w:tcW w:w="183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97%</w:t>
            </w:r>
          </w:p>
        </w:tc>
        <w:tc>
          <w:tcPr>
            <w:tcW w:w="2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实际调查/工作情况</w:t>
            </w: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ascii="Times New Roman" w:hAnsi="Times New Roman" w:eastAsia="黑体" w:cs="Times New Roman"/>
          <w:sz w:val="32"/>
          <w:szCs w:val="32"/>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vanish/>
          <w:sz w:val="28"/>
          <w:lang w:val="en-US" w:eastAsia="zh-CN"/>
        </w:rPr>
        <w:t xml:space="preserve"> </w:t>
      </w: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2"/>
    </w:p>
    <w:tbl>
      <w:tblPr>
        <w:tblStyle w:val="8"/>
        <w:tblW w:w="156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4"/>
        <w:gridCol w:w="1148"/>
        <w:gridCol w:w="1547"/>
        <w:gridCol w:w="1547"/>
        <w:gridCol w:w="715"/>
        <w:gridCol w:w="915"/>
        <w:gridCol w:w="924"/>
        <w:gridCol w:w="1145"/>
        <w:gridCol w:w="1145"/>
        <w:gridCol w:w="1145"/>
        <w:gridCol w:w="1145"/>
        <w:gridCol w:w="1145"/>
        <w:gridCol w:w="11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tblHeader/>
          <w:jc w:val="center"/>
        </w:trPr>
        <w:tc>
          <w:tcPr>
            <w:tcW w:w="8800"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民兵训练基地本级</w:t>
            </w:r>
          </w:p>
        </w:tc>
        <w:tc>
          <w:tcPr>
            <w:tcW w:w="6879"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tblHeader/>
          <w:jc w:val="center"/>
        </w:trPr>
        <w:tc>
          <w:tcPr>
            <w:tcW w:w="3152"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4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4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15"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15"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24"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79"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7" w:hRule="atLeast"/>
          <w:tblHeader/>
          <w:jc w:val="center"/>
        </w:trPr>
        <w:tc>
          <w:tcPr>
            <w:tcW w:w="200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4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47" w:type="dxa"/>
            <w:vMerge w:val="continue"/>
            <w:shd w:val="clear" w:color="auto" w:fill="auto"/>
            <w:vAlign w:val="center"/>
          </w:tcPr>
          <w:p/>
        </w:tc>
        <w:tc>
          <w:tcPr>
            <w:tcW w:w="1547" w:type="dxa"/>
            <w:vMerge w:val="continue"/>
            <w:shd w:val="clear" w:color="auto" w:fill="auto"/>
            <w:vAlign w:val="center"/>
          </w:tcPr>
          <w:p/>
        </w:tc>
        <w:tc>
          <w:tcPr>
            <w:tcW w:w="715" w:type="dxa"/>
            <w:vMerge w:val="continue"/>
            <w:shd w:val="clear" w:color="auto" w:fill="auto"/>
            <w:vAlign w:val="center"/>
          </w:tcPr>
          <w:p/>
        </w:tc>
        <w:tc>
          <w:tcPr>
            <w:tcW w:w="915" w:type="dxa"/>
            <w:vMerge w:val="continue"/>
            <w:shd w:val="clear" w:color="auto" w:fill="auto"/>
            <w:vAlign w:val="center"/>
          </w:tcPr>
          <w:p/>
        </w:tc>
        <w:tc>
          <w:tcPr>
            <w:tcW w:w="924" w:type="dxa"/>
            <w:vMerge w:val="continue"/>
            <w:shd w:val="clear" w:color="auto" w:fill="auto"/>
            <w:vAlign w:val="center"/>
          </w:tcPr>
          <w:p/>
        </w:tc>
        <w:tc>
          <w:tcPr>
            <w:tcW w:w="1145"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45"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45"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45"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45"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5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jc w:val="center"/>
        </w:trPr>
        <w:tc>
          <w:tcPr>
            <w:tcW w:w="200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48" w:type="dxa"/>
            <w:shd w:val="clear" w:color="auto" w:fill="auto"/>
            <w:vAlign w:val="center"/>
          </w:tcPr>
          <w:p>
            <w:pPr>
              <w:spacing w:line="300" w:lineRule="exact"/>
              <w:jc w:val="right"/>
              <w:rPr>
                <w:rFonts w:ascii="方正书宋_GBK" w:eastAsia="方正书宋_GBK" w:cs="Times New Roman"/>
                <w:b/>
              </w:rPr>
            </w:pPr>
          </w:p>
        </w:tc>
        <w:tc>
          <w:tcPr>
            <w:tcW w:w="1547" w:type="dxa"/>
            <w:shd w:val="clear" w:color="auto" w:fill="auto"/>
            <w:vAlign w:val="center"/>
          </w:tcPr>
          <w:p>
            <w:pPr>
              <w:spacing w:line="300" w:lineRule="exact"/>
              <w:jc w:val="left"/>
              <w:rPr>
                <w:rFonts w:ascii="方正书宋_GBK" w:eastAsia="方正书宋_GBK" w:cs="Times New Roman"/>
                <w:b/>
              </w:rPr>
            </w:pPr>
          </w:p>
        </w:tc>
        <w:tc>
          <w:tcPr>
            <w:tcW w:w="1547" w:type="dxa"/>
            <w:shd w:val="clear" w:color="auto" w:fill="auto"/>
            <w:vAlign w:val="center"/>
          </w:tcPr>
          <w:p>
            <w:pPr>
              <w:spacing w:line="300" w:lineRule="exact"/>
              <w:jc w:val="left"/>
              <w:rPr>
                <w:rFonts w:ascii="方正书宋_GBK" w:eastAsia="方正书宋_GBK" w:cs="Times New Roman"/>
                <w:b/>
              </w:rPr>
            </w:pPr>
          </w:p>
        </w:tc>
        <w:tc>
          <w:tcPr>
            <w:tcW w:w="715" w:type="dxa"/>
            <w:shd w:val="clear" w:color="auto" w:fill="auto"/>
            <w:vAlign w:val="center"/>
          </w:tcPr>
          <w:p>
            <w:pPr>
              <w:spacing w:line="300" w:lineRule="exact"/>
              <w:jc w:val="center"/>
              <w:rPr>
                <w:rFonts w:ascii="方正书宋_GBK" w:eastAsia="方正书宋_GBK" w:cs="Times New Roman"/>
                <w:b/>
              </w:rPr>
            </w:pPr>
          </w:p>
        </w:tc>
        <w:tc>
          <w:tcPr>
            <w:tcW w:w="915" w:type="dxa"/>
            <w:shd w:val="clear" w:color="auto" w:fill="auto"/>
            <w:vAlign w:val="center"/>
          </w:tcPr>
          <w:p>
            <w:pPr>
              <w:spacing w:line="300" w:lineRule="exact"/>
              <w:jc w:val="right"/>
              <w:rPr>
                <w:rFonts w:ascii="方正书宋_GBK" w:eastAsia="方正书宋_GBK" w:cs="Times New Roman"/>
                <w:b/>
              </w:rPr>
            </w:pPr>
          </w:p>
        </w:tc>
        <w:tc>
          <w:tcPr>
            <w:tcW w:w="924" w:type="dxa"/>
            <w:shd w:val="clear" w:color="auto" w:fill="auto"/>
            <w:vAlign w:val="center"/>
          </w:tcPr>
          <w:p>
            <w:pPr>
              <w:spacing w:line="300" w:lineRule="exact"/>
              <w:jc w:val="right"/>
              <w:rPr>
                <w:rFonts w:ascii="方正书宋_GBK" w:eastAsia="方正书宋_GBK" w:cs="Times New Roman"/>
                <w:b/>
              </w:rPr>
            </w:pPr>
          </w:p>
        </w:tc>
        <w:tc>
          <w:tcPr>
            <w:tcW w:w="1145" w:type="dxa"/>
            <w:shd w:val="clear" w:color="auto" w:fill="auto"/>
            <w:vAlign w:val="center"/>
          </w:tcPr>
          <w:p>
            <w:pPr>
              <w:spacing w:line="300" w:lineRule="exact"/>
              <w:jc w:val="right"/>
              <w:rPr>
                <w:rFonts w:ascii="方正书宋_GBK" w:eastAsia="方正书宋_GBK" w:cs="Times New Roman"/>
                <w:b/>
              </w:rPr>
            </w:pPr>
          </w:p>
        </w:tc>
        <w:tc>
          <w:tcPr>
            <w:tcW w:w="1145" w:type="dxa"/>
            <w:shd w:val="clear" w:color="auto" w:fill="auto"/>
            <w:vAlign w:val="center"/>
          </w:tcPr>
          <w:p>
            <w:pPr>
              <w:spacing w:line="300" w:lineRule="exact"/>
              <w:jc w:val="right"/>
              <w:rPr>
                <w:rFonts w:ascii="方正书宋_GBK" w:eastAsia="方正书宋_GBK" w:cs="Times New Roman"/>
                <w:b/>
              </w:rPr>
            </w:pPr>
          </w:p>
        </w:tc>
        <w:tc>
          <w:tcPr>
            <w:tcW w:w="1145" w:type="dxa"/>
            <w:shd w:val="clear" w:color="auto" w:fill="auto"/>
            <w:vAlign w:val="center"/>
          </w:tcPr>
          <w:p>
            <w:pPr>
              <w:spacing w:line="300" w:lineRule="exact"/>
              <w:jc w:val="right"/>
              <w:rPr>
                <w:rFonts w:ascii="方正书宋_GBK" w:eastAsia="方正书宋_GBK" w:cs="Times New Roman"/>
                <w:b/>
              </w:rPr>
            </w:pPr>
          </w:p>
        </w:tc>
        <w:tc>
          <w:tcPr>
            <w:tcW w:w="1145" w:type="dxa"/>
            <w:shd w:val="clear" w:color="auto" w:fill="auto"/>
            <w:vAlign w:val="center"/>
          </w:tcPr>
          <w:p>
            <w:pPr>
              <w:spacing w:line="300" w:lineRule="exact"/>
              <w:jc w:val="right"/>
              <w:rPr>
                <w:rFonts w:ascii="方正书宋_GBK" w:eastAsia="方正书宋_GBK" w:cs="Times New Roman"/>
                <w:b/>
              </w:rPr>
            </w:pPr>
          </w:p>
        </w:tc>
        <w:tc>
          <w:tcPr>
            <w:tcW w:w="1145" w:type="dxa"/>
            <w:shd w:val="clear" w:color="auto" w:fill="auto"/>
            <w:vAlign w:val="center"/>
          </w:tcPr>
          <w:p>
            <w:pPr>
              <w:spacing w:line="300" w:lineRule="exact"/>
              <w:jc w:val="right"/>
              <w:rPr>
                <w:rFonts w:ascii="方正书宋_GBK" w:eastAsia="方正书宋_GBK" w:cs="Times New Roman"/>
                <w:b/>
              </w:rPr>
            </w:pPr>
          </w:p>
        </w:tc>
        <w:tc>
          <w:tcPr>
            <w:tcW w:w="115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jc w:val="center"/>
        </w:trPr>
        <w:tc>
          <w:tcPr>
            <w:tcW w:w="2004" w:type="dxa"/>
            <w:shd w:val="clear" w:color="auto" w:fill="auto"/>
            <w:vAlign w:val="center"/>
          </w:tcPr>
          <w:p>
            <w:pPr>
              <w:spacing w:line="300" w:lineRule="exact"/>
              <w:jc w:val="center"/>
              <w:rPr>
                <w:rFonts w:ascii="方正书宋_GBK" w:eastAsia="方正书宋_GBK" w:cs="Times New Roman"/>
                <w:b w:val="0"/>
                <w:bCs/>
              </w:rPr>
            </w:pPr>
          </w:p>
        </w:tc>
        <w:tc>
          <w:tcPr>
            <w:tcW w:w="1148"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1547"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1547"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715" w:type="dxa"/>
            <w:shd w:val="clear" w:color="auto" w:fill="auto"/>
            <w:vAlign w:val="center"/>
          </w:tcPr>
          <w:p>
            <w:pPr>
              <w:spacing w:line="300" w:lineRule="exact"/>
              <w:jc w:val="center"/>
              <w:rPr>
                <w:rFonts w:hint="eastAsia" w:ascii="方正书宋_GBK" w:eastAsia="方正书宋_GBK" w:cs="Times New Roman"/>
                <w:b w:val="0"/>
                <w:bCs/>
                <w:lang w:eastAsia="zh-CN"/>
              </w:rPr>
            </w:pPr>
          </w:p>
        </w:tc>
        <w:tc>
          <w:tcPr>
            <w:tcW w:w="915" w:type="dxa"/>
            <w:shd w:val="clear" w:color="auto" w:fill="auto"/>
            <w:vAlign w:val="center"/>
          </w:tcPr>
          <w:p>
            <w:pPr>
              <w:spacing w:line="300" w:lineRule="exact"/>
              <w:jc w:val="center"/>
              <w:rPr>
                <w:rFonts w:hint="eastAsia" w:ascii="方正书宋_GBK" w:eastAsia="方正书宋_GBK" w:cs="Times New Roman"/>
                <w:b w:val="0"/>
                <w:bCs/>
                <w:lang w:val="en-US" w:eastAsia="zh-CN"/>
              </w:rPr>
            </w:pPr>
          </w:p>
        </w:tc>
        <w:tc>
          <w:tcPr>
            <w:tcW w:w="924"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45"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45" w:type="dxa"/>
            <w:shd w:val="clear" w:color="auto" w:fill="auto"/>
            <w:vAlign w:val="center"/>
          </w:tcPr>
          <w:p>
            <w:pPr>
              <w:spacing w:line="300" w:lineRule="exact"/>
              <w:jc w:val="center"/>
              <w:rPr>
                <w:rFonts w:hint="default" w:ascii="方正书宋_GBK" w:eastAsia="方正书宋_GBK" w:cs="Times New Roman"/>
                <w:b w:val="0"/>
                <w:bCs/>
                <w:lang w:val="en-US" w:eastAsia="zh-CN"/>
              </w:rPr>
            </w:pPr>
          </w:p>
        </w:tc>
        <w:tc>
          <w:tcPr>
            <w:tcW w:w="1145" w:type="dxa"/>
            <w:shd w:val="clear" w:color="auto" w:fill="auto"/>
            <w:vAlign w:val="center"/>
          </w:tcPr>
          <w:p>
            <w:pPr>
              <w:spacing w:line="300" w:lineRule="exact"/>
              <w:jc w:val="center"/>
              <w:rPr>
                <w:rFonts w:ascii="方正书宋_GBK" w:eastAsia="方正书宋_GBK" w:cs="Times New Roman"/>
                <w:b w:val="0"/>
                <w:bCs/>
              </w:rPr>
            </w:pPr>
          </w:p>
        </w:tc>
        <w:tc>
          <w:tcPr>
            <w:tcW w:w="1145" w:type="dxa"/>
            <w:shd w:val="clear" w:color="auto" w:fill="auto"/>
            <w:vAlign w:val="center"/>
          </w:tcPr>
          <w:p>
            <w:pPr>
              <w:spacing w:line="300" w:lineRule="exact"/>
              <w:jc w:val="right"/>
              <w:rPr>
                <w:rFonts w:ascii="方正书宋_GBK" w:eastAsia="方正书宋_GBK" w:cs="Times New Roman"/>
                <w:b/>
              </w:rPr>
            </w:pPr>
          </w:p>
        </w:tc>
        <w:tc>
          <w:tcPr>
            <w:tcW w:w="1145" w:type="dxa"/>
            <w:shd w:val="clear" w:color="auto" w:fill="auto"/>
            <w:vAlign w:val="center"/>
          </w:tcPr>
          <w:p>
            <w:pPr>
              <w:spacing w:line="300" w:lineRule="exact"/>
              <w:jc w:val="right"/>
              <w:rPr>
                <w:rFonts w:ascii="方正书宋_GBK" w:eastAsia="方正书宋_GBK" w:cs="Times New Roman"/>
                <w:b/>
              </w:rPr>
            </w:pPr>
          </w:p>
        </w:tc>
        <w:tc>
          <w:tcPr>
            <w:tcW w:w="115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jc w:val="center"/>
        </w:trPr>
        <w:tc>
          <w:tcPr>
            <w:tcW w:w="2004" w:type="dxa"/>
            <w:shd w:val="clear" w:color="auto" w:fill="auto"/>
            <w:vAlign w:val="center"/>
          </w:tcPr>
          <w:p>
            <w:pPr>
              <w:spacing w:line="300" w:lineRule="exact"/>
              <w:jc w:val="left"/>
              <w:rPr>
                <w:rFonts w:ascii="方正书宋_GBK" w:eastAsia="方正书宋_GBK" w:cs="Times New Roman"/>
              </w:rPr>
            </w:pPr>
          </w:p>
        </w:tc>
        <w:tc>
          <w:tcPr>
            <w:tcW w:w="1148" w:type="dxa"/>
            <w:shd w:val="clear" w:color="auto" w:fill="auto"/>
            <w:vAlign w:val="center"/>
          </w:tcPr>
          <w:p>
            <w:pPr>
              <w:spacing w:line="300" w:lineRule="exact"/>
              <w:jc w:val="righ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715" w:type="dxa"/>
            <w:shd w:val="clear" w:color="auto" w:fill="auto"/>
            <w:vAlign w:val="center"/>
          </w:tcPr>
          <w:p>
            <w:pPr>
              <w:spacing w:line="300" w:lineRule="exact"/>
              <w:jc w:val="center"/>
              <w:rPr>
                <w:rFonts w:ascii="方正书宋_GBK" w:eastAsia="方正书宋_GBK" w:cs="Times New Roman"/>
              </w:rPr>
            </w:pPr>
          </w:p>
        </w:tc>
        <w:tc>
          <w:tcPr>
            <w:tcW w:w="915" w:type="dxa"/>
            <w:shd w:val="clear" w:color="auto" w:fill="auto"/>
            <w:vAlign w:val="center"/>
          </w:tcPr>
          <w:p>
            <w:pPr>
              <w:spacing w:line="300" w:lineRule="exact"/>
              <w:jc w:val="right"/>
              <w:rPr>
                <w:rFonts w:ascii="方正书宋_GBK" w:eastAsia="方正书宋_GBK" w:cs="Times New Roman"/>
              </w:rPr>
            </w:pPr>
          </w:p>
        </w:tc>
        <w:tc>
          <w:tcPr>
            <w:tcW w:w="924"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5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jc w:val="center"/>
        </w:trPr>
        <w:tc>
          <w:tcPr>
            <w:tcW w:w="2004" w:type="dxa"/>
            <w:shd w:val="clear" w:color="auto" w:fill="auto"/>
            <w:vAlign w:val="center"/>
          </w:tcPr>
          <w:p>
            <w:pPr>
              <w:spacing w:line="300" w:lineRule="exact"/>
              <w:jc w:val="left"/>
              <w:rPr>
                <w:rFonts w:ascii="方正书宋_GBK" w:eastAsia="方正书宋_GBK" w:cs="Times New Roman"/>
              </w:rPr>
            </w:pPr>
          </w:p>
        </w:tc>
        <w:tc>
          <w:tcPr>
            <w:tcW w:w="1148" w:type="dxa"/>
            <w:shd w:val="clear" w:color="auto" w:fill="auto"/>
            <w:vAlign w:val="center"/>
          </w:tcPr>
          <w:p>
            <w:pPr>
              <w:spacing w:line="300" w:lineRule="exact"/>
              <w:jc w:val="righ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715" w:type="dxa"/>
            <w:shd w:val="clear" w:color="auto" w:fill="auto"/>
            <w:vAlign w:val="center"/>
          </w:tcPr>
          <w:p>
            <w:pPr>
              <w:spacing w:line="300" w:lineRule="exact"/>
              <w:jc w:val="center"/>
              <w:rPr>
                <w:rFonts w:ascii="方正书宋_GBK" w:eastAsia="方正书宋_GBK" w:cs="Times New Roman"/>
              </w:rPr>
            </w:pPr>
          </w:p>
        </w:tc>
        <w:tc>
          <w:tcPr>
            <w:tcW w:w="915" w:type="dxa"/>
            <w:shd w:val="clear" w:color="auto" w:fill="auto"/>
            <w:vAlign w:val="center"/>
          </w:tcPr>
          <w:p>
            <w:pPr>
              <w:spacing w:line="300" w:lineRule="exact"/>
              <w:jc w:val="right"/>
              <w:rPr>
                <w:rFonts w:ascii="方正书宋_GBK" w:eastAsia="方正书宋_GBK" w:cs="Times New Roman"/>
              </w:rPr>
            </w:pPr>
          </w:p>
        </w:tc>
        <w:tc>
          <w:tcPr>
            <w:tcW w:w="924"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5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jc w:val="center"/>
        </w:trPr>
        <w:tc>
          <w:tcPr>
            <w:tcW w:w="2004" w:type="dxa"/>
            <w:shd w:val="clear" w:color="auto" w:fill="auto"/>
            <w:vAlign w:val="center"/>
          </w:tcPr>
          <w:p>
            <w:pPr>
              <w:spacing w:line="300" w:lineRule="exact"/>
              <w:jc w:val="left"/>
              <w:rPr>
                <w:rFonts w:ascii="方正书宋_GBK" w:eastAsia="方正书宋_GBK" w:cs="Times New Roman"/>
              </w:rPr>
            </w:pPr>
          </w:p>
        </w:tc>
        <w:tc>
          <w:tcPr>
            <w:tcW w:w="1148" w:type="dxa"/>
            <w:shd w:val="clear" w:color="auto" w:fill="auto"/>
            <w:vAlign w:val="center"/>
          </w:tcPr>
          <w:p>
            <w:pPr>
              <w:spacing w:line="300" w:lineRule="exact"/>
              <w:jc w:val="righ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715" w:type="dxa"/>
            <w:shd w:val="clear" w:color="auto" w:fill="auto"/>
            <w:vAlign w:val="center"/>
          </w:tcPr>
          <w:p>
            <w:pPr>
              <w:spacing w:line="300" w:lineRule="exact"/>
              <w:jc w:val="center"/>
              <w:rPr>
                <w:rFonts w:ascii="方正书宋_GBK" w:eastAsia="方正书宋_GBK" w:cs="Times New Roman"/>
              </w:rPr>
            </w:pPr>
          </w:p>
        </w:tc>
        <w:tc>
          <w:tcPr>
            <w:tcW w:w="915" w:type="dxa"/>
            <w:shd w:val="clear" w:color="auto" w:fill="auto"/>
            <w:vAlign w:val="center"/>
          </w:tcPr>
          <w:p>
            <w:pPr>
              <w:spacing w:line="300" w:lineRule="exact"/>
              <w:jc w:val="right"/>
              <w:rPr>
                <w:rFonts w:ascii="方正书宋_GBK" w:eastAsia="方正书宋_GBK" w:cs="Times New Roman"/>
              </w:rPr>
            </w:pPr>
          </w:p>
        </w:tc>
        <w:tc>
          <w:tcPr>
            <w:tcW w:w="924"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5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jc w:val="center"/>
        </w:trPr>
        <w:tc>
          <w:tcPr>
            <w:tcW w:w="2004" w:type="dxa"/>
            <w:shd w:val="clear" w:color="auto" w:fill="auto"/>
            <w:vAlign w:val="center"/>
          </w:tcPr>
          <w:p>
            <w:pPr>
              <w:spacing w:line="300" w:lineRule="exact"/>
              <w:jc w:val="left"/>
              <w:rPr>
                <w:rFonts w:ascii="方正书宋_GBK" w:eastAsia="方正书宋_GBK" w:cs="Times New Roman"/>
              </w:rPr>
            </w:pPr>
          </w:p>
        </w:tc>
        <w:tc>
          <w:tcPr>
            <w:tcW w:w="1148" w:type="dxa"/>
            <w:shd w:val="clear" w:color="auto" w:fill="auto"/>
            <w:vAlign w:val="center"/>
          </w:tcPr>
          <w:p>
            <w:pPr>
              <w:spacing w:line="300" w:lineRule="exact"/>
              <w:jc w:val="righ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715" w:type="dxa"/>
            <w:shd w:val="clear" w:color="auto" w:fill="auto"/>
            <w:vAlign w:val="center"/>
          </w:tcPr>
          <w:p>
            <w:pPr>
              <w:spacing w:line="300" w:lineRule="exact"/>
              <w:jc w:val="center"/>
              <w:rPr>
                <w:rFonts w:ascii="方正书宋_GBK" w:eastAsia="方正书宋_GBK" w:cs="Times New Roman"/>
              </w:rPr>
            </w:pPr>
          </w:p>
        </w:tc>
        <w:tc>
          <w:tcPr>
            <w:tcW w:w="915" w:type="dxa"/>
            <w:shd w:val="clear" w:color="auto" w:fill="auto"/>
            <w:vAlign w:val="center"/>
          </w:tcPr>
          <w:p>
            <w:pPr>
              <w:spacing w:line="300" w:lineRule="exact"/>
              <w:jc w:val="right"/>
              <w:rPr>
                <w:rFonts w:ascii="方正书宋_GBK" w:eastAsia="方正书宋_GBK" w:cs="Times New Roman"/>
              </w:rPr>
            </w:pPr>
          </w:p>
        </w:tc>
        <w:tc>
          <w:tcPr>
            <w:tcW w:w="924"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5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jc w:val="center"/>
        </w:trPr>
        <w:tc>
          <w:tcPr>
            <w:tcW w:w="2004" w:type="dxa"/>
            <w:shd w:val="clear" w:color="auto" w:fill="auto"/>
            <w:vAlign w:val="center"/>
          </w:tcPr>
          <w:p>
            <w:pPr>
              <w:spacing w:line="300" w:lineRule="exact"/>
              <w:jc w:val="left"/>
              <w:rPr>
                <w:rFonts w:ascii="方正书宋_GBK" w:eastAsia="方正书宋_GBK" w:cs="Times New Roman"/>
              </w:rPr>
            </w:pPr>
          </w:p>
        </w:tc>
        <w:tc>
          <w:tcPr>
            <w:tcW w:w="1148" w:type="dxa"/>
            <w:shd w:val="clear" w:color="auto" w:fill="auto"/>
            <w:vAlign w:val="center"/>
          </w:tcPr>
          <w:p>
            <w:pPr>
              <w:spacing w:line="300" w:lineRule="exact"/>
              <w:jc w:val="righ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715" w:type="dxa"/>
            <w:shd w:val="clear" w:color="auto" w:fill="auto"/>
            <w:vAlign w:val="center"/>
          </w:tcPr>
          <w:p>
            <w:pPr>
              <w:spacing w:line="300" w:lineRule="exact"/>
              <w:jc w:val="center"/>
              <w:rPr>
                <w:rFonts w:ascii="方正书宋_GBK" w:eastAsia="方正书宋_GBK" w:cs="Times New Roman"/>
              </w:rPr>
            </w:pPr>
          </w:p>
        </w:tc>
        <w:tc>
          <w:tcPr>
            <w:tcW w:w="915" w:type="dxa"/>
            <w:shd w:val="clear" w:color="auto" w:fill="auto"/>
            <w:vAlign w:val="center"/>
          </w:tcPr>
          <w:p>
            <w:pPr>
              <w:spacing w:line="300" w:lineRule="exact"/>
              <w:jc w:val="right"/>
              <w:rPr>
                <w:rFonts w:ascii="方正书宋_GBK" w:eastAsia="方正书宋_GBK" w:cs="Times New Roman"/>
              </w:rPr>
            </w:pPr>
          </w:p>
        </w:tc>
        <w:tc>
          <w:tcPr>
            <w:tcW w:w="924"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5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2" w:hRule="atLeast"/>
          <w:jc w:val="center"/>
        </w:trPr>
        <w:tc>
          <w:tcPr>
            <w:tcW w:w="2004" w:type="dxa"/>
            <w:shd w:val="clear" w:color="auto" w:fill="auto"/>
            <w:vAlign w:val="center"/>
          </w:tcPr>
          <w:p>
            <w:pPr>
              <w:spacing w:line="300" w:lineRule="exact"/>
              <w:jc w:val="left"/>
              <w:rPr>
                <w:rFonts w:ascii="方正书宋_GBK" w:eastAsia="方正书宋_GBK" w:cs="Times New Roman"/>
              </w:rPr>
            </w:pPr>
          </w:p>
        </w:tc>
        <w:tc>
          <w:tcPr>
            <w:tcW w:w="1148" w:type="dxa"/>
            <w:shd w:val="clear" w:color="auto" w:fill="auto"/>
            <w:vAlign w:val="center"/>
          </w:tcPr>
          <w:p>
            <w:pPr>
              <w:spacing w:line="300" w:lineRule="exact"/>
              <w:jc w:val="righ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1547" w:type="dxa"/>
            <w:shd w:val="clear" w:color="auto" w:fill="auto"/>
            <w:vAlign w:val="center"/>
          </w:tcPr>
          <w:p>
            <w:pPr>
              <w:spacing w:line="300" w:lineRule="exact"/>
              <w:jc w:val="left"/>
              <w:rPr>
                <w:rFonts w:ascii="方正书宋_GBK" w:eastAsia="方正书宋_GBK" w:cs="Times New Roman"/>
              </w:rPr>
            </w:pPr>
          </w:p>
        </w:tc>
        <w:tc>
          <w:tcPr>
            <w:tcW w:w="715" w:type="dxa"/>
            <w:shd w:val="clear" w:color="auto" w:fill="auto"/>
            <w:vAlign w:val="center"/>
          </w:tcPr>
          <w:p>
            <w:pPr>
              <w:spacing w:line="300" w:lineRule="exact"/>
              <w:jc w:val="center"/>
              <w:rPr>
                <w:rFonts w:ascii="方正书宋_GBK" w:eastAsia="方正书宋_GBK" w:cs="Times New Roman"/>
              </w:rPr>
            </w:pPr>
          </w:p>
        </w:tc>
        <w:tc>
          <w:tcPr>
            <w:tcW w:w="915" w:type="dxa"/>
            <w:shd w:val="clear" w:color="auto" w:fill="auto"/>
            <w:vAlign w:val="center"/>
          </w:tcPr>
          <w:p>
            <w:pPr>
              <w:spacing w:line="300" w:lineRule="exact"/>
              <w:jc w:val="right"/>
              <w:rPr>
                <w:rFonts w:ascii="方正书宋_GBK" w:eastAsia="方正书宋_GBK" w:cs="Times New Roman"/>
              </w:rPr>
            </w:pPr>
          </w:p>
        </w:tc>
        <w:tc>
          <w:tcPr>
            <w:tcW w:w="924"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45" w:type="dxa"/>
            <w:shd w:val="clear" w:color="auto" w:fill="auto"/>
            <w:vAlign w:val="center"/>
          </w:tcPr>
          <w:p>
            <w:pPr>
              <w:spacing w:line="300" w:lineRule="exact"/>
              <w:jc w:val="right"/>
              <w:rPr>
                <w:rFonts w:ascii="方正书宋_GBK" w:eastAsia="方正书宋_GBK" w:cs="Times New Roman"/>
              </w:rPr>
            </w:pPr>
          </w:p>
        </w:tc>
        <w:tc>
          <w:tcPr>
            <w:tcW w:w="1154" w:type="dxa"/>
            <w:shd w:val="clear" w:color="auto" w:fill="auto"/>
            <w:vAlign w:val="center"/>
          </w:tcPr>
          <w:p>
            <w:pPr>
              <w:spacing w:line="300" w:lineRule="exact"/>
              <w:jc w:val="right"/>
              <w:rPr>
                <w:rFonts w:ascii="方正书宋_GBK" w:eastAsia="方正书宋_GBK" w:cs="Times New Roman"/>
              </w:rPr>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30.88</w:t>
      </w:r>
      <w:r>
        <w:rPr>
          <w:rFonts w:ascii="Times New Roman" w:hAnsi="Times New Roman" w:eastAsia="仿宋_GB2312" w:cs="Times New Roman"/>
          <w:sz w:val="32"/>
          <w:szCs w:val="32"/>
        </w:rPr>
        <w:t>万元，本年度我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民兵训练基地本级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C19D7"/>
    <w:multiLevelType w:val="singleLevel"/>
    <w:tmpl w:val="B8EC19D7"/>
    <w:lvl w:ilvl="0" w:tentative="0">
      <w:start w:val="3"/>
      <w:numFmt w:val="decimal"/>
      <w:lvlText w:val="%1."/>
      <w:lvlJc w:val="left"/>
      <w:pPr>
        <w:tabs>
          <w:tab w:val="left" w:pos="312"/>
        </w:tabs>
      </w:pPr>
    </w:lvl>
  </w:abstractNum>
  <w:abstractNum w:abstractNumId="1">
    <w:nsid w:val="242E8674"/>
    <w:multiLevelType w:val="singleLevel"/>
    <w:tmpl w:val="242E8674"/>
    <w:lvl w:ilvl="0" w:tentative="0">
      <w:start w:val="2"/>
      <w:numFmt w:val="decimal"/>
      <w:lvlText w:val="%1."/>
      <w:lvlJc w:val="left"/>
      <w:pPr>
        <w:tabs>
          <w:tab w:val="left" w:pos="312"/>
        </w:tabs>
      </w:pPr>
    </w:lvl>
  </w:abstractNum>
  <w:abstractNum w:abstractNumId="2">
    <w:nsid w:val="3DD18853"/>
    <w:multiLevelType w:val="singleLevel"/>
    <w:tmpl w:val="3DD18853"/>
    <w:lvl w:ilvl="0" w:tentative="0">
      <w:start w:val="2"/>
      <w:numFmt w:val="chineseCounting"/>
      <w:suff w:val="nothing"/>
      <w:lvlText w:val="%1、"/>
      <w:lvlJc w:val="left"/>
      <w:rPr>
        <w:rFonts w:hint="eastAsia"/>
      </w:rPr>
    </w:lvl>
  </w:abstractNum>
  <w:abstractNum w:abstractNumId="3">
    <w:nsid w:val="3EA97FD6"/>
    <w:multiLevelType w:val="singleLevel"/>
    <w:tmpl w:val="3EA97FD6"/>
    <w:lvl w:ilvl="0" w:tentative="0">
      <w:start w:val="4"/>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FkODQ1ODI3YjE4ZTA1MmE1ZjZjZmJiZTdjNzQ5NTQifQ=="/>
  </w:docVars>
  <w:rsids>
    <w:rsidRoot w:val="00D347CC"/>
    <w:rsid w:val="004A54AA"/>
    <w:rsid w:val="00A348EB"/>
    <w:rsid w:val="00B80935"/>
    <w:rsid w:val="00D347CC"/>
    <w:rsid w:val="013A2EDA"/>
    <w:rsid w:val="02732F88"/>
    <w:rsid w:val="02ED18F5"/>
    <w:rsid w:val="036B42F6"/>
    <w:rsid w:val="06D40AEF"/>
    <w:rsid w:val="06FC7C8A"/>
    <w:rsid w:val="07FE4C54"/>
    <w:rsid w:val="087C59E1"/>
    <w:rsid w:val="08F17C18"/>
    <w:rsid w:val="0B8640B9"/>
    <w:rsid w:val="0BE3000C"/>
    <w:rsid w:val="0C942F08"/>
    <w:rsid w:val="0D337282"/>
    <w:rsid w:val="10306074"/>
    <w:rsid w:val="14B75B62"/>
    <w:rsid w:val="166A7CD9"/>
    <w:rsid w:val="18227E83"/>
    <w:rsid w:val="194D5548"/>
    <w:rsid w:val="1A0256C7"/>
    <w:rsid w:val="1AEE25CF"/>
    <w:rsid w:val="1B9169BD"/>
    <w:rsid w:val="1C133195"/>
    <w:rsid w:val="1D3938CE"/>
    <w:rsid w:val="1DDA0899"/>
    <w:rsid w:val="1F153CE8"/>
    <w:rsid w:val="1FA17F3E"/>
    <w:rsid w:val="24A72FD6"/>
    <w:rsid w:val="25086390"/>
    <w:rsid w:val="250F4166"/>
    <w:rsid w:val="26123616"/>
    <w:rsid w:val="26C92C5D"/>
    <w:rsid w:val="270F5EE3"/>
    <w:rsid w:val="277125BE"/>
    <w:rsid w:val="28CF027D"/>
    <w:rsid w:val="2D9728B7"/>
    <w:rsid w:val="2E697C4C"/>
    <w:rsid w:val="2F680ACF"/>
    <w:rsid w:val="30B11EC9"/>
    <w:rsid w:val="32805EA8"/>
    <w:rsid w:val="32DD614E"/>
    <w:rsid w:val="34B025C1"/>
    <w:rsid w:val="36E23E09"/>
    <w:rsid w:val="378C62F1"/>
    <w:rsid w:val="37CB65F4"/>
    <w:rsid w:val="38742FE5"/>
    <w:rsid w:val="38E86458"/>
    <w:rsid w:val="3AED3825"/>
    <w:rsid w:val="3D5C4912"/>
    <w:rsid w:val="3DDD735A"/>
    <w:rsid w:val="3F8A033F"/>
    <w:rsid w:val="40374002"/>
    <w:rsid w:val="43014594"/>
    <w:rsid w:val="43E747EB"/>
    <w:rsid w:val="45DA351F"/>
    <w:rsid w:val="45FC5153"/>
    <w:rsid w:val="46682F99"/>
    <w:rsid w:val="4668433B"/>
    <w:rsid w:val="46E71798"/>
    <w:rsid w:val="49634005"/>
    <w:rsid w:val="49717335"/>
    <w:rsid w:val="49C30B37"/>
    <w:rsid w:val="4A57197A"/>
    <w:rsid w:val="4AD0716C"/>
    <w:rsid w:val="4C1309AF"/>
    <w:rsid w:val="4CCE387C"/>
    <w:rsid w:val="4E062923"/>
    <w:rsid w:val="4F750978"/>
    <w:rsid w:val="506568B4"/>
    <w:rsid w:val="508605D9"/>
    <w:rsid w:val="523A3795"/>
    <w:rsid w:val="529F39C7"/>
    <w:rsid w:val="5357612F"/>
    <w:rsid w:val="54162822"/>
    <w:rsid w:val="552C49CA"/>
    <w:rsid w:val="55E73D2F"/>
    <w:rsid w:val="56406D18"/>
    <w:rsid w:val="58A137B4"/>
    <w:rsid w:val="58AF03AE"/>
    <w:rsid w:val="59C46BA1"/>
    <w:rsid w:val="59E6060A"/>
    <w:rsid w:val="5A090768"/>
    <w:rsid w:val="5A6A7EA6"/>
    <w:rsid w:val="5B177F52"/>
    <w:rsid w:val="5BE9378A"/>
    <w:rsid w:val="5C7E1F12"/>
    <w:rsid w:val="608F4B05"/>
    <w:rsid w:val="610105B8"/>
    <w:rsid w:val="63D158F2"/>
    <w:rsid w:val="66351BCB"/>
    <w:rsid w:val="67FB398A"/>
    <w:rsid w:val="687C0C91"/>
    <w:rsid w:val="6A1E4F6D"/>
    <w:rsid w:val="6A3B3474"/>
    <w:rsid w:val="6D0D4676"/>
    <w:rsid w:val="6D686D7A"/>
    <w:rsid w:val="6EF369B1"/>
    <w:rsid w:val="707F2C23"/>
    <w:rsid w:val="70E57B3B"/>
    <w:rsid w:val="713D3C4A"/>
    <w:rsid w:val="71A66FCE"/>
    <w:rsid w:val="73A87375"/>
    <w:rsid w:val="74AE2B63"/>
    <w:rsid w:val="7693525B"/>
    <w:rsid w:val="7863699D"/>
    <w:rsid w:val="78A83DBD"/>
    <w:rsid w:val="79341AC6"/>
    <w:rsid w:val="79964022"/>
    <w:rsid w:val="7A3A3474"/>
    <w:rsid w:val="7A411B9B"/>
    <w:rsid w:val="7A6C3AF2"/>
    <w:rsid w:val="7C3E04B9"/>
    <w:rsid w:val="7EFA2FBC"/>
    <w:rsid w:val="7FAD34C0"/>
    <w:rsid w:val="7FE30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 w:type="character" w:customStyle="1" w:styleId="13">
    <w:name w:val="font41"/>
    <w:basedOn w:val="9"/>
    <w:qFormat/>
    <w:uiPriority w:val="0"/>
    <w:rPr>
      <w:rFonts w:hint="eastAsia" w:ascii="宋体" w:hAnsi="宋体" w:eastAsia="宋体" w:cs="宋体"/>
      <w:color w:val="000000"/>
      <w:sz w:val="22"/>
      <w:szCs w:val="22"/>
      <w:u w:val="none"/>
    </w:rPr>
  </w:style>
  <w:style w:type="character" w:customStyle="1" w:styleId="14">
    <w:name w:val="font11"/>
    <w:basedOn w:val="9"/>
    <w:qFormat/>
    <w:uiPriority w:val="0"/>
    <w:rPr>
      <w:rFonts w:hint="eastAsia" w:ascii="宋体" w:hAnsi="宋体" w:eastAsia="宋体" w:cs="宋体"/>
      <w:color w:val="000000"/>
      <w:sz w:val="22"/>
      <w:szCs w:val="22"/>
      <w:u w:val="none"/>
    </w:rPr>
  </w:style>
  <w:style w:type="character" w:customStyle="1" w:styleId="15">
    <w:name w:val="font21"/>
    <w:basedOn w:val="9"/>
    <w:qFormat/>
    <w:uiPriority w:val="0"/>
    <w:rPr>
      <w:rFonts w:hint="eastAsia" w:ascii="宋体" w:hAnsi="宋体" w:eastAsia="宋体" w:cs="宋体"/>
      <w:color w:val="000000"/>
      <w:sz w:val="22"/>
      <w:szCs w:val="22"/>
      <w:u w:val="none"/>
    </w:rPr>
  </w:style>
  <w:style w:type="character" w:customStyle="1" w:styleId="16">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0</TotalTime>
  <ScaleCrop>false</ScaleCrop>
  <LinksUpToDate>false</LinksUpToDate>
  <CharactersWithSpaces>3294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仝仝</cp:lastModifiedBy>
  <cp:lastPrinted>2022-03-28T07:13:00Z</cp:lastPrinted>
  <dcterms:modified xsi:type="dcterms:W3CDTF">2023-08-07T09:22:55Z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E8F324BF07EC42B0B2159CBB4BE17433</vt:lpwstr>
  </property>
</Properties>
</file>