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w:t>
      </w:r>
      <w:r>
        <w:rPr>
          <w:rFonts w:hint="eastAsia" w:ascii="Times New Roman" w:hAnsi="Times New Roman" w:eastAsia="方正小标宋简体" w:cs="Times New Roman"/>
          <w:sz w:val="44"/>
          <w:szCs w:val="44"/>
          <w:lang w:eastAsia="zh-CN"/>
        </w:rPr>
        <w:t>大城</w:t>
      </w:r>
      <w:r>
        <w:rPr>
          <w:rFonts w:hint="eastAsia" w:ascii="Times New Roman" w:hAnsi="Times New Roman" w:eastAsia="方正小标宋简体" w:cs="Times New Roman"/>
          <w:sz w:val="44"/>
          <w:szCs w:val="44"/>
          <w:lang w:val="en-US" w:eastAsia="zh-CN"/>
        </w:rPr>
        <w:t>县委统一战线工作部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委统战部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市、县委关于统一战线工作重大决策部署，巩固壮大最广泛的统一战线。</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开展统一战线理论研究，研究拟定统一战线工作政策并推动落实，深入调查研究，及时向县委报告统一战线工作情况并提出建议，统筹协调和指导各部门各单位统一战线工作。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发现、培养党外人士，负责党外人士的政治安排，会同有关部门做好安排党外人士担任政府和司法机关等领导职务的工作，协助民主党派、县工商联和县有关团体做好干部管理工作，反映和协调解决党外代表人士工作生活中的实际困难。</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贯彻落实党的宣传工作方针，统筹推进全县统一战线宣传工作，拟定全县统一战线宣传工作规划并组织实施，研判涉及统一战线的舆情并协调有关部门应对处置。</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负责联系各民主党派，通报情况、反映意见，贯彻落实中国共产党领导的多党合作和政治协商制度以及对民主党派的方针策略，支持、帮助民主党派加强自身建设，做好支持民主党派履行职责发挥作用的工作。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执行党中央、国务院和省委、省政府、市委、市政府民族宗教工作方针政策、法律法规和县委、县政府决策部署；组织开展民族宗教理论、政策及重大问题的调查研究，提出有关民族宗教工作的政策建议。负责协调指导有关部门、有关领域落实民族宗教政策，促进民族宗教工作开展。负责起草民族宗教方面的规范性文件和有关政策规定，督促检查政策、法规落实情况，保障少数民族和信教群众的合法权益。联系民族自制地方，负责协调指导《中华</w:t>
      </w:r>
      <w:r>
        <w:rPr>
          <w:rFonts w:hint="eastAsia" w:ascii="仿宋" w:hAnsi="仿宋" w:eastAsia="仿宋" w:cs="仿宋"/>
          <w:sz w:val="32"/>
          <w:szCs w:val="32"/>
          <w:lang w:eastAsia="zh-CN"/>
        </w:rPr>
        <w:t>人民</w:t>
      </w:r>
      <w:r>
        <w:rPr>
          <w:rFonts w:hint="eastAsia" w:ascii="仿宋" w:hAnsi="仿宋" w:eastAsia="仿宋" w:cs="仿宋"/>
          <w:sz w:val="32"/>
          <w:szCs w:val="32"/>
        </w:rPr>
        <w:t>共和国民族区域自治法》的贯彻实施。研究提出协调民族关系工作建议，协调处理民族关系的重大事项，参与协调指导涉及民族事务突发事件处置和民族地区社会稳定工作。参与拟订少数民族和民族地区经济社会发展相关领域的发展规划，并监督实施。研究分析少数民族和民族地区经济社会发展重大问题并提出差别化政策建议；参与协调民族地区科技发展、对口支援、经济技术协作、扶贫开发和民族贸易、民族特需商品生产的有关工作。负责组织指导民族政策、民族法律法规和民族基本知识宣传教育；组织开展民族团体宣传教育、民族团结进步创建活动；组织协调民族自治地方重大庆典活动。提出少数民族和民族地区文化、教育、科技、卫生、体育、艺术、语言文字、新闻出版等社会是事业发展有关政策建议。负责组织协调民族工作领域对外和对港澳台交流与合作有关工作，参与涉及民族事务对外宣传工作。参与拟定少数民族人才队伍建设规划；协助有关部门做好少数民族干部培养、教育和使用工作。依法管理宗教行政事务，保护公民宗教信仰自由和正常的宗教活动，维护宗教界的合法权益，引导各宗教坚持中国话方向。指导宗教团体依法依章程开展工作，加强自身建设；承担代表人士在宗教团体的安排工作。依法治理宗教领域的突出问题，抵御境外利用宗教进行渗透，配合有关部门做好防范和处理邪教工作。负责指导、协调、监督管理宗教界依法开展公益、慈善事业。负责指导全县各镇（区）及时处理民族宗教方面的突发事件和影响社会稳定的问题。</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联系、培养无党派代表人士，支持、帮助无党派人士加强自身建设、发挥作用。调查研究党外知识分子和新的社会阶层人士情况并提出政策建议，联系、培养党外知识分子和新的社会阶层代表人士，开展思想政治工作，指导学校、国有企业等有关单位和社会组织开展党外知识分子和新的社会阶层人士统战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参与制定、推动落实鼓励支持引导非公有制经济发展的政策措施，调查研究非公有制经济人士情况并提出政策建议，了解和反应非公有制经济人士的意见，团结、服务、引导、教育非公有制经济人士，促进非公有制经济健康发展和非公有制经济纪人士健康成长。</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统一领导全县海外统战工作，牵头开展港澳统战工作。贯彻落实党的海外统战工作措施并组织协调、督促检查落实，会同有关部门对香港、澳门有关党派、团体及代表人士，联系海外有关社团及代表人士，做好统一战线外事管理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执行党中央、国务院对台工作的方针政策。在县委、县政府的统一领导下，开展对台工作调查并结合我县实际提出对策和建议。对全县涉台工作实施统一管理。组织、指导、管理、协调县委、县政府各部门和各镇（区）的对台工作；检查了解各镇（区）、县直各部门对党中央、国务院对台方针政策和省委、省政府，市委、市政府，县委、县政府有关对台工作指示贯彻落实情况。调查研究台湾形势和经贸之间交流往来动向，提出对策建议。统筹协调涉台法律事务。会同有关部门统筹协调和指导对台经贸工作。组织重要台商的投资活动，参与县政府对台大型招商活动。协调、指导全县涉台金融、文化、学术、教育、科技、体育、卫生等领域的交流与合作及人员往来工作。负责我县赴台交流事项的申报、赴台交流人员的行前指导及归后总结工作；负责对台湾上层重点人士的联络和我县台胞的接待服务工作。负责全县对台宣传和涉台教育工作。指导全县宣传媒体涉台新闻报道工作；负责全县有关涉台事务的新闻发布；协调、处理县内涉台重大事件；负责对全县对台工作干部的培训工作。指导民主党派、工商联和其他群众团体有关重点人士、重大活动方面的涉台工作。按中央有关规定，负责全县对台接触的组织实施。负责县委对台工作领导小组的日常工作。完成县委、县政府和市台办交办的其他任务。</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统一管理全县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县内的合法权利和利益。</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受县委委托，领导县工商联党组，指导工商联工作。做好统一战线有关单位和团体的管理工作。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承办县委、县政府和上级业务主管部门交办的其他事项。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中共河北省大城县委统一战线工作部</w:t>
            </w:r>
          </w:p>
        </w:tc>
        <w:tc>
          <w:tcPr>
            <w:tcW w:w="1134" w:type="dxa"/>
            <w:shd w:val="clear" w:color="auto" w:fill="auto"/>
            <w:vAlign w:val="center"/>
          </w:tcPr>
          <w:p>
            <w:pPr>
              <w:spacing w:line="620"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spacing w:line="620"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620"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225.32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208.19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17.14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117.84</w:t>
      </w:r>
      <w:r>
        <w:rPr>
          <w:rFonts w:ascii="Times New Roman" w:hAnsi="Times New Roman" w:eastAsia="仿宋_GB2312" w:cs="Times New Roman"/>
          <w:sz w:val="32"/>
          <w:szCs w:val="32"/>
        </w:rPr>
        <w:t>万元，主要</w:t>
      </w:r>
      <w:r>
        <w:rPr>
          <w:rFonts w:hint="eastAsia" w:ascii="仿宋_GB2312" w:hAnsi="Times New Roman" w:eastAsia="仿宋_GB2312" w:cs="Times New Roman"/>
          <w:sz w:val="32"/>
          <w:szCs w:val="32"/>
        </w:rPr>
        <w:t>为民族事业经费、新社会阶层工作经费、宗教场所维修经费</w:t>
      </w:r>
      <w:r>
        <w:rPr>
          <w:rFonts w:hint="eastAsia" w:ascii="仿宋_GB2312" w:hAnsi="Times New Roman" w:eastAsia="仿宋_GB2312" w:cs="Times New Roman"/>
          <w:sz w:val="32"/>
          <w:szCs w:val="32"/>
          <w:lang w:eastAsia="zh-CN"/>
        </w:rPr>
        <w:t>等项目支出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w:t>
      </w:r>
      <w:r>
        <w:rPr>
          <w:rFonts w:hint="eastAsia" w:ascii="Times New Roman" w:hAnsi="Times New Roman" w:eastAsia="仿宋_GB2312" w:cs="Times New Roman"/>
          <w:sz w:val="32"/>
          <w:szCs w:val="32"/>
          <w:lang w:eastAsia="zh-CN"/>
        </w:rPr>
        <w:t>加</w:t>
      </w:r>
      <w:r>
        <w:rPr>
          <w:rFonts w:hint="eastAsia" w:ascii="Times New Roman" w:hAnsi="Times New Roman" w:eastAsia="仿宋_GB2312" w:cs="Times New Roman"/>
          <w:sz w:val="32"/>
          <w:szCs w:val="32"/>
          <w:lang w:val="en-US" w:eastAsia="zh-CN"/>
        </w:rPr>
        <w:t>128.82</w:t>
      </w:r>
      <w:r>
        <w:rPr>
          <w:rFonts w:hint="eastAsia" w:ascii="Times New Roman" w:hAnsi="Times New Roman" w:eastAsia="仿宋_GB2312" w:cs="Times New Roman"/>
          <w:sz w:val="32"/>
          <w:szCs w:val="32"/>
          <w:lang w:eastAsia="zh-CN"/>
        </w:rPr>
        <w:t>万元，其中：基本支出增加</w:t>
      </w:r>
      <w:r>
        <w:rPr>
          <w:rFonts w:hint="eastAsia" w:ascii="Times New Roman" w:hAnsi="Times New Roman" w:eastAsia="仿宋_GB2312" w:cs="Times New Roman"/>
          <w:sz w:val="32"/>
          <w:szCs w:val="32"/>
          <w:lang w:val="en-US" w:eastAsia="zh-CN"/>
        </w:rPr>
        <w:t>27.82</w:t>
      </w:r>
      <w:r>
        <w:rPr>
          <w:rFonts w:hint="eastAsia" w:ascii="Times New Roman" w:hAnsi="Times New Roman" w:eastAsia="仿宋_GB2312" w:cs="Times New Roman"/>
          <w:sz w:val="32"/>
          <w:szCs w:val="32"/>
          <w:lang w:eastAsia="zh-CN"/>
        </w:rPr>
        <w:t>万元，主要为人员支出；项目支出增加</w:t>
      </w:r>
      <w:r>
        <w:rPr>
          <w:rFonts w:hint="eastAsia" w:ascii="Times New Roman" w:hAnsi="Times New Roman" w:eastAsia="仿宋_GB2312" w:cs="Times New Roman"/>
          <w:sz w:val="32"/>
          <w:szCs w:val="32"/>
          <w:lang w:val="en-US" w:eastAsia="zh-CN"/>
        </w:rPr>
        <w:t>101</w:t>
      </w:r>
      <w:r>
        <w:rPr>
          <w:rFonts w:hint="eastAsia" w:ascii="Times New Roman" w:hAnsi="Times New Roman" w:eastAsia="仿宋_GB2312" w:cs="Times New Roman"/>
          <w:sz w:val="32"/>
          <w:szCs w:val="32"/>
          <w:lang w:eastAsia="zh-CN"/>
        </w:rPr>
        <w:t>万元，主要为构建大统战格局</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17.14</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仿宋_GB2312"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其中，因公出国（境）费0万元；公务用车购置及运维费3万元（其中：公务用车购置费为0万元，公务用车运维费3万元)；公务接待费0万元。与202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仿宋_GB2312" w:hAnsi="Times New Roman" w:eastAsia="仿宋_GB2312" w:cs="Times New Roman"/>
          <w:sz w:val="32"/>
          <w:szCs w:val="32"/>
          <w:lang w:eastAsia="zh-CN"/>
        </w:rPr>
        <w:t>（与单位</w:t>
      </w:r>
      <w:r>
        <w:rPr>
          <w:rFonts w:hint="eastAsia" w:ascii="仿宋_GB2312" w:hAnsi="Times New Roman" w:eastAsia="仿宋_GB2312" w:cs="Times New Roman"/>
          <w:sz w:val="32"/>
          <w:szCs w:val="32"/>
        </w:rPr>
        <w:t>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hAnsi="Times New Roman" w:eastAsia="仿宋_GB2312"/>
          <w:color w:val="000000"/>
          <w:kern w:val="0"/>
          <w:sz w:val="32"/>
          <w:szCs w:val="32"/>
        </w:rPr>
        <w:t>组织贯彻执行中央、省、市、县委关于党的统一战线方针、政策、指示、决议并对贯彻落实各项统战方针、政策进行督促检查；负责党外人士的政治安排，会同县委组织部做好培养、选拔工作；协调检查有关民族、宗教工作方针、政策的落实情况，联系宗教界、少数民族的代表人士。开展以经济建设为中心，祖国统一为重点的海外统战工作，联系海外有关社团及代表人士；负责开展经济领域的统战工作，联系非公有制经济代表人士，调查、研究并反映我县非公有制经济代表人士的情况、协调关系、提出意见和建议；调查研究党外知识分子的情况，反映党外知识分子的意见，协调关系、提出政策建议；完成县委和上级业务部门交办的其他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一、完成宗教</w:t>
      </w:r>
      <w:r>
        <w:rPr>
          <w:rFonts w:hint="default" w:ascii="仿宋_GB2312" w:hAnsi="Times New Roman" w:eastAsia="仿宋_GB2312"/>
          <w:color w:val="000000"/>
          <w:kern w:val="0"/>
          <w:sz w:val="32"/>
          <w:szCs w:val="32"/>
          <w:lang w:val="en-US" w:eastAsia="zh-CN"/>
        </w:rPr>
        <w:t>管理</w:t>
      </w:r>
      <w:r>
        <w:rPr>
          <w:rFonts w:hint="eastAsia" w:ascii="仿宋_GB2312" w:hAnsi="Times New Roman" w:eastAsia="仿宋_GB2312"/>
          <w:color w:val="000000"/>
          <w:kern w:val="0"/>
          <w:sz w:val="32"/>
          <w:szCs w:val="32"/>
          <w:lang w:val="en-US" w:eastAsia="zh-CN"/>
        </w:rPr>
        <w:t>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绩效目标：着力解决制约宗教工作的突出问题、加强党的宗教理论政策宣传教育，提升宗教工作法治水平，加强爱国力量建设。</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绩效指标：准确把握宗教工作面临的形势和任务，坚持综合治理、依法管理构建和谐共处的宗教环境。</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二、完成统战（党外）管理工作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绩效目标：提升党外代表人士的政治把握、参政议政、组织领导、合作共事和解决自身问题的能力，充分发挥党外知识分子的知名度和影响力，开展党外工作良好的社会氛围。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绩效指标：为推动大城发展，提供强有力的思想保证和人才支持。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三、完成非公有制管理工作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绩效目标：切实加强领导、政府及有关部门制定非公有制经济有关政策和在协调非公有制经济有关工作时，广泛征求和听取非公经济人士的意见。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绩效指标：充分发挥非公经济人士在统战工作的重要作用。</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四、完成对台管理工作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绩效目标：促进两岸民间往来，加强与反对“台独”，主张发展两岸关系的台湾各党派、团体和各界人士的交流。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绩效指标：努力做好争取台湾民心的工作。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五、完成新社会阶层管理工作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绩效目标：把新的社会阶层人士作为统一战线工作新的着力点，最大限度地把他们团结在党的周围。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绩效指标：形成新的社会阶层人士统战工作的合力，不断为建设“产业强县、大美大城”凝聚新力量。</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六、完成少数民族发展管理工作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绩效目标：促进少数民族地方经济发展</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绩效指标：帮扶少数民族地区经济发展，改善贫困地区生产生活条件</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七、完成归国华侨管理工作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绩效目标：帮助归国华侨适应国内生活。</w:t>
      </w:r>
    </w:p>
    <w:p>
      <w:pPr>
        <w:spacing w:line="584" w:lineRule="exact"/>
        <w:ind w:firstLine="640" w:firstLineChars="200"/>
        <w:rPr>
          <w:rFonts w:ascii="仿宋_GB2312" w:eastAsia="仿宋_GB2312" w:cs="Times New Roman"/>
          <w:sz w:val="32"/>
          <w:szCs w:val="32"/>
        </w:rPr>
      </w:pPr>
      <w:r>
        <w:rPr>
          <w:rFonts w:hint="eastAsia" w:ascii="仿宋_GB2312" w:hAnsi="Times New Roman" w:eastAsia="仿宋_GB2312"/>
          <w:color w:val="000000"/>
          <w:kern w:val="0"/>
          <w:sz w:val="32"/>
          <w:szCs w:val="32"/>
          <w:lang w:val="en-US" w:eastAsia="zh-CN"/>
        </w:rPr>
        <w:t>绩效指标：归国华侨生活补助，体现党对归国华侨日常生活的关怀。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1</w:t>
      </w:r>
      <w:r>
        <w:rPr>
          <w:rFonts w:hint="eastAsia" w:ascii="仿宋_GB2312" w:hAnsi="仿宋" w:eastAsia="仿宋_GB2312" w:cs="仿宋"/>
          <w:kern w:val="0"/>
          <w:sz w:val="32"/>
          <w:szCs w:val="32"/>
        </w:rPr>
        <w:t>、综合办公室负责内外联系及日常协调工作，承担督查和目标任务绩效管理工作，承担公文处理、有关文稿起草。负责会务、信访、档案、后勤保障、国有资产管理、审计、保密等工作。组织开展统战系统信息化建设。负责机关党的建设工作。负责县委统一战线工作领导小组办公室的日常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协调开展统一战线理论政策和法律法规研究，组织起草统战工作重要文稿。统筹规划统一战线有关规范性文件的制定工作，组织拟订统一战线工作综合性文件。负责拟订统一战线重点课题调研计划，协调部机关、相关部门开展研究，组织开展综合性课题调研。负责总结推广统战工作实践创新成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负责拟订全县统一战线宣传工作政策和口径，组织开展统一战线宣传工作，推动开展互联网统战工作，协调开展统一战线舆情分析并会同有关部门进行舆情引导和应急处置。负责编辑整理统一战线信息。配合有关部门做好海外统战宣传工作。协调指导统战系统单位的宣传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 xml:space="preserve">    2</w:t>
      </w:r>
      <w:r>
        <w:rPr>
          <w:rFonts w:hint="eastAsia" w:ascii="仿宋_GB2312" w:hAnsi="仿宋" w:eastAsia="仿宋_GB2312" w:cs="仿宋"/>
          <w:kern w:val="0"/>
          <w:sz w:val="32"/>
          <w:szCs w:val="32"/>
        </w:rPr>
        <w:t>、党外和新的社会阶层人士组负责党外代表人士的政治安排和担任政府、司法机关等领导职务的党外人士的培养、选拔、考察、推荐等工作。做好党外代表人士和优秀年轻干部队伍建设工作。负责党外代表人士、统战干部培训和党内领导干部统战理论方针政策培训的综合协调、规划和指导。协助各民主党派和有关统战团体做好干部人事管理工作，收集、管理党外代表人士档案资料，负责联系党外代表人士遗孀、遗属工作。联系各民主党派及民主党派代表人士，反映意见建议。对坚持、完善</w:t>
      </w:r>
      <w:r>
        <w:rPr>
          <w:rFonts w:hint="eastAsia" w:ascii="仿宋_GB2312" w:hAnsi="仿宋" w:eastAsia="仿宋_GB2312" w:cs="仿宋"/>
          <w:kern w:val="0"/>
          <w:sz w:val="32"/>
          <w:szCs w:val="32"/>
          <w:lang w:eastAsia="zh-CN"/>
        </w:rPr>
        <w:t>中国共产党领导的多党合作和政治协商制度</w:t>
      </w:r>
      <w:r>
        <w:rPr>
          <w:rFonts w:hint="eastAsia" w:ascii="仿宋_GB2312" w:hAnsi="仿宋" w:eastAsia="仿宋_GB2312" w:cs="仿宋"/>
          <w:kern w:val="0"/>
          <w:sz w:val="32"/>
          <w:szCs w:val="32"/>
        </w:rPr>
        <w:t>及民主党派工作进行调研并提出建议。贯彻落实党对民主党派工作的方针政策，协调做好各民主党派履行参政议政、民主监督、参加中国共产党领导的政治协商职能的相关工作。协助各民主党派加强自身建设。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3</w:t>
      </w:r>
      <w:r>
        <w:rPr>
          <w:rFonts w:hint="eastAsia" w:ascii="仿宋_GB2312" w:hAnsi="仿宋" w:eastAsia="仿宋_GB2312" w:cs="仿宋"/>
          <w:kern w:val="0"/>
          <w:sz w:val="32"/>
          <w:szCs w:val="32"/>
        </w:rPr>
        <w:t>、民族宗教组参与拟定少数民族干部人才队伍建设规划；承担联系少数民族干部的具体工作；配合有关部门承办少数民族干部的培养教育、选拔推荐工作；负责拟订民族方面相关政策措施；负责指导协调维护少数民族风俗习惯的管理工作，对清真食品市场监督检查；组织开展民族团结宣传教育、民族团体进步创建活动，指导流动少数民族群众服务管理工作。组织协调民族自治地方重大庆典活动；负责协调指导处涉外及涉港澳台民族方面的问题；负责对民族理论、政策及重大问题研究，开展重点课题调查研究，提出政策性意见建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4</w:t>
      </w:r>
      <w:r>
        <w:rPr>
          <w:rFonts w:hint="eastAsia" w:ascii="仿宋_GB2312" w:hAnsi="仿宋" w:eastAsia="仿宋_GB2312" w:cs="仿宋"/>
          <w:kern w:val="0"/>
          <w:sz w:val="32"/>
          <w:szCs w:val="32"/>
        </w:rPr>
        <w:t>、非公有制经济统战工作组参与制定、推动落实鼓励支持引导非公有制经济发展的政策措施，了解贯彻落实情况并提出工作建议。开展非公有制经济领域统战工作调查研究，提出政策建议。联系、培养非公有制经济代表人士，开展思想政治工作，了解、反映意见建议，推动构建亲清新型政商关系。协助有关部门做好非公有制经济组织党建工作。协调指导非公有制经济人士综合评价工作。组织推动工商和非公有制经济人士投身公益慈善事业，引导非公有制经济人士开展光彩事业。承办市工商联交办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r>
        <w:rPr>
          <w:rFonts w:hint="eastAsia" w:ascii="仿宋_GB2312" w:eastAsia="仿宋_GB2312" w:cs="仿宋"/>
          <w:kern w:val="0"/>
          <w:sz w:val="32"/>
          <w:szCs w:val="32"/>
        </w:rPr>
        <w:t>5</w:t>
      </w:r>
      <w:r>
        <w:rPr>
          <w:rFonts w:hint="eastAsia" w:ascii="仿宋_GB2312" w:hAnsi="仿宋" w:eastAsia="仿宋_GB2312" w:cs="仿宋"/>
          <w:kern w:val="0"/>
          <w:sz w:val="32"/>
          <w:szCs w:val="32"/>
        </w:rPr>
        <w:t>、严格落实督导。（1）</w:t>
      </w:r>
      <w:r>
        <w:rPr>
          <w:rFonts w:hint="eastAsia" w:ascii="仿宋_GB2312" w:hAnsi="仿宋" w:eastAsia="仿宋_GB2312" w:cs="仿宋"/>
          <w:color w:val="333333"/>
          <w:kern w:val="0"/>
          <w:sz w:val="32"/>
          <w:szCs w:val="32"/>
          <w:shd w:val="clear" w:color="auto" w:fill="FFFFFF"/>
        </w:rPr>
        <w:t>单位执行国家《预算法》、《会计法》、《政府会计准则》、《政府会计制度》等规定，并结合单位情况制定了《大城县统计局财务管理制度》单位内控制度完整，包含了预算资金管理、内部财务管理、会计核算等方面。</w:t>
      </w:r>
      <w:r>
        <w:rPr>
          <w:rFonts w:hint="eastAsia" w:ascii="仿宋_GB2312" w:hAnsi="仿宋" w:eastAsia="仿宋_GB2312" w:cs="仿宋"/>
          <w:kern w:val="0"/>
          <w:sz w:val="32"/>
          <w:szCs w:val="32"/>
        </w:rPr>
        <w:t>（2）</w:t>
      </w:r>
      <w:r>
        <w:rPr>
          <w:rFonts w:hint="eastAsia" w:ascii="仿宋_GB2312" w:hAnsi="仿宋" w:eastAsia="仿宋_GB2312" w:cs="仿宋"/>
          <w:color w:val="333333"/>
          <w:kern w:val="0"/>
          <w:sz w:val="32"/>
          <w:szCs w:val="32"/>
          <w:shd w:val="clear" w:color="auto" w:fill="FFFFFF"/>
        </w:rPr>
        <w:t>基本支出、项目支出符合国家财经法规、财务管理制度规定，符合预算批复的用途；重大项目支出按规定经过评估论证；各项支出和资金拨付有完整的审批程序和手续；资金使用过程中无截留、挤占、挪用、虚列支出等情况。单位财务核算信息及预、决算编制所依据的会计基础信息准确、完整。（3）</w:t>
      </w:r>
      <w:r>
        <w:rPr>
          <w:rFonts w:hint="eastAsia" w:ascii="仿宋_GB2312" w:hAnsi="仿宋" w:eastAsia="仿宋_GB2312" w:cs="仿宋"/>
          <w:kern w:val="0"/>
          <w:sz w:val="32"/>
          <w:szCs w:val="32"/>
        </w:rPr>
        <w:t>在强化组织领导，明确责任分工的基础上，严谨工作纪律，以狠、准、精的工作精神，严格执行各项工作任务，不断强化督导措施，确保各项工作扎实开展。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建设信息平台数量</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建设信息平台数量</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1</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督导检查次数</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大型宗教场所督导检查次数</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收集建言献策次数</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收集高质量建言献策次数</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事务办结率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事务办结率</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80</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掌握党外人士思想动态及时性</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掌握党外人士思想动向及时率</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文字描述</w:t>
            </w:r>
          </w:p>
        </w:tc>
        <w:tc>
          <w:tcPr>
            <w:tcW w:w="573" w:type="dxa"/>
            <w:tcBorders>
              <w:tl2br w:val="nil"/>
              <w:tr2bl w:val="nil"/>
            </w:tcBorders>
            <w:vAlign w:val="center"/>
          </w:tcPr>
          <w:p>
            <w:pPr>
              <w:rPr>
                <w:rFonts w:ascii="方正书宋_GBK" w:eastAsia="方正书宋_GBK"/>
              </w:rPr>
            </w:pP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成本控制</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控制部门运转成本</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相关政策</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文字描述</w:t>
            </w:r>
          </w:p>
        </w:tc>
        <w:tc>
          <w:tcPr>
            <w:tcW w:w="573" w:type="dxa"/>
            <w:tcBorders>
              <w:tl2br w:val="nil"/>
              <w:tr2bl w:val="nil"/>
            </w:tcBorders>
            <w:vAlign w:val="center"/>
          </w:tcPr>
          <w:p>
            <w:pPr>
              <w:rPr>
                <w:rFonts w:ascii="方正书宋_GBK" w:eastAsia="方正书宋_GBK"/>
              </w:rPr>
            </w:pP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val="en-US"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社会效益指标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巩固壮大社会统一战线</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巩固壮大社会统一战线</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文字描述</w:t>
            </w:r>
          </w:p>
        </w:tc>
        <w:tc>
          <w:tcPr>
            <w:tcW w:w="573" w:type="dxa"/>
            <w:tcBorders>
              <w:tl2br w:val="nil"/>
              <w:tr2bl w:val="nil"/>
            </w:tcBorders>
            <w:vAlign w:val="center"/>
          </w:tcPr>
          <w:p>
            <w:pPr>
              <w:rPr>
                <w:rFonts w:ascii="方正书宋_GBK" w:eastAsia="方正书宋_GBK"/>
              </w:rPr>
            </w:pP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服务对象满意度指标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成功办结问题对象满意度</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成功办结问题对象满意度</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90</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r>
    </w:tbl>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bookmarkStart w:id="3" w:name="_GoBack"/>
      <w:bookmarkEnd w:id="3"/>
      <w:r>
        <w:rPr>
          <w:rFonts w:hint="eastAsia" w:ascii="Times New Roman" w:hAnsi="黑体"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建档立卡生活补助资金</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[13102522P000037100038]2022年建档立卡脱贫户生产生活补助金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建档立卡生活补助资金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建档立卡生活补助资金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户</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帮扶到位</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帮扶到位</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户</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按及发放物资</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按及发放物资</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控制村标准之内</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控制村标准之内</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0.6</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少数民族地区特殊困难和问题有效解决率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有效解决特殊困难和问题的比率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贫困户满意</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贫困户满意</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满意度</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宗教工作联络员经费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[13102522P008877100024]宗教工作联络员经费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问题解决率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事务办结及时性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事务办结及时性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组织活动成本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单次活动成本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少数民族地区特殊困难和问题解决率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统战（党外）工作经费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[13102522P00001410001H]统战（党外）工作经费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统战（党外）工作经费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组织党外知识分子联谊会次数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收集高质量建言献策建议</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收集建议的次数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把握党外人士的思想动向的及时率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控制在预算额度内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推介典型人物</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有效激励党外知识分子价值观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办公经费节省数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项目实施后所节省的纸张经费和人员工资</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非公有制工作经费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[13102522P000015100017]非公有制工作经费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非公有制工作经费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征求非公经济人士意见的次数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非公经济人士意见的可行性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意见所代表的社会经济问题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非公人士把握有关政策的及时性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把握有关政策的时效</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减少成本支出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推介典型人物</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有效激励非公经济人士价值观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体现非公经济人士价值观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非公经济人士的满意程度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民族事务业务费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[13102522P00001910001X]民族事业费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民族事务业务费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对少数民族地方调研发展方向</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少数民族地方基础设施体系的完好率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安好的基础设施体系占总体系的比率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比率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解决少数民族地方存在的问题的及时性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少数民族地方存在问题占比</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比率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社会影响力</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有效激励少数民族地方发展</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新社会阶层工作经费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[13102522P00001710001J]新社会阶层工作经费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新社会阶层工作经费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新社会阶层工作经费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参加教育培训的人数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组织教育培训，不断巩固思想政治基础</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高质量解决新社会阶层人士难点问题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围绕问题开展调查研究与咨询服务</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宣传党的新方针政策及时性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宣传各方针政策占实际政策比率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新社会阶层人士对社会的影响力</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新社会阶层代表人士对社会发展建议献策</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11"/>
                <w:szCs w:val="11"/>
                <w:u w:val="none"/>
                <w:lang w:val="en-US" w:eastAsia="zh-CN" w:bidi="ar"/>
              </w:rPr>
              <w:t>新社会阶层代表人士对当地统战工作的建议意见</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新社会阶层代表人士的满意程度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归国华侨补助经费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[13102522P00002210001D]归国华侨补助经费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0.240000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归国华侨补助经费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归国华侨补助经费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促成华侨往来交流的次数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补助给华侨带来生活质量的影响</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对华侨生活方面的影响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补助发放的及时性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及时发放补助的效率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推介典型人物</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有效激励促进华侨与国内的关系往来</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宗教场所制度经费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[13102522P00002110001P]宗教场所制度经费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宗教场所费用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宗教场所费用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调研需设置各项制度内容的场数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评估安装制度应能达到的使用期</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制度牌的使用期限</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合理规范布局的及时性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把握重大节日的次数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推广设立场所</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通过设立制度促进爱国力量发展</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宗教工作专项经费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[13102522P000018100018]宗教工作专项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宗教工作业务费用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宗教工作业务费用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大型宗教活动场所督导检查次数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督导检查次数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高质量解决涉宗教问题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解决问题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解决问题的及时率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办结事务的比率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少数民族地区特殊困难和问题有效解决率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有效解决特殊困难和问题的比率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[13102522P008C69100027]宗教工作经费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i w:val="0"/>
                <w:color w:val="000000"/>
                <w:kern w:val="0"/>
                <w:sz w:val="21"/>
                <w:szCs w:val="21"/>
                <w:u w:val="none"/>
                <w:lang w:val="en-US" w:eastAsia="zh-CN" w:bidi="ar"/>
              </w:rPr>
              <w:t>宗教工作经费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宗教管理工作费用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大型宗教活动场所督导检查次数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督导检查次数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完美解决涉宗教问题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解决问题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事务办结率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办结事务的比率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控制在预算额度内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少数民族地区特殊困难和问题有效解决率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有效解决特殊困难和问题的比率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涉及民族关系的问题、案件办结满意度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成功办结问题对象的满意程度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对台工作经费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[13102522P00001610001W]对台工作经费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对台工作经费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对台工作经费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促成两岸民间往来交流的次数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两岸民间往来的可行性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经济方面的影响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台胞对政策把握的及时性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把握有关台湾问题政策的时效</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与台胞往来带来的社会影响</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有效激励促进两岸关系</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台胞对当地统战工作的建议意见</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台胞的满意程度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宗教场所维修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[13102522P000020100012]宗教场所维修经费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宗教场所维修费用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宗教场所维修费用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排查危陋房屋的数量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实地查看</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评估修缮危陋房屋的使用年限</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修缮后房屋的使用期限</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危陋房屋雨季之前排查完毕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排查出的危陋房屋占总数的比率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比率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及时处置危陋场所对社会的影响</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有效制止可能发生的人财损失</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年初计划</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构建大统战格局工作经费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[13102522P000023100013]构建大统战格局工作经费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用于大统战格局建设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用于大统战格局建设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平台运维合格率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运维合格</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构建的时效</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构建平台对社会发展的影响度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社会发展的影响底</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统战人士的建议意见</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统战人士的满意程度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spacing w:line="584" w:lineRule="exac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100</w:t>
      </w:r>
      <w:r>
        <w:rPr>
          <w:rFonts w:ascii="Times New Roman" w:hAnsi="Times New Roman" w:eastAsia="仿宋_GB2312" w:cs="Times New Roman"/>
          <w:sz w:val="32"/>
          <w:szCs w:val="24"/>
        </w:rPr>
        <w:t>万元。具体内容见下表。</w:t>
      </w:r>
    </w:p>
    <w:bookmarkEnd w:id="1"/>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jc w:val="left"/>
        <w:outlineLvl w:val="1"/>
        <w:rPr>
          <w:rFonts w:ascii="方正小标宋_GBK" w:eastAsia="方正小标宋_GBK" w:cs="Times New Roman"/>
          <w:sz w:val="32"/>
        </w:rPr>
      </w:pPr>
      <w:r>
        <w:rPr>
          <w:rFonts w:hint="eastAsia"/>
          <w:lang w:val="en-US" w:eastAsia="zh-CN"/>
        </w:rPr>
        <w:t>中共</w:t>
      </w:r>
      <w:r>
        <w:rPr>
          <w:rFonts w:hint="eastAsia"/>
          <w:lang w:eastAsia="zh-CN"/>
        </w:rPr>
        <w:t>大城县</w:t>
      </w:r>
      <w:r>
        <w:rPr>
          <w:rFonts w:hint="eastAsia"/>
          <w:lang w:val="en-US" w:eastAsia="zh-CN"/>
        </w:rPr>
        <w:t>委统一战线工作部</w:t>
      </w:r>
      <w:r>
        <w:t xml:space="preserve">                     </w:t>
      </w:r>
      <w:r>
        <w:rPr>
          <w:rFonts w:hint="eastAsia"/>
          <w:lang w:val="en-US" w:eastAsia="zh-CN"/>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960"/>
        <w:gridCol w:w="984"/>
        <w:gridCol w:w="1033"/>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960" w:type="dxa"/>
            <w:vMerge w:val="restart"/>
            <w:vAlign w:val="center"/>
          </w:tcPr>
          <w:p>
            <w:pPr>
              <w:pStyle w:val="16"/>
              <w:spacing w:line="584" w:lineRule="exact"/>
            </w:pPr>
            <w:r>
              <w:t>采购物品名称</w:t>
            </w:r>
          </w:p>
        </w:tc>
        <w:tc>
          <w:tcPr>
            <w:tcW w:w="984" w:type="dxa"/>
            <w:vMerge w:val="restart"/>
            <w:vAlign w:val="center"/>
          </w:tcPr>
          <w:p>
            <w:pPr>
              <w:pStyle w:val="16"/>
              <w:spacing w:line="584" w:lineRule="exact"/>
            </w:pPr>
            <w:r>
              <w:t>政府采购目录序号</w:t>
            </w:r>
          </w:p>
        </w:tc>
        <w:tc>
          <w:tcPr>
            <w:tcW w:w="1033"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960" w:type="dxa"/>
            <w:vMerge w:val="continue"/>
          </w:tcPr>
          <w:p>
            <w:pPr>
              <w:spacing w:line="584" w:lineRule="exact"/>
            </w:pPr>
          </w:p>
        </w:tc>
        <w:tc>
          <w:tcPr>
            <w:tcW w:w="984" w:type="dxa"/>
            <w:vMerge w:val="continue"/>
          </w:tcPr>
          <w:p>
            <w:pPr>
              <w:spacing w:line="584" w:lineRule="exact"/>
            </w:pPr>
          </w:p>
        </w:tc>
        <w:tc>
          <w:tcPr>
            <w:tcW w:w="1033"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0" w:hRule="exact"/>
          <w:jc w:val="center"/>
        </w:trPr>
        <w:tc>
          <w:tcPr>
            <w:tcW w:w="1097" w:type="dxa"/>
            <w:vAlign w:val="center"/>
          </w:tcPr>
          <w:p>
            <w:pPr>
              <w:pStyle w:val="20"/>
              <w:spacing w:line="584" w:lineRule="exact"/>
            </w:pPr>
            <w:r>
              <w:t>合  计</w:t>
            </w:r>
          </w:p>
        </w:tc>
        <w:tc>
          <w:tcPr>
            <w:tcW w:w="964" w:type="dxa"/>
            <w:vAlign w:val="center"/>
          </w:tcPr>
          <w:p>
            <w:pPr>
              <w:spacing w:line="300" w:lineRule="exact"/>
              <w:jc w:val="center"/>
            </w:pPr>
            <w:r>
              <w:rPr>
                <w:rFonts w:ascii="方正书宋_GBK" w:eastAsia="方正书宋_GBK" w:cs="Times New Roman"/>
                <w:b/>
              </w:rPr>
              <w:t>合  计</w:t>
            </w:r>
          </w:p>
        </w:tc>
        <w:tc>
          <w:tcPr>
            <w:tcW w:w="960"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84" w:type="dxa"/>
            <w:vAlign w:val="center"/>
          </w:tcPr>
          <w:p>
            <w:pPr>
              <w:spacing w:line="300" w:lineRule="exact"/>
              <w:jc w:val="center"/>
              <w:rPr>
                <w:sz w:val="15"/>
                <w:szCs w:val="15"/>
              </w:rPr>
            </w:pPr>
            <w:r>
              <w:rPr>
                <w:rFonts w:hint="eastAsia" w:ascii="宋体" w:hAnsi="宋体" w:eastAsia="宋体" w:cs="宋体"/>
                <w:b w:val="0"/>
                <w:bCs/>
                <w:sz w:val="15"/>
                <w:szCs w:val="15"/>
              </w:rPr>
              <w:t>计算机设备及软件</w:t>
            </w:r>
          </w:p>
        </w:tc>
        <w:tc>
          <w:tcPr>
            <w:tcW w:w="1033" w:type="dxa"/>
            <w:vAlign w:val="top"/>
          </w:tcPr>
          <w:p>
            <w:pPr>
              <w:keepNext w:val="0"/>
              <w:keepLines w:val="0"/>
              <w:widowControl/>
              <w:suppressLineNumbers w:val="0"/>
              <w:jc w:val="center"/>
              <w:textAlignment w:val="top"/>
              <w:rPr>
                <w:sz w:val="15"/>
                <w:szCs w:val="15"/>
              </w:rPr>
            </w:pPr>
            <w:r>
              <w:rPr>
                <w:rFonts w:hint="eastAsia" w:ascii="宋体" w:hAnsi="宋体" w:eastAsia="宋体" w:cs="宋体"/>
                <w:b w:val="0"/>
                <w:bCs/>
                <w:i w:val="0"/>
                <w:color w:val="000000"/>
                <w:kern w:val="0"/>
                <w:sz w:val="15"/>
                <w:szCs w:val="15"/>
                <w:u w:val="none"/>
                <w:lang w:val="en-US" w:eastAsia="zh-CN" w:bidi="ar"/>
              </w:rPr>
              <w:t>[A020199]其他计算机设备及软件</w:t>
            </w:r>
          </w:p>
        </w:tc>
        <w:tc>
          <w:tcPr>
            <w:tcW w:w="850" w:type="dxa"/>
            <w:vAlign w:val="center"/>
          </w:tcPr>
          <w:p>
            <w:pPr>
              <w:spacing w:line="300" w:lineRule="exact"/>
              <w:jc w:val="center"/>
              <w:rPr>
                <w:sz w:val="15"/>
                <w:szCs w:val="15"/>
              </w:rPr>
            </w:pPr>
            <w:r>
              <w:rPr>
                <w:rFonts w:hint="eastAsia" w:ascii="宋体" w:hAnsi="宋体" w:eastAsia="宋体" w:cs="宋体"/>
                <w:b w:val="0"/>
                <w:bCs/>
                <w:sz w:val="15"/>
                <w:szCs w:val="15"/>
                <w:lang w:eastAsia="zh-CN"/>
              </w:rPr>
              <w:t>套</w:t>
            </w:r>
          </w:p>
        </w:tc>
        <w:tc>
          <w:tcPr>
            <w:tcW w:w="850"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w:t>
            </w:r>
          </w:p>
        </w:tc>
        <w:tc>
          <w:tcPr>
            <w:tcW w:w="964"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64"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64"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64" w:type="dxa"/>
            <w:vAlign w:val="center"/>
          </w:tcPr>
          <w:p>
            <w:pPr>
              <w:spacing w:line="300" w:lineRule="exact"/>
              <w:jc w:val="center"/>
              <w:rPr>
                <w:sz w:val="15"/>
                <w:szCs w:val="15"/>
              </w:rPr>
            </w:pPr>
          </w:p>
        </w:tc>
        <w:tc>
          <w:tcPr>
            <w:tcW w:w="964" w:type="dxa"/>
            <w:vAlign w:val="center"/>
          </w:tcPr>
          <w:p>
            <w:pPr>
              <w:spacing w:line="300" w:lineRule="exact"/>
              <w:jc w:val="right"/>
              <w:rPr>
                <w:sz w:val="15"/>
                <w:szCs w:val="15"/>
              </w:rPr>
            </w:pPr>
          </w:p>
        </w:tc>
        <w:tc>
          <w:tcPr>
            <w:tcW w:w="964" w:type="dxa"/>
            <w:vAlign w:val="center"/>
          </w:tcPr>
          <w:p>
            <w:pPr>
              <w:spacing w:line="300" w:lineRule="exact"/>
              <w:jc w:val="right"/>
              <w:rPr>
                <w:sz w:val="13"/>
                <w:szCs w:val="13"/>
              </w:rPr>
            </w:pPr>
          </w:p>
        </w:tc>
        <w:tc>
          <w:tcPr>
            <w:tcW w:w="964" w:type="dxa"/>
            <w:vAlign w:val="center"/>
          </w:tcPr>
          <w:p>
            <w:pPr>
              <w:spacing w:line="300" w:lineRule="exact"/>
              <w:jc w:val="right"/>
              <w:rPr>
                <w:sz w:val="13"/>
                <w:szCs w:val="13"/>
              </w:rPr>
            </w:pPr>
          </w:p>
        </w:tc>
        <w:tc>
          <w:tcPr>
            <w:tcW w:w="964" w:type="dxa"/>
            <w:vAlign w:val="center"/>
          </w:tcPr>
          <w:p>
            <w:pPr>
              <w:spacing w:line="300" w:lineRule="exact"/>
              <w:jc w:val="center"/>
            </w:pPr>
            <w:r>
              <w:rPr>
                <w:rFonts w:ascii="方正书宋_GBK" w:eastAsia="方正书宋_GBK" w:cs="Times New Roman"/>
                <w:b/>
              </w:rPr>
              <w:t>合  计</w:t>
            </w:r>
          </w:p>
        </w:tc>
        <w:tc>
          <w:tcPr>
            <w:tcW w:w="964" w:type="dxa"/>
            <w:vAlign w:val="center"/>
          </w:tcPr>
          <w:p>
            <w:pPr>
              <w:spacing w:line="300" w:lineRule="exact"/>
              <w:jc w:val="center"/>
              <w:rPr>
                <w:rFonts w:hint="eastAsia" w:ascii="宋体" w:hAnsi="宋体" w:eastAsia="宋体" w:cs="宋体"/>
                <w:b w:val="0"/>
                <w:bCs/>
                <w:sz w:val="15"/>
                <w:szCs w:val="15"/>
              </w:rPr>
            </w:pPr>
            <w:r>
              <w:rPr>
                <w:rFonts w:hint="eastAsia" w:ascii="宋体" w:hAnsi="宋体" w:eastAsia="宋体" w:cs="宋体"/>
                <w:b w:val="0"/>
                <w:bCs/>
                <w:sz w:val="15"/>
                <w:szCs w:val="15"/>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0" w:hRule="exact"/>
          <w:jc w:val="center"/>
        </w:trPr>
        <w:tc>
          <w:tcPr>
            <w:tcW w:w="1097" w:type="dxa"/>
            <w:vAlign w:val="center"/>
          </w:tcPr>
          <w:p>
            <w:pPr>
              <w:pStyle w:val="20"/>
              <w:spacing w:line="584" w:lineRule="exact"/>
            </w:pPr>
          </w:p>
        </w:tc>
        <w:tc>
          <w:tcPr>
            <w:tcW w:w="964" w:type="dxa"/>
            <w:vAlign w:val="center"/>
          </w:tcPr>
          <w:p>
            <w:pPr>
              <w:spacing w:line="300" w:lineRule="exact"/>
              <w:jc w:val="center"/>
            </w:pPr>
            <w:r>
              <w:rPr>
                <w:rFonts w:hint="eastAsia" w:ascii="宋体" w:hAnsi="宋体" w:eastAsia="宋体" w:cs="宋体"/>
                <w:b w:val="0"/>
                <w:bCs/>
                <w:sz w:val="15"/>
                <w:szCs w:val="15"/>
              </w:rPr>
              <w:t>构建大统战格局工作经费</w:t>
            </w:r>
          </w:p>
        </w:tc>
        <w:tc>
          <w:tcPr>
            <w:tcW w:w="960"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84" w:type="dxa"/>
            <w:vAlign w:val="center"/>
          </w:tcPr>
          <w:p>
            <w:pPr>
              <w:spacing w:line="300" w:lineRule="exact"/>
              <w:jc w:val="center"/>
              <w:rPr>
                <w:sz w:val="15"/>
                <w:szCs w:val="15"/>
              </w:rPr>
            </w:pPr>
            <w:r>
              <w:rPr>
                <w:rFonts w:hint="eastAsia" w:ascii="宋体" w:hAnsi="宋体" w:eastAsia="宋体" w:cs="宋体"/>
                <w:b w:val="0"/>
                <w:bCs/>
                <w:sz w:val="15"/>
                <w:szCs w:val="15"/>
              </w:rPr>
              <w:t>计算机设备及软件</w:t>
            </w:r>
          </w:p>
        </w:tc>
        <w:tc>
          <w:tcPr>
            <w:tcW w:w="1033" w:type="dxa"/>
            <w:vAlign w:val="top"/>
          </w:tcPr>
          <w:p>
            <w:pPr>
              <w:keepNext w:val="0"/>
              <w:keepLines w:val="0"/>
              <w:widowControl/>
              <w:suppressLineNumbers w:val="0"/>
              <w:jc w:val="center"/>
              <w:textAlignment w:val="top"/>
              <w:rPr>
                <w:sz w:val="15"/>
                <w:szCs w:val="15"/>
              </w:rPr>
            </w:pPr>
            <w:r>
              <w:rPr>
                <w:rFonts w:hint="eastAsia" w:ascii="宋体" w:hAnsi="宋体" w:eastAsia="宋体" w:cs="宋体"/>
                <w:b w:val="0"/>
                <w:bCs/>
                <w:i w:val="0"/>
                <w:color w:val="000000"/>
                <w:kern w:val="0"/>
                <w:sz w:val="15"/>
                <w:szCs w:val="15"/>
                <w:u w:val="none"/>
                <w:lang w:val="en-US" w:eastAsia="zh-CN" w:bidi="ar"/>
              </w:rPr>
              <w:t>[A020199]其他计算机设备及软件</w:t>
            </w:r>
          </w:p>
        </w:tc>
        <w:tc>
          <w:tcPr>
            <w:tcW w:w="850" w:type="dxa"/>
            <w:vAlign w:val="center"/>
          </w:tcPr>
          <w:p>
            <w:pPr>
              <w:spacing w:line="300" w:lineRule="exact"/>
              <w:jc w:val="center"/>
              <w:rPr>
                <w:sz w:val="15"/>
                <w:szCs w:val="15"/>
              </w:rPr>
            </w:pPr>
            <w:r>
              <w:rPr>
                <w:rFonts w:hint="eastAsia" w:ascii="宋体" w:hAnsi="宋体" w:eastAsia="宋体" w:cs="宋体"/>
                <w:b w:val="0"/>
                <w:bCs/>
                <w:sz w:val="15"/>
                <w:szCs w:val="15"/>
                <w:lang w:eastAsia="zh-CN"/>
              </w:rPr>
              <w:t>套</w:t>
            </w:r>
          </w:p>
        </w:tc>
        <w:tc>
          <w:tcPr>
            <w:tcW w:w="850"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w:t>
            </w:r>
          </w:p>
        </w:tc>
        <w:tc>
          <w:tcPr>
            <w:tcW w:w="964"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64"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64" w:type="dxa"/>
            <w:vAlign w:val="center"/>
          </w:tcPr>
          <w:p>
            <w:pPr>
              <w:spacing w:line="300" w:lineRule="exact"/>
              <w:jc w:val="center"/>
              <w:rPr>
                <w:sz w:val="15"/>
                <w:szCs w:val="15"/>
              </w:rPr>
            </w:pPr>
            <w:r>
              <w:rPr>
                <w:rFonts w:hint="eastAsia" w:ascii="宋体" w:hAnsi="宋体" w:eastAsia="宋体" w:cs="宋体"/>
                <w:b w:val="0"/>
                <w:bCs/>
                <w:sz w:val="15"/>
                <w:szCs w:val="15"/>
                <w:lang w:val="en-US" w:eastAsia="zh-CN"/>
              </w:rPr>
              <w:t>100</w:t>
            </w:r>
          </w:p>
        </w:tc>
        <w:tc>
          <w:tcPr>
            <w:tcW w:w="964" w:type="dxa"/>
            <w:vAlign w:val="center"/>
          </w:tcPr>
          <w:p>
            <w:pPr>
              <w:spacing w:line="300" w:lineRule="exact"/>
              <w:jc w:val="right"/>
              <w:rPr>
                <w:sz w:val="15"/>
                <w:szCs w:val="15"/>
              </w:rPr>
            </w:pPr>
          </w:p>
        </w:tc>
        <w:tc>
          <w:tcPr>
            <w:tcW w:w="964" w:type="dxa"/>
            <w:vAlign w:val="center"/>
          </w:tcPr>
          <w:p>
            <w:pPr>
              <w:spacing w:line="300" w:lineRule="exact"/>
              <w:jc w:val="right"/>
              <w:rPr>
                <w:sz w:val="15"/>
                <w:szCs w:val="15"/>
              </w:rPr>
            </w:pPr>
          </w:p>
        </w:tc>
        <w:tc>
          <w:tcPr>
            <w:tcW w:w="964" w:type="dxa"/>
            <w:vAlign w:val="center"/>
          </w:tcPr>
          <w:p>
            <w:pPr>
              <w:spacing w:line="300" w:lineRule="exact"/>
              <w:jc w:val="right"/>
              <w:rPr>
                <w:sz w:val="13"/>
                <w:szCs w:val="13"/>
              </w:rPr>
            </w:pPr>
          </w:p>
        </w:tc>
        <w:tc>
          <w:tcPr>
            <w:tcW w:w="964" w:type="dxa"/>
            <w:vAlign w:val="center"/>
          </w:tcPr>
          <w:p>
            <w:pPr>
              <w:spacing w:line="300" w:lineRule="exact"/>
              <w:jc w:val="right"/>
              <w:rPr>
                <w:sz w:val="13"/>
                <w:szCs w:val="13"/>
              </w:rPr>
            </w:pPr>
          </w:p>
        </w:tc>
        <w:tc>
          <w:tcPr>
            <w:tcW w:w="964" w:type="dxa"/>
            <w:vAlign w:val="center"/>
          </w:tcPr>
          <w:p>
            <w:pPr>
              <w:spacing w:line="300" w:lineRule="exact"/>
              <w:jc w:val="center"/>
            </w:pPr>
            <w:r>
              <w:rPr>
                <w:rFonts w:hint="eastAsia" w:ascii="宋体" w:hAnsi="宋体" w:eastAsia="宋体" w:cs="宋体"/>
                <w:b w:val="0"/>
                <w:bCs/>
                <w:sz w:val="15"/>
                <w:szCs w:val="15"/>
              </w:rPr>
              <w:t>构建大统战格局工作经费</w:t>
            </w:r>
          </w:p>
        </w:tc>
        <w:tc>
          <w:tcPr>
            <w:tcW w:w="964" w:type="dxa"/>
            <w:vAlign w:val="center"/>
          </w:tcPr>
          <w:p>
            <w:pPr>
              <w:spacing w:line="300" w:lineRule="exact"/>
              <w:jc w:val="center"/>
              <w:rPr>
                <w:rFonts w:hint="eastAsia" w:ascii="宋体" w:hAnsi="宋体" w:eastAsia="宋体" w:cs="宋体"/>
                <w:b w:val="0"/>
                <w:bCs/>
                <w:sz w:val="15"/>
                <w:szCs w:val="15"/>
              </w:rPr>
            </w:pPr>
            <w:r>
              <w:rPr>
                <w:rFonts w:hint="eastAsia" w:ascii="宋体" w:hAnsi="宋体" w:eastAsia="宋体" w:cs="宋体"/>
                <w:b w:val="0"/>
                <w:bCs/>
                <w:sz w:val="15"/>
                <w:szCs w:val="15"/>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0" w:hRule="exac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960" w:type="dxa"/>
            <w:vAlign w:val="center"/>
          </w:tcPr>
          <w:p>
            <w:pPr>
              <w:pStyle w:val="18"/>
              <w:spacing w:line="584" w:lineRule="exact"/>
            </w:pPr>
          </w:p>
        </w:tc>
        <w:tc>
          <w:tcPr>
            <w:tcW w:w="984" w:type="dxa"/>
            <w:vAlign w:val="center"/>
          </w:tcPr>
          <w:p>
            <w:pPr>
              <w:pStyle w:val="18"/>
              <w:spacing w:line="584" w:lineRule="exact"/>
            </w:pPr>
          </w:p>
        </w:tc>
        <w:tc>
          <w:tcPr>
            <w:tcW w:w="1033"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17.9573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构建大统战格局项目所需的计算机及配套软件</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17.9573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14.4212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3.5361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19870E6E"/>
    <w:multiLevelType w:val="multilevel"/>
    <w:tmpl w:val="19870E6E"/>
    <w:lvl w:ilvl="0" w:tentative="0">
      <w:start w:val="1"/>
      <w:numFmt w:val="japaneseCounting"/>
      <w:lvlText w:val="（%1）"/>
      <w:lvlJc w:val="left"/>
      <w:pPr>
        <w:ind w:left="2820" w:hanging="1260"/>
      </w:pPr>
      <w:rPr>
        <w:rFonts w:hint="default"/>
      </w:r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yNjRhMWVkMjE2YzZkZWRiYzc3OGIxNTZlM2VjMz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CDD0C11"/>
    <w:rsid w:val="13E306DA"/>
    <w:rsid w:val="164E54A5"/>
    <w:rsid w:val="1B1D7A72"/>
    <w:rsid w:val="1B6E4190"/>
    <w:rsid w:val="1C502F39"/>
    <w:rsid w:val="1D7B6A5B"/>
    <w:rsid w:val="1DEC0CA5"/>
    <w:rsid w:val="24AE35CE"/>
    <w:rsid w:val="354C6998"/>
    <w:rsid w:val="38F17E51"/>
    <w:rsid w:val="3AEA64B7"/>
    <w:rsid w:val="3AEE2E0D"/>
    <w:rsid w:val="3D9F7A2D"/>
    <w:rsid w:val="3E8B454E"/>
    <w:rsid w:val="3F655022"/>
    <w:rsid w:val="55440103"/>
    <w:rsid w:val="57E040E2"/>
    <w:rsid w:val="5E777E1B"/>
    <w:rsid w:val="66614663"/>
    <w:rsid w:val="673B57FC"/>
    <w:rsid w:val="687D1153"/>
    <w:rsid w:val="6B1D22BB"/>
    <w:rsid w:val="6C2731BD"/>
    <w:rsid w:val="74936CD4"/>
    <w:rsid w:val="788861ED"/>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12204</Words>
  <Characters>13061</Characters>
  <Lines>35</Lines>
  <Paragraphs>10</Paragraphs>
  <TotalTime>9</TotalTime>
  <ScaleCrop>false</ScaleCrop>
  <LinksUpToDate>false</LinksUpToDate>
  <CharactersWithSpaces>13207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铁头</cp:lastModifiedBy>
  <cp:lastPrinted>2023-01-29T01:01:00Z</cp:lastPrinted>
  <dcterms:modified xsi:type="dcterms:W3CDTF">2023-08-07T03:40:28Z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E0DCD2FAFD4C4EC78104898D7A030BBD</vt:lpwstr>
  </property>
</Properties>
</file>