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文学艺术界联合会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坚持党的基本路线，坚持“二位”方向和“双百” 方针，联合全国文艺工作者。为推进社会主义文化大发展大繁荣作出应有的贡献。抓好文艺队伍建设，培养文艺新人，编辑出版文艺期刊，承办文艺作品展演，组织开展大型文艺活动及不同门类、多种类型的文学艺术研讨、讲座、负责对所属协会、乡镇文艺社团的组织管理，对县级各类文艺社团的资格审查，维护团体会员和广大文艺工作者的合法权益，承办县委、县政府交办的其他事项。</w:t>
      </w:r>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大城县文学艺术界联合会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widowControl/>
        <w:ind w:firstLine="640" w:firstLineChars="200"/>
        <w:jc w:val="left"/>
        <w:rPr>
          <w:rFonts w:hint="eastAsia" w:ascii="Times New Roman" w:hAnsi="Times New Roman" w:eastAsia="仿宋_GB2312" w:cs="Times New Roman"/>
          <w:bCs/>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71.16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64.56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bCs/>
          <w:sz w:val="32"/>
          <w:szCs w:val="32"/>
        </w:rPr>
        <w:t>文艺联络、传统或重大节日主题活动经费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研讨推介经费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作品编纂出版印刷费用</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京津冀艺术交流经费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编辑出版《大城县历史文化文丛》经费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大城县文联文学艺术馆维护及运行</w:t>
      </w:r>
      <w:r>
        <w:rPr>
          <w:rFonts w:ascii="Times New Roman" w:hAnsi="Times New Roman" w:eastAsia="仿宋_GB2312" w:cs="Times New Roman"/>
          <w:bCs/>
          <w:sz w:val="32"/>
          <w:szCs w:val="32"/>
        </w:rPr>
        <w:t>经费支出。</w:t>
      </w:r>
    </w:p>
    <w:p>
      <w:pPr>
        <w:spacing w:line="584"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color w:val="C0504D"/>
          <w:sz w:val="32"/>
          <w:szCs w:val="32"/>
          <w:shd w:val="clear" w:color="auto" w:fill="auto"/>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减少46.86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w:t>
      </w:r>
      <w:r>
        <w:rPr>
          <w:rFonts w:ascii="Times New Roman" w:hAnsi="Times New Roman" w:eastAsia="仿宋_GB2312" w:cs="Times New Roman"/>
          <w:sz w:val="32"/>
          <w:szCs w:val="32"/>
        </w:rPr>
        <w:t>支出；</w:t>
      </w:r>
      <w:r>
        <w:rPr>
          <w:rFonts w:ascii="Times New Roman" w:hAnsi="Times New Roman" w:eastAsia="仿宋_GB2312" w:cs="Times New Roman"/>
          <w:color w:val="auto"/>
          <w:sz w:val="32"/>
          <w:szCs w:val="32"/>
          <w:shd w:val="clear" w:color="auto" w:fill="auto"/>
        </w:rPr>
        <w:t>项目支出</w:t>
      </w:r>
      <w:r>
        <w:rPr>
          <w:rFonts w:hint="eastAsia" w:ascii="Times New Roman" w:hAnsi="Times New Roman" w:eastAsia="仿宋_GB2312" w:cs="Times New Roman"/>
          <w:color w:val="auto"/>
          <w:sz w:val="32"/>
          <w:szCs w:val="32"/>
          <w:shd w:val="clear" w:color="auto" w:fill="auto"/>
          <w:lang w:val="en-US" w:eastAsia="zh-CN"/>
        </w:rPr>
        <w:t>减少48.5</w:t>
      </w:r>
      <w:r>
        <w:rPr>
          <w:rFonts w:ascii="Times New Roman" w:hAnsi="Times New Roman" w:eastAsia="仿宋_GB2312" w:cs="Times New Roman"/>
          <w:color w:val="auto"/>
          <w:sz w:val="32"/>
          <w:szCs w:val="32"/>
          <w:shd w:val="clear" w:color="auto" w:fill="auto"/>
        </w:rPr>
        <w:t>万元，主要为</w:t>
      </w:r>
      <w:r>
        <w:rPr>
          <w:rFonts w:hint="eastAsia" w:ascii="Times New Roman" w:hAnsi="Times New Roman" w:eastAsia="仿宋_GB2312" w:cs="Times New Roman"/>
          <w:color w:val="auto"/>
          <w:sz w:val="32"/>
          <w:szCs w:val="32"/>
          <w:shd w:val="clear" w:color="auto" w:fill="auto"/>
          <w:lang w:val="en-US" w:eastAsia="zh-CN"/>
        </w:rPr>
        <w:t>艺术馆开馆</w:t>
      </w:r>
      <w:r>
        <w:rPr>
          <w:rFonts w:ascii="Times New Roman" w:hAnsi="Times New Roman" w:eastAsia="仿宋_GB2312" w:cs="Times New Roman"/>
          <w:color w:val="auto"/>
          <w:sz w:val="32"/>
          <w:szCs w:val="32"/>
          <w:shd w:val="clear" w:color="auto" w:fill="auto"/>
        </w:rPr>
        <w:t>项目支出</w:t>
      </w:r>
      <w:r>
        <w:rPr>
          <w:rFonts w:hint="eastAsia" w:ascii="Times New Roman" w:hAnsi="Times New Roman" w:eastAsia="仿宋_GB2312" w:cs="Times New Roman"/>
          <w:color w:val="auto"/>
          <w:sz w:val="32"/>
          <w:szCs w:val="32"/>
          <w:shd w:val="clear" w:color="auto" w:fill="auto"/>
          <w:lang w:eastAsia="zh-CN"/>
        </w:rPr>
        <w:t>减少</w:t>
      </w:r>
      <w:r>
        <w:rPr>
          <w:rFonts w:ascii="Times New Roman" w:hAnsi="Times New Roman" w:eastAsia="仿宋_GB2312" w:cs="Times New Roman"/>
          <w:color w:val="auto"/>
          <w:sz w:val="32"/>
          <w:szCs w:val="32"/>
          <w:shd w:val="clear" w:color="auto" w:fill="auto"/>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办公区的日常维修、办公用费、</w:t>
      </w:r>
      <w:r>
        <w:rPr>
          <w:rFonts w:hint="eastAsia" w:ascii="Times New Roman" w:hAnsi="Times New Roman" w:eastAsia="仿宋_GB2312" w:cs="Times New Roman"/>
          <w:sz w:val="32"/>
          <w:szCs w:val="32"/>
          <w:lang w:val="en-US" w:eastAsia="zh-CN"/>
        </w:rPr>
        <w:t>邮电费</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工会经</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福利费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年，我单位财政拨款“三公”经费预算安排</w:t>
      </w:r>
      <w:r>
        <w:rPr>
          <w:rFonts w:hint="eastAsia" w:ascii="Times New Roman" w:hAnsi="Times New Roman" w:eastAsia="仿宋_GB2312" w:cs="Times New Roman"/>
          <w:sz w:val="32"/>
          <w:szCs w:val="32"/>
          <w:lang w:val="en-US" w:eastAsia="zh-CN"/>
        </w:rPr>
        <w:t>3.00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lang w:val="en-US" w:eastAsia="zh-CN"/>
        </w:rPr>
        <w:t>，无增减变化。</w:t>
      </w:r>
    </w:p>
    <w:p>
      <w:pPr>
        <w:autoSpaceDE w:val="0"/>
        <w:autoSpaceDN w:val="0"/>
        <w:adjustRightInd w:val="0"/>
        <w:spacing w:line="584" w:lineRule="exact"/>
        <w:ind w:left="197" w:leftChars="94" w:firstLine="640" w:firstLineChars="200"/>
        <w:jc w:val="left"/>
        <w:rPr>
          <w:rFonts w:hint="eastAsia" w:ascii="Times New Roman" w:hAnsi="Times New Roman" w:eastAsia="黑体" w:cs="Times New Roman"/>
          <w:color w:val="auto"/>
          <w:sz w:val="32"/>
          <w:szCs w:val="32"/>
          <w:shd w:val="clear" w:color="auto" w:fill="auto"/>
          <w:lang w:val="en-US" w:eastAsia="zh-CN"/>
        </w:rPr>
      </w:pPr>
      <w:r>
        <w:rPr>
          <w:rFonts w:hint="eastAsia" w:ascii="Times New Roman" w:hAnsi="Times New Roman" w:eastAsia="黑体" w:cs="Times New Roman"/>
          <w:color w:val="auto"/>
          <w:sz w:val="32"/>
          <w:szCs w:val="32"/>
          <w:shd w:val="clear" w:color="auto" w:fill="auto"/>
          <w:lang w:val="en-US" w:eastAsia="zh-CN"/>
        </w:rPr>
        <w:t>五、绩效预算信息</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spacing w:line="60" w:lineRule="atLeast"/>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首先，我们要充分发挥文联专业协会多、文艺人才多的优势，以重大节日为契机，找准文联工作的结合点，积极开展一系列主题鲜明、影响广泛的文艺活动。其次，继续解放思想，多渠道推进文化艺术事业的发展  重视文联组织自身建设，注重改进创新，进一步提升文艺工作和文联工作的科学化水平。再有，配合县委、县政府，按照省委宣传部“欢乐城乡、文化惠民”通知精神，继续组织安排下乡演出、农村书画笔会、读书演讲等系类活动，落实好县委、县政府及省、市文联安排的其他各项工作。总体目标具体如下：</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1、推进协会管理科学规范、保障文联正常有序运行，召开联络会议，组织会员活动，加大培训力度，为文艺事业健康快速发展提供组织保障。</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2、完善文艺精品扶持和奖励机制，论证确定一批既有本地地域特色，又具备创作空间和社会影响力的题材</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3、完成期刊创作，扩大文艺工作的覆盖面和社会影响力。</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4、完成文化交流计划，促进县域文化艺术的影响力和美誉度进一步提高。</w:t>
      </w:r>
    </w:p>
    <w:p>
      <w:pPr>
        <w:widowControl/>
        <w:ind w:firstLine="643"/>
        <w:jc w:val="left"/>
        <w:rPr>
          <w:rFonts w:hint="eastAsia" w:ascii="仿宋" w:eastAsia="仿宋" w:cs="宋体"/>
          <w:color w:val="000000"/>
          <w:kern w:val="0"/>
          <w:sz w:val="32"/>
          <w:szCs w:val="32"/>
        </w:rPr>
      </w:pPr>
      <w:r>
        <w:rPr>
          <w:rFonts w:hint="eastAsia" w:ascii="仿宋" w:eastAsia="仿宋" w:cs="宋体"/>
          <w:color w:val="000000"/>
          <w:kern w:val="0"/>
          <w:sz w:val="32"/>
          <w:szCs w:val="32"/>
        </w:rPr>
        <w:t>5、《大城历史文化丛书》出版发行，记载大城县悠久历史文化，对外交流。提高大城文学艺术的新台阶，创作浓厚的文化气息，响应省市各级文化建设的号召。</w:t>
      </w:r>
    </w:p>
    <w:p>
      <w:pPr>
        <w:widowControl/>
        <w:ind w:firstLine="64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6、大城县文学艺术馆年久失修，屋顶漏雨、地胶异味太大、墙面颜色杂乱严重影响展览效果，影响正常使用，急需维修改造。艺术馆正常使用产生活动费用，取暖费等运行经费。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ind w:firstLine="800"/>
        <w:jc w:val="left"/>
        <w:rPr>
          <w:rFonts w:hint="eastAsia" w:ascii="仿宋" w:eastAsia="仿宋" w:cs="宋体"/>
          <w:color w:val="000000"/>
          <w:kern w:val="0"/>
          <w:sz w:val="32"/>
          <w:szCs w:val="32"/>
        </w:rPr>
      </w:pPr>
      <w:r>
        <w:rPr>
          <w:rFonts w:hint="eastAsia" w:ascii="仿宋" w:eastAsia="仿宋" w:cs="宋体"/>
          <w:color w:val="000000"/>
          <w:kern w:val="0"/>
          <w:sz w:val="32"/>
          <w:szCs w:val="32"/>
        </w:rPr>
        <w:t>根据每年文联具体工作安排部署，我单位申请了六个项目，根据项目具体实施情况，以及省市县的具体要求，项目的总体绩效目标如下：</w:t>
      </w:r>
    </w:p>
    <w:p>
      <w:pPr>
        <w:widowControl/>
        <w:ind w:firstLine="803" w:firstLineChars="2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1、文艺联络、传统或重大节日主题活动经费</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绩效目标：保障文联正常有序运行，协调各协会各项工作，促进文艺事业蓬勃发展。</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绩效指标：推进协会管理科学规范，召开联络会议，组织会员活动，加大培训力度，为县域文艺事业健康快速发展提供组织保障。</w:t>
      </w:r>
    </w:p>
    <w:p>
      <w:pPr>
        <w:widowControl/>
        <w:ind w:firstLine="803" w:firstLineChars="2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2、研讨推介经费</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绩效目标：组织县内文艺工作者创作文艺精品，繁荣文化事业，促进本县文化艺术的影响力和美誉度进一步提高。</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绩效指标：完善文艺精品扶持和奖励机制，论证确定一批既有本地地域特色，又具备创作空间和社会影响力的题材</w:t>
      </w:r>
    </w:p>
    <w:p>
      <w:pPr>
        <w:widowControl/>
        <w:ind w:firstLine="643" w:firstLineChars="20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3、作品编纂出版印刷费用</w:t>
      </w:r>
    </w:p>
    <w:p>
      <w:pPr>
        <w:widowControl/>
        <w:ind w:firstLine="48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绩效目标：组织县内文艺工作者创作文艺精品，繁荣文化事业，促进本县文化艺术的影响力和美誉度进一步提高。</w:t>
      </w:r>
    </w:p>
    <w:p>
      <w:pPr>
        <w:widowControl/>
        <w:ind w:firstLine="48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绩效指标：完成期刊创作，扩大文艺工作的覆盖面和社会影响力。</w:t>
      </w:r>
    </w:p>
    <w:p>
      <w:pPr>
        <w:widowControl/>
        <w:ind w:firstLine="482" w:firstLineChars="1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4、京津冀艺术交流经费</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绩效目标：组织县内文艺工作者创作文艺精品，繁荣文化事业，促进本县文化艺术的影响力和美誉度进一步提高。</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绩效指标：完成文化交流计划，促进县域文化艺术的影响力和美誉度进一步提高</w:t>
      </w:r>
    </w:p>
    <w:p>
      <w:pPr>
        <w:widowControl/>
        <w:ind w:firstLine="482" w:firstLineChars="1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5、编辑出版《大城县历史文化文丛》经费项目</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绩效目标：组织县内文艺工作者创作文艺作品，繁荣文化事业，挖掘本县历史文化艺术，提高我县文化艺术事业的美誉度。</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绩效指标：完成文丛创作，扩大文艺工作者的社会影响力。</w:t>
      </w:r>
    </w:p>
    <w:p>
      <w:pPr>
        <w:widowControl/>
        <w:ind w:firstLine="480" w:firstLineChars="15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6、</w:t>
      </w:r>
      <w:r>
        <w:rPr>
          <w:rFonts w:hint="eastAsia" w:ascii="仿宋" w:eastAsia="仿宋" w:cs="宋体"/>
          <w:b/>
          <w:bCs/>
          <w:color w:val="000000"/>
          <w:kern w:val="0"/>
          <w:sz w:val="32"/>
          <w:szCs w:val="32"/>
        </w:rPr>
        <w:t>大城县文联文学艺术馆维护及运行项目</w:t>
      </w:r>
    </w:p>
    <w:p>
      <w:pPr>
        <w:widowControl/>
        <w:ind w:firstLine="480" w:firstLineChars="15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绩效目标：对艺术馆进行维修改造，改善艺术馆办公条件，维持艺术馆正常运行。</w:t>
      </w:r>
    </w:p>
    <w:p>
      <w:pPr>
        <w:widowControl/>
        <w:ind w:firstLine="480" w:firstLineChars="15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绩效指标：大城县文学艺术馆年久失修，屋顶漏雨、地胶异味太大、墙面颜色杂乱严重影响展览效果，影响正常使用，急需维修改造</w:t>
      </w:r>
      <w:r>
        <w:rPr>
          <w:rFonts w:hint="eastAsia" w:ascii="黑体" w:eastAsia="黑体" w:cs="宋体"/>
          <w:color w:val="000000"/>
          <w:kern w:val="0"/>
          <w:sz w:val="32"/>
          <w:szCs w:val="32"/>
        </w:rPr>
        <w:t>。</w:t>
      </w:r>
    </w:p>
    <w:p>
      <w:pPr>
        <w:spacing w:line="584" w:lineRule="exact"/>
        <w:ind w:left="0" w:firstLine="482" w:firstLineChars="15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1、继续深入学习贯彻党的十九大精神，全面推动社会主义文化大繁荣大发展。要倡导全县文艺工作者树立终身学习的理念，养成勤奋学习的习惯，坚持学习与思考相结合、与运用相结合、与创新相结合，不断开阔视野、优化知识结构、提高综合素质，增强做好新形势下文学艺术事业的本领。</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2、各协会共同完成各项活动，我们要充分发挥文联专业协会多、文艺人才多的优势，以重大节日为契机，找准文联工作的结合点，积极开展一系列主题鲜明、影响广泛的文艺活动。各项活动有文联牵头，各协会配合，积极完成。具体任务落实到具体协会完成，不留任何死角。同时协会的各级会员监督各项活动的发展动向，及时总结进度，有计划，有目标的进行。</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3、各级领导的检查各部门的监督</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 xml:space="preserve">为了更好的完成各项任务指标，上级部门随时检查，其他部门监督，各项活动高标准、高规格的完成。 </w:t>
      </w:r>
    </w:p>
    <w:p>
      <w:pPr>
        <w:numPr>
          <w:ilvl w:val="0"/>
          <w:numId w:val="1"/>
        </w:numPr>
        <w:overflowPunct w:val="0"/>
        <w:adjustRightInd w:val="0"/>
        <w:snapToGrid w:val="0"/>
        <w:spacing w:after="156" w:afterLines="50" w:line="580" w:lineRule="exact"/>
        <w:ind w:left="0"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00"/>
        <w:gridCol w:w="1155"/>
        <w:gridCol w:w="1050"/>
        <w:gridCol w:w="2371"/>
        <w:gridCol w:w="543"/>
        <w:gridCol w:w="341"/>
        <w:gridCol w:w="94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0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2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00" w:type="dxa"/>
            <w:vMerge w:val="continue"/>
            <w:tcBorders>
              <w:tl2br w:val="nil"/>
              <w:tr2bl w:val="nil"/>
            </w:tcBorders>
            <w:vAlign w:val="center"/>
          </w:tcPr>
          <w:p/>
        </w:tc>
        <w:tc>
          <w:tcPr>
            <w:tcW w:w="1155" w:type="dxa"/>
            <w:vMerge w:val="continue"/>
            <w:tcBorders>
              <w:tl2br w:val="nil"/>
              <w:tr2bl w:val="nil"/>
            </w:tcBorders>
            <w:vAlign w:val="center"/>
          </w:tcPr>
          <w:p/>
        </w:tc>
        <w:tc>
          <w:tcPr>
            <w:tcW w:w="1050" w:type="dxa"/>
            <w:vMerge w:val="continue"/>
            <w:tcBorders>
              <w:tl2br w:val="nil"/>
              <w:tr2bl w:val="nil"/>
            </w:tcBorders>
            <w:vAlign w:val="center"/>
          </w:tcPr>
          <w:p/>
        </w:tc>
        <w:tc>
          <w:tcPr>
            <w:tcW w:w="2371"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34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4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5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tcPr>
          <w:p>
            <w:pPr>
              <w:rPr>
                <w:rFonts w:hint="eastAsia" w:ascii="宋体" w:cs="宋体"/>
                <w:sz w:val="18"/>
                <w:szCs w:val="18"/>
              </w:rPr>
            </w:pPr>
            <w:r>
              <w:rPr>
                <w:rFonts w:hint="eastAsia" w:ascii="宋体" w:cs="宋体"/>
                <w:sz w:val="18"/>
                <w:szCs w:val="18"/>
              </w:rPr>
              <w:t>产出指标</w:t>
            </w: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数量指标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文艺下乡场次</w:t>
            </w:r>
          </w:p>
        </w:tc>
        <w:tc>
          <w:tcPr>
            <w:tcW w:w="1050" w:type="dxa"/>
            <w:tcBorders>
              <w:tl2br w:val="nil"/>
              <w:tr2bl w:val="nil"/>
            </w:tcBorders>
          </w:tcPr>
          <w:p>
            <w:pPr>
              <w:rPr>
                <w:rFonts w:hint="eastAsia" w:ascii="宋体" w:cs="宋体"/>
                <w:sz w:val="18"/>
                <w:szCs w:val="18"/>
              </w:rPr>
            </w:pPr>
            <w:r>
              <w:rPr>
                <w:rFonts w:hint="eastAsia" w:ascii="宋体" w:cs="宋体"/>
                <w:sz w:val="18"/>
                <w:szCs w:val="18"/>
              </w:rPr>
              <w:t>根据实际下乡次数</w:t>
            </w:r>
          </w:p>
        </w:tc>
        <w:tc>
          <w:tcPr>
            <w:tcW w:w="2371" w:type="dxa"/>
            <w:tcBorders>
              <w:tl2br w:val="nil"/>
              <w:tr2bl w:val="nil"/>
            </w:tcBorders>
          </w:tcPr>
          <w:p>
            <w:pPr>
              <w:rPr>
                <w:rFonts w:hint="eastAsia" w:ascii="宋体" w:cs="宋体"/>
                <w:sz w:val="18"/>
                <w:szCs w:val="18"/>
              </w:rPr>
            </w:pPr>
            <w:r>
              <w:rPr>
                <w:rFonts w:hint="eastAsia" w:ascii="宋体" w:cs="宋体"/>
                <w:sz w:val="18"/>
                <w:szCs w:val="18"/>
              </w:rPr>
              <w:t>协会下乡活动，为群众服务</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12</w:t>
            </w:r>
          </w:p>
        </w:tc>
        <w:tc>
          <w:tcPr>
            <w:tcW w:w="945" w:type="dxa"/>
            <w:tcBorders>
              <w:tl2br w:val="nil"/>
              <w:tr2bl w:val="nil"/>
            </w:tcBorders>
          </w:tcPr>
          <w:p>
            <w:pPr>
              <w:rPr>
                <w:rFonts w:hint="eastAsia" w:ascii="宋体" w:cs="宋体"/>
                <w:sz w:val="18"/>
                <w:szCs w:val="18"/>
              </w:rPr>
            </w:pPr>
            <w:r>
              <w:rPr>
                <w:rFonts w:hint="eastAsia" w:ascii="宋体" w:cs="宋体"/>
                <w:sz w:val="18"/>
                <w:szCs w:val="18"/>
              </w:rPr>
              <w:t>场次</w:t>
            </w:r>
          </w:p>
        </w:tc>
        <w:tc>
          <w:tcPr>
            <w:tcW w:w="1052" w:type="dxa"/>
            <w:tcBorders>
              <w:tl2br w:val="nil"/>
              <w:tr2bl w:val="nil"/>
            </w:tcBorders>
          </w:tcPr>
          <w:p>
            <w:pPr>
              <w:rPr>
                <w:rFonts w:hint="eastAsia" w:ascii="宋体" w:cs="宋体"/>
                <w:sz w:val="18"/>
                <w:szCs w:val="18"/>
              </w:rPr>
            </w:pPr>
            <w:r>
              <w:rPr>
                <w:rFonts w:hint="eastAsia" w:ascii="宋体" w:cs="宋体"/>
                <w:sz w:val="18"/>
                <w:szCs w:val="18"/>
              </w:rPr>
              <w:t>根据以往年度活动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数量指标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戏曲、书法进校园、文艺期刊的完成</w:t>
            </w:r>
          </w:p>
        </w:tc>
        <w:tc>
          <w:tcPr>
            <w:tcW w:w="1050" w:type="dxa"/>
            <w:tcBorders>
              <w:tl2br w:val="nil"/>
              <w:tr2bl w:val="nil"/>
            </w:tcBorders>
          </w:tcPr>
          <w:p>
            <w:pPr>
              <w:rPr>
                <w:rFonts w:hint="eastAsia" w:ascii="宋体" w:cs="宋体"/>
                <w:sz w:val="18"/>
                <w:szCs w:val="18"/>
              </w:rPr>
            </w:pPr>
            <w:r>
              <w:rPr>
                <w:rFonts w:hint="eastAsia" w:ascii="宋体" w:cs="宋体"/>
                <w:sz w:val="18"/>
                <w:szCs w:val="18"/>
              </w:rPr>
              <w:t>根据活动完成情况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提高戏曲书法等艺术的普及、文艺创作等</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20</w:t>
            </w:r>
          </w:p>
        </w:tc>
        <w:tc>
          <w:tcPr>
            <w:tcW w:w="945" w:type="dxa"/>
            <w:tcBorders>
              <w:tl2br w:val="nil"/>
              <w:tr2bl w:val="nil"/>
            </w:tcBorders>
          </w:tcPr>
          <w:p>
            <w:pPr>
              <w:rPr>
                <w:rFonts w:hint="eastAsia" w:ascii="宋体" w:cs="宋体"/>
                <w:sz w:val="18"/>
                <w:szCs w:val="18"/>
              </w:rPr>
            </w:pPr>
            <w:r>
              <w:rPr>
                <w:rFonts w:hint="eastAsia" w:ascii="宋体" w:cs="宋体"/>
                <w:sz w:val="18"/>
                <w:szCs w:val="18"/>
              </w:rPr>
              <w:t>场次</w:t>
            </w:r>
          </w:p>
        </w:tc>
        <w:tc>
          <w:tcPr>
            <w:tcW w:w="1052" w:type="dxa"/>
            <w:tcBorders>
              <w:tl2br w:val="nil"/>
              <w:tr2bl w:val="nil"/>
            </w:tcBorders>
          </w:tcPr>
          <w:p>
            <w:pPr>
              <w:rPr>
                <w:rFonts w:ascii="Calibri" w:hAnsi="Calibri" w:eastAsia="宋体" w:cs="宋体"/>
                <w:sz w:val="18"/>
                <w:szCs w:val="18"/>
              </w:rPr>
            </w:pPr>
            <w:r>
              <w:rPr>
                <w:rFonts w:ascii="Calibri" w:hAnsi="Calibri" w:eastAsia="宋体" w:cs="宋体"/>
                <w:sz w:val="18"/>
                <w:szCs w:val="18"/>
              </w:rPr>
              <w:t>根据以往年度活动需求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质量指标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各协会活动达标程度</w:t>
            </w:r>
          </w:p>
        </w:tc>
        <w:tc>
          <w:tcPr>
            <w:tcW w:w="1050" w:type="dxa"/>
            <w:tcBorders>
              <w:tl2br w:val="nil"/>
              <w:tr2bl w:val="nil"/>
            </w:tcBorders>
          </w:tcPr>
          <w:p>
            <w:pPr>
              <w:rPr>
                <w:rFonts w:hint="eastAsia" w:ascii="宋体" w:cs="宋体"/>
                <w:sz w:val="18"/>
                <w:szCs w:val="18"/>
              </w:rPr>
            </w:pPr>
            <w:r>
              <w:rPr>
                <w:rFonts w:hint="eastAsia" w:ascii="宋体" w:cs="宋体"/>
                <w:sz w:val="18"/>
                <w:szCs w:val="18"/>
              </w:rPr>
              <w:t>完成后测评满意程度</w:t>
            </w:r>
          </w:p>
        </w:tc>
        <w:tc>
          <w:tcPr>
            <w:tcW w:w="2371" w:type="dxa"/>
            <w:tcBorders>
              <w:tl2br w:val="nil"/>
              <w:tr2bl w:val="nil"/>
            </w:tcBorders>
          </w:tcPr>
          <w:p>
            <w:pPr>
              <w:rPr>
                <w:rFonts w:hint="eastAsia" w:ascii="宋体" w:cs="宋体"/>
                <w:sz w:val="18"/>
                <w:szCs w:val="18"/>
              </w:rPr>
            </w:pPr>
            <w:r>
              <w:rPr>
                <w:rFonts w:hint="eastAsia" w:ascii="宋体" w:cs="宋体"/>
                <w:sz w:val="18"/>
                <w:szCs w:val="18"/>
              </w:rPr>
              <w:t>各协会活动汇总</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100</w:t>
            </w:r>
          </w:p>
        </w:tc>
        <w:tc>
          <w:tcPr>
            <w:tcW w:w="945" w:type="dxa"/>
            <w:tcBorders>
              <w:tl2br w:val="nil"/>
              <w:tr2bl w:val="nil"/>
            </w:tcBorders>
          </w:tcPr>
          <w:p>
            <w:pPr>
              <w:rPr>
                <w:rFonts w:hint="eastAsia" w:ascii="宋体" w:cs="宋体"/>
                <w:sz w:val="18"/>
                <w:szCs w:val="18"/>
              </w:rPr>
            </w:pPr>
            <w:r>
              <w:rPr>
                <w:rFonts w:hint="eastAsia" w:ascii="宋体" w:cs="宋体"/>
                <w:sz w:val="18"/>
                <w:szCs w:val="18"/>
              </w:rPr>
              <w:t>百分比</w:t>
            </w:r>
          </w:p>
        </w:tc>
        <w:tc>
          <w:tcPr>
            <w:tcW w:w="1052" w:type="dxa"/>
            <w:tcBorders>
              <w:tl2br w:val="nil"/>
              <w:tr2bl w:val="nil"/>
            </w:tcBorders>
          </w:tcPr>
          <w:p>
            <w:pPr>
              <w:rPr>
                <w:rFonts w:ascii="Calibri" w:hAnsi="Calibri" w:eastAsia="宋体" w:cs="宋体"/>
                <w:sz w:val="18"/>
                <w:szCs w:val="18"/>
              </w:rPr>
            </w:pPr>
            <w:r>
              <w:rPr>
                <w:rFonts w:ascii="Calibri" w:hAnsi="Calibri" w:eastAsia="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时效指标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综合事务完成率</w:t>
            </w:r>
          </w:p>
        </w:tc>
        <w:tc>
          <w:tcPr>
            <w:tcW w:w="1050" w:type="dxa"/>
            <w:tcBorders>
              <w:tl2br w:val="nil"/>
              <w:tr2bl w:val="nil"/>
            </w:tcBorders>
          </w:tcPr>
          <w:p>
            <w:pPr>
              <w:rPr>
                <w:rFonts w:hint="eastAsia" w:ascii="宋体" w:cs="宋体"/>
                <w:sz w:val="18"/>
                <w:szCs w:val="18"/>
              </w:rPr>
            </w:pPr>
            <w:r>
              <w:rPr>
                <w:rFonts w:hint="eastAsia" w:ascii="宋体" w:cs="宋体"/>
                <w:sz w:val="18"/>
                <w:szCs w:val="18"/>
              </w:rPr>
              <w:t>各个协会实际完成情况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各个协会组织各项主题活动以及重大节日庆祝活动完成情况</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100</w:t>
            </w:r>
          </w:p>
        </w:tc>
        <w:tc>
          <w:tcPr>
            <w:tcW w:w="945" w:type="dxa"/>
            <w:tcBorders>
              <w:tl2br w:val="nil"/>
              <w:tr2bl w:val="nil"/>
            </w:tcBorders>
          </w:tcPr>
          <w:p>
            <w:pPr>
              <w:rPr>
                <w:rFonts w:hint="eastAsia" w:ascii="宋体" w:cs="宋体"/>
                <w:sz w:val="18"/>
                <w:szCs w:val="18"/>
              </w:rPr>
            </w:pPr>
            <w:r>
              <w:rPr>
                <w:rFonts w:hint="eastAsia" w:ascii="宋体" w:cs="宋体"/>
                <w:sz w:val="18"/>
                <w:szCs w:val="18"/>
              </w:rPr>
              <w:t>百分比</w:t>
            </w:r>
          </w:p>
        </w:tc>
        <w:tc>
          <w:tcPr>
            <w:tcW w:w="1052" w:type="dxa"/>
            <w:tcBorders>
              <w:tl2br w:val="nil"/>
              <w:tr2bl w:val="nil"/>
            </w:tcBorders>
          </w:tcPr>
          <w:p>
            <w:pPr>
              <w:rPr>
                <w:rFonts w:ascii="Calibri" w:hAnsi="Calibri" w:eastAsia="宋体" w:cs="宋体"/>
                <w:sz w:val="18"/>
                <w:szCs w:val="18"/>
              </w:rPr>
            </w:pPr>
            <w:r>
              <w:rPr>
                <w:rFonts w:ascii="Calibri" w:hAnsi="Calibri" w:eastAsia="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tcPr>
          <w:p>
            <w:pPr>
              <w:adjustRightInd w:val="0"/>
              <w:snapToGrid w:val="0"/>
              <w:jc w:val="center"/>
              <w:rPr>
                <w:rFonts w:hint="eastAsia" w:ascii="宋体"/>
                <w:sz w:val="18"/>
                <w:szCs w:val="18"/>
              </w:rPr>
            </w:pPr>
            <w:r>
              <w:rPr>
                <w:rFonts w:ascii="宋体"/>
                <w:sz w:val="18"/>
                <w:szCs w:val="18"/>
              </w:rPr>
              <w:t>效益指标</w:t>
            </w:r>
          </w:p>
        </w:tc>
        <w:tc>
          <w:tcPr>
            <w:tcW w:w="800" w:type="dxa"/>
            <w:tcBorders>
              <w:tl2br w:val="nil"/>
              <w:tr2bl w:val="nil"/>
            </w:tcBorders>
            <w:vAlign w:val="center"/>
          </w:tcPr>
          <w:p>
            <w:pPr>
              <w:widowControl/>
              <w:adjustRightInd w:val="0"/>
              <w:snapToGrid w:val="0"/>
              <w:jc w:val="center"/>
              <w:rPr>
                <w:rFonts w:hint="eastAsia" w:ascii="宋体" w:cs="宋体"/>
                <w:sz w:val="18"/>
                <w:szCs w:val="18"/>
              </w:rPr>
            </w:pPr>
            <w:r>
              <w:rPr>
                <w:rFonts w:hint="eastAsia" w:ascii="宋体" w:cs="宋体"/>
                <w:sz w:val="18"/>
                <w:szCs w:val="18"/>
              </w:rPr>
              <w:t>成本指标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预算成本</w:t>
            </w:r>
          </w:p>
        </w:tc>
        <w:tc>
          <w:tcPr>
            <w:tcW w:w="1050" w:type="dxa"/>
            <w:tcBorders>
              <w:tl2br w:val="nil"/>
              <w:tr2bl w:val="nil"/>
            </w:tcBorders>
          </w:tcPr>
          <w:p>
            <w:pPr>
              <w:rPr>
                <w:rFonts w:hint="eastAsia" w:ascii="宋体" w:cs="宋体"/>
                <w:sz w:val="18"/>
                <w:szCs w:val="18"/>
              </w:rPr>
            </w:pPr>
            <w:r>
              <w:rPr>
                <w:rFonts w:hint="eastAsia" w:ascii="宋体" w:cs="宋体"/>
                <w:sz w:val="18"/>
                <w:szCs w:val="18"/>
              </w:rPr>
              <w:t>节约成本的情况下完成预期情况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活动规模大小，产出成本最低，达到最好效果</w:t>
            </w:r>
          </w:p>
        </w:tc>
        <w:tc>
          <w:tcPr>
            <w:tcW w:w="543" w:type="dxa"/>
            <w:tcBorders>
              <w:tl2br w:val="nil"/>
              <w:tr2bl w:val="nil"/>
            </w:tcBorders>
          </w:tcPr>
          <w:p>
            <w:pPr>
              <w:rPr>
                <w:rFonts w:hint="eastAsia" w:ascii="宋体" w:cs="宋体"/>
                <w:sz w:val="18"/>
                <w:szCs w:val="18"/>
              </w:rPr>
            </w:pPr>
            <w:r>
              <w:rPr>
                <w:rFonts w:hint="eastAsia" w:ascii="宋体" w:cs="宋体"/>
                <w:sz w:val="18"/>
                <w:szCs w:val="18"/>
              </w:rPr>
              <w:t>文字描述</w:t>
            </w:r>
          </w:p>
        </w:tc>
        <w:tc>
          <w:tcPr>
            <w:tcW w:w="341" w:type="dxa"/>
            <w:tcBorders>
              <w:tl2br w:val="nil"/>
              <w:tr2bl w:val="nil"/>
            </w:tcBorders>
            <w:vAlign w:val="center"/>
          </w:tcPr>
          <w:p>
            <w:pPr>
              <w:rPr>
                <w:rFonts w:hint="eastAsia" w:ascii="宋体"/>
                <w:sz w:val="18"/>
                <w:szCs w:val="18"/>
              </w:rPr>
            </w:pPr>
          </w:p>
        </w:tc>
        <w:tc>
          <w:tcPr>
            <w:tcW w:w="945" w:type="dxa"/>
            <w:tcBorders>
              <w:tl2br w:val="nil"/>
              <w:tr2bl w:val="nil"/>
            </w:tcBorders>
          </w:tcPr>
          <w:p>
            <w:pPr>
              <w:rPr>
                <w:rFonts w:hint="eastAsia" w:ascii="宋体" w:cs="宋体"/>
                <w:sz w:val="18"/>
                <w:szCs w:val="18"/>
              </w:rPr>
            </w:pPr>
            <w:r>
              <w:rPr>
                <w:rFonts w:hint="eastAsia" w:ascii="宋体" w:cs="宋体"/>
                <w:sz w:val="18"/>
                <w:szCs w:val="18"/>
              </w:rPr>
              <w:t>年初计划，按预算成本，产出高质量作品</w:t>
            </w:r>
          </w:p>
        </w:tc>
        <w:tc>
          <w:tcPr>
            <w:tcW w:w="1052" w:type="dxa"/>
            <w:tcBorders>
              <w:tl2br w:val="nil"/>
              <w:tr2bl w:val="nil"/>
            </w:tcBorders>
          </w:tcPr>
          <w:p>
            <w:pPr>
              <w:rPr>
                <w:rFonts w:hint="eastAsia" w:ascii="宋体" w:cs="宋体"/>
                <w:sz w:val="18"/>
                <w:szCs w:val="18"/>
              </w:rPr>
            </w:pPr>
            <w:r>
              <w:rPr>
                <w:rFonts w:hint="eastAsia" w:ascii="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社会效益指标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对全县宣传文化事业发展的促进推动作用</w:t>
            </w:r>
          </w:p>
        </w:tc>
        <w:tc>
          <w:tcPr>
            <w:tcW w:w="1050" w:type="dxa"/>
            <w:tcBorders>
              <w:tl2br w:val="nil"/>
              <w:tr2bl w:val="nil"/>
            </w:tcBorders>
          </w:tcPr>
          <w:p>
            <w:pPr>
              <w:rPr>
                <w:rFonts w:hint="eastAsia" w:ascii="宋体" w:cs="宋体"/>
                <w:sz w:val="18"/>
                <w:szCs w:val="18"/>
              </w:rPr>
            </w:pPr>
            <w:r>
              <w:rPr>
                <w:rFonts w:hint="eastAsia" w:ascii="宋体" w:cs="宋体"/>
                <w:sz w:val="18"/>
                <w:szCs w:val="18"/>
              </w:rPr>
              <w:t>社会调查</w:t>
            </w:r>
          </w:p>
        </w:tc>
        <w:tc>
          <w:tcPr>
            <w:tcW w:w="2371" w:type="dxa"/>
            <w:tcBorders>
              <w:tl2br w:val="nil"/>
              <w:tr2bl w:val="nil"/>
            </w:tcBorders>
          </w:tcPr>
          <w:p>
            <w:pPr>
              <w:rPr>
                <w:rFonts w:hint="eastAsia" w:ascii="宋体" w:cs="宋体"/>
                <w:sz w:val="18"/>
                <w:szCs w:val="18"/>
              </w:rPr>
            </w:pPr>
            <w:r>
              <w:rPr>
                <w:rFonts w:hint="eastAsia" w:ascii="宋体" w:cs="宋体"/>
                <w:sz w:val="18"/>
                <w:szCs w:val="18"/>
              </w:rPr>
              <w:t>通过全县文学艺术的各项活动，带动全县宣传文化事业发展的效果</w:t>
            </w:r>
          </w:p>
        </w:tc>
        <w:tc>
          <w:tcPr>
            <w:tcW w:w="543" w:type="dxa"/>
            <w:tcBorders>
              <w:tl2br w:val="nil"/>
              <w:tr2bl w:val="nil"/>
            </w:tcBorders>
          </w:tcPr>
          <w:p>
            <w:pPr>
              <w:rPr>
                <w:rFonts w:hint="eastAsia" w:ascii="宋体" w:cs="宋体"/>
                <w:sz w:val="18"/>
                <w:szCs w:val="18"/>
              </w:rPr>
            </w:pPr>
            <w:r>
              <w:rPr>
                <w:rFonts w:hint="eastAsia" w:ascii="宋体" w:cs="宋体"/>
                <w:sz w:val="18"/>
                <w:szCs w:val="18"/>
              </w:rPr>
              <w:t>文字描述</w:t>
            </w:r>
          </w:p>
        </w:tc>
        <w:tc>
          <w:tcPr>
            <w:tcW w:w="341" w:type="dxa"/>
            <w:tcBorders>
              <w:tl2br w:val="nil"/>
              <w:tr2bl w:val="nil"/>
            </w:tcBorders>
            <w:vAlign w:val="center"/>
          </w:tcPr>
          <w:p>
            <w:pPr>
              <w:rPr>
                <w:rFonts w:hint="eastAsia" w:ascii="宋体"/>
                <w:sz w:val="18"/>
                <w:szCs w:val="18"/>
              </w:rPr>
            </w:pPr>
          </w:p>
        </w:tc>
        <w:tc>
          <w:tcPr>
            <w:tcW w:w="945" w:type="dxa"/>
            <w:tcBorders>
              <w:tl2br w:val="nil"/>
              <w:tr2bl w:val="nil"/>
            </w:tcBorders>
          </w:tcPr>
          <w:p>
            <w:pPr>
              <w:rPr>
                <w:rFonts w:hint="eastAsia" w:ascii="宋体" w:cs="宋体"/>
                <w:sz w:val="18"/>
                <w:szCs w:val="18"/>
              </w:rPr>
            </w:pPr>
            <w:r>
              <w:rPr>
                <w:rFonts w:hint="eastAsia" w:ascii="宋体" w:cs="宋体"/>
                <w:sz w:val="18"/>
                <w:szCs w:val="18"/>
              </w:rPr>
              <w:t>文化成果显著</w:t>
            </w:r>
          </w:p>
        </w:tc>
        <w:tc>
          <w:tcPr>
            <w:tcW w:w="1052" w:type="dxa"/>
            <w:tcBorders>
              <w:tl2br w:val="nil"/>
              <w:tr2bl w:val="nil"/>
            </w:tcBorders>
            <w:vAlign w:val="center"/>
          </w:tcPr>
          <w:p>
            <w:pPr>
              <w:rPr>
                <w:rFonts w:hint="eastAsia" w:ascii="宋体" w:cs="宋体"/>
                <w:sz w:val="18"/>
                <w:szCs w:val="18"/>
              </w:rPr>
            </w:pPr>
            <w:r>
              <w:rPr>
                <w:rFonts w:hint="eastAsia" w:ascii="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可持续影响指标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长期使用性</w:t>
            </w:r>
          </w:p>
        </w:tc>
        <w:tc>
          <w:tcPr>
            <w:tcW w:w="1050" w:type="dxa"/>
            <w:tcBorders>
              <w:tl2br w:val="nil"/>
              <w:tr2bl w:val="nil"/>
            </w:tcBorders>
          </w:tcPr>
          <w:p>
            <w:pPr>
              <w:rPr>
                <w:rFonts w:hint="eastAsia" w:ascii="宋体" w:cs="宋体"/>
                <w:sz w:val="18"/>
                <w:szCs w:val="18"/>
              </w:rPr>
            </w:pPr>
            <w:r>
              <w:rPr>
                <w:rFonts w:hint="eastAsia" w:ascii="宋体" w:cs="宋体"/>
                <w:sz w:val="18"/>
                <w:szCs w:val="18"/>
              </w:rPr>
              <w:t>社会反映情况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能够长期较好地开展各类活动，长期满足人民群众对精神文化的需求。</w:t>
            </w:r>
          </w:p>
        </w:tc>
        <w:tc>
          <w:tcPr>
            <w:tcW w:w="543" w:type="dxa"/>
            <w:tcBorders>
              <w:tl2br w:val="nil"/>
              <w:tr2bl w:val="nil"/>
            </w:tcBorders>
          </w:tcPr>
          <w:p>
            <w:pPr>
              <w:rPr>
                <w:rFonts w:hint="eastAsia" w:ascii="宋体" w:cs="宋体"/>
                <w:sz w:val="18"/>
                <w:szCs w:val="18"/>
              </w:rPr>
            </w:pPr>
            <w:r>
              <w:rPr>
                <w:rFonts w:hint="eastAsia" w:ascii="宋体" w:cs="宋体"/>
                <w:sz w:val="18"/>
                <w:szCs w:val="18"/>
              </w:rPr>
              <w:t>文字描述</w:t>
            </w:r>
          </w:p>
        </w:tc>
        <w:tc>
          <w:tcPr>
            <w:tcW w:w="341" w:type="dxa"/>
            <w:tcBorders>
              <w:tl2br w:val="nil"/>
              <w:tr2bl w:val="nil"/>
            </w:tcBorders>
            <w:vAlign w:val="center"/>
          </w:tcPr>
          <w:p>
            <w:pPr>
              <w:rPr>
                <w:rFonts w:hint="eastAsia" w:ascii="宋体"/>
                <w:sz w:val="18"/>
                <w:szCs w:val="18"/>
              </w:rPr>
            </w:pPr>
          </w:p>
        </w:tc>
        <w:tc>
          <w:tcPr>
            <w:tcW w:w="945" w:type="dxa"/>
            <w:tcBorders>
              <w:tl2br w:val="nil"/>
              <w:tr2bl w:val="nil"/>
            </w:tcBorders>
          </w:tcPr>
          <w:p>
            <w:pPr>
              <w:rPr>
                <w:rFonts w:hint="eastAsia" w:ascii="宋体" w:cs="宋体"/>
                <w:sz w:val="18"/>
                <w:szCs w:val="18"/>
              </w:rPr>
            </w:pPr>
            <w:r>
              <w:rPr>
                <w:rFonts w:hint="eastAsia" w:ascii="宋体" w:cs="宋体"/>
                <w:sz w:val="18"/>
                <w:szCs w:val="18"/>
              </w:rPr>
              <w:t>文学艺术是大众的需求，不断满足人民的精神生活需求</w:t>
            </w:r>
          </w:p>
        </w:tc>
        <w:tc>
          <w:tcPr>
            <w:tcW w:w="1052" w:type="dxa"/>
            <w:tcBorders>
              <w:tl2br w:val="nil"/>
              <w:tr2bl w:val="nil"/>
            </w:tcBorders>
          </w:tcPr>
          <w:p>
            <w:pPr>
              <w:rPr>
                <w:rFonts w:hint="eastAsia" w:ascii="宋体" w:cs="宋体"/>
                <w:sz w:val="18"/>
                <w:szCs w:val="18"/>
              </w:rPr>
            </w:pPr>
            <w:r>
              <w:rPr>
                <w:rFonts w:hint="eastAsia" w:ascii="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00" w:type="dxa"/>
            <w:tcBorders>
              <w:tl2br w:val="nil"/>
              <w:tr2bl w:val="nil"/>
            </w:tcBorders>
          </w:tcPr>
          <w:p>
            <w:pPr>
              <w:rPr>
                <w:rFonts w:hint="eastAsia" w:ascii="宋体" w:cs="宋体"/>
                <w:sz w:val="18"/>
                <w:szCs w:val="18"/>
              </w:rPr>
            </w:pPr>
            <w:r>
              <w:rPr>
                <w:rFonts w:hint="eastAsia" w:ascii="宋体" w:cs="宋体"/>
                <w:sz w:val="18"/>
                <w:szCs w:val="18"/>
              </w:rPr>
              <w:t>满意度指标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群众满意度</w:t>
            </w:r>
          </w:p>
        </w:tc>
        <w:tc>
          <w:tcPr>
            <w:tcW w:w="1050" w:type="dxa"/>
            <w:tcBorders>
              <w:tl2br w:val="nil"/>
              <w:tr2bl w:val="nil"/>
            </w:tcBorders>
          </w:tcPr>
          <w:p>
            <w:pPr>
              <w:rPr>
                <w:rFonts w:hint="eastAsia" w:ascii="宋体" w:cs="宋体"/>
                <w:sz w:val="18"/>
                <w:szCs w:val="18"/>
              </w:rPr>
            </w:pPr>
            <w:r>
              <w:rPr>
                <w:rFonts w:hint="eastAsia" w:ascii="宋体" w:cs="宋体"/>
                <w:sz w:val="18"/>
                <w:szCs w:val="18"/>
              </w:rPr>
              <w:t>实际调查</w:t>
            </w:r>
          </w:p>
        </w:tc>
        <w:tc>
          <w:tcPr>
            <w:tcW w:w="2371" w:type="dxa"/>
            <w:tcBorders>
              <w:tl2br w:val="nil"/>
              <w:tr2bl w:val="nil"/>
            </w:tcBorders>
          </w:tcPr>
          <w:p>
            <w:pPr>
              <w:rPr>
                <w:rFonts w:hint="eastAsia" w:ascii="宋体" w:cs="宋体"/>
                <w:sz w:val="18"/>
                <w:szCs w:val="18"/>
              </w:rPr>
            </w:pPr>
            <w:r>
              <w:rPr>
                <w:rFonts w:hint="eastAsia" w:ascii="宋体" w:cs="宋体"/>
                <w:sz w:val="18"/>
                <w:szCs w:val="18"/>
              </w:rPr>
              <w:t>群众满意数量占总数的比例。</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95</w:t>
            </w:r>
          </w:p>
        </w:tc>
        <w:tc>
          <w:tcPr>
            <w:tcW w:w="945" w:type="dxa"/>
            <w:tcBorders>
              <w:tl2br w:val="nil"/>
              <w:tr2bl w:val="nil"/>
            </w:tcBorders>
          </w:tcPr>
          <w:p>
            <w:pPr>
              <w:rPr>
                <w:rFonts w:hint="eastAsia" w:ascii="宋体" w:cs="宋体"/>
                <w:sz w:val="18"/>
                <w:szCs w:val="18"/>
              </w:rPr>
            </w:pPr>
            <w:r>
              <w:rPr>
                <w:rFonts w:hint="eastAsia" w:ascii="宋体" w:cs="宋体"/>
                <w:sz w:val="18"/>
                <w:szCs w:val="18"/>
              </w:rPr>
              <w:t>百分比</w:t>
            </w:r>
          </w:p>
        </w:tc>
        <w:tc>
          <w:tcPr>
            <w:tcW w:w="1052" w:type="dxa"/>
            <w:tcBorders>
              <w:tl2br w:val="nil"/>
              <w:tr2bl w:val="nil"/>
            </w:tcBorders>
          </w:tcPr>
          <w:p>
            <w:pPr>
              <w:rPr>
                <w:rFonts w:hint="eastAsia" w:ascii="宋体" w:cs="宋体"/>
                <w:sz w:val="18"/>
                <w:szCs w:val="18"/>
              </w:rPr>
            </w:pPr>
            <w:r>
              <w:rPr>
                <w:rFonts w:hint="eastAsia" w:ascii="宋体" w:cs="宋体"/>
                <w:sz w:val="18"/>
                <w:szCs w:val="18"/>
              </w:rPr>
              <w:t>年初计划</w:t>
            </w:r>
          </w:p>
        </w:tc>
      </w:tr>
    </w:tbl>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keepNext w:val="0"/>
        <w:widowControl w:val="0"/>
        <w:jc w:val="left"/>
        <w:outlineLvl w:val="1"/>
        <w:rPr>
          <w:rFonts w:ascii="Times New Roman" w:hAnsi="Times New Roman" w:eastAsia="仿宋_GB2312" w:cs="Times New Roman"/>
          <w:sz w:val="28"/>
        </w:rPr>
      </w:pPr>
      <w:r>
        <w:rPr>
          <w:rFonts w:ascii="Times New Roman" w:hAnsi="Times New Roman" w:eastAsia="仿宋_GB2312" w:cs="Times New Roman"/>
          <w:sz w:val="28"/>
        </w:rPr>
        <w:t>1.文艺联络、传统或重大节日主题活动经费绩效目标表</w:t>
      </w:r>
      <w:bookmarkStart w:id="0" w:name="_Toc29799657"/>
      <w:bookmarkEnd w:id="0"/>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131"/>
        <w:gridCol w:w="1995"/>
        <w:gridCol w:w="3150"/>
        <w:gridCol w:w="945"/>
        <w:gridCol w:w="735"/>
        <w:gridCol w:w="2620"/>
        <w:gridCol w:w="2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13102522P009158100014文艺联络、传统或重大节日主题活动经费</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5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5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10万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推进协会管理科学规范，召开联络会议、组织会员活动，加大培训力度，为县域文化事业健康快速发展提供组织保障。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25%</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50%</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文艺下乡场次</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协会下乡活动，为群众服务</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12</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场次</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根据以往年度活动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戏曲、书法进校园</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提高戏曲书法等艺术的普及</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20</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场次</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根据以往年度活动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各协会活动达标程度</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各协会活动汇总</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场次</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根据以往年度活动需求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各协会活动成本</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活动规模大小，产出成本最低，达到最好效果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年初计划，按预算成本，产出高质量作品</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综合事务完成率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各个协会组织各项主题活动以及重大节日庆祝活动完成情况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百分比</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r>
              <w:rPr>
                <w:rFonts w:hint="eastAsia" w:ascii="宋体" w:cs="宋体"/>
                <w:b/>
                <w:bCs/>
                <w:color w:val="000000"/>
                <w:kern w:val="0"/>
                <w:sz w:val="18"/>
                <w:szCs w:val="18"/>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对全县宣传文化事业发展的促进推动作用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通过全县文学艺术的各项活动，带动全县宣传文化事业发展的效果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文化成果显著</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长期使用性</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能够长期较好地开展各类活动，长期满足人民群众对精神文化的需求。</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文学艺术是大众的需求，不断满足人民的精神生活需求</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可行性报告要求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eastAsia="宋体" w:cs="宋体"/>
                <w:b/>
                <w:bCs/>
                <w:i w:val="0"/>
                <w:iCs w:val="0"/>
                <w:color w:val="000000"/>
                <w:kern w:val="0"/>
                <w:sz w:val="15"/>
                <w:szCs w:val="15"/>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群众满意度</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群众满意数量占总数的比例。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95</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百分比</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实际调查</w:t>
            </w:r>
          </w:p>
        </w:tc>
      </w:tr>
    </w:tbl>
    <w:p>
      <w:pPr>
        <w:ind w:left="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ascii="Times New Roman" w:hAnsi="Times New Roman" w:eastAsia="仿宋_GB2312" w:cs="Times New Roman"/>
          <w:vanish w:val="0"/>
          <w:sz w:val="28"/>
        </w:rPr>
        <w:t>2.</w:t>
      </w:r>
      <w:r>
        <w:rPr>
          <w:rFonts w:ascii="Times New Roman" w:hAnsi="Times New Roman" w:eastAsia="仿宋_GB2312" w:cs="Times New Roman"/>
          <w:sz w:val="28"/>
        </w:rPr>
        <w:t>研讨推介经费绩效目标表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2196"/>
        <w:gridCol w:w="1756"/>
        <w:gridCol w:w="2786"/>
        <w:gridCol w:w="1110"/>
        <w:gridCol w:w="1158"/>
        <w:gridCol w:w="2011"/>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项目编码及名称</w:t>
            </w:r>
          </w:p>
        </w:tc>
        <w:tc>
          <w:tcPr>
            <w:tcW w:w="6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13102522P00919710001B研讨推介经费</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主管部门</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项目单位</w:t>
            </w:r>
          </w:p>
        </w:tc>
        <w:tc>
          <w:tcPr>
            <w:tcW w:w="6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721001-大城县文学艺术界联合会本级</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年度资金总额</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5"/>
                <w:szCs w:val="15"/>
                <w:u w:val="none"/>
                <w:lang w:val="en-US" w:eastAsia="zh-CN"/>
              </w:rPr>
            </w:pPr>
            <w:r>
              <w:rPr>
                <w:rFonts w:hint="eastAsia" w:ascii="宋体" w:cs="宋体"/>
                <w:i w:val="0"/>
                <w:iCs w:val="0"/>
                <w:color w:val="000000"/>
                <w:sz w:val="15"/>
                <w:szCs w:val="15"/>
                <w:u w:val="none"/>
                <w:lang w:val="en-US" w:eastAsia="zh-CN"/>
              </w:rPr>
              <w:t>2万</w:t>
            </w:r>
            <w:r>
              <w:rPr>
                <w:rFonts w:ascii="宋体" w:cs="宋体"/>
                <w:i w:val="0"/>
                <w:iCs w:val="0"/>
                <w:color w:val="000000"/>
                <w:sz w:val="15"/>
                <w:szCs w:val="15"/>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组织县内文艺工作者创作文艺精品，繁荣文化事业，促进本县文化事业的影响力和美誉度进一步提高。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5"/>
                <w:szCs w:val="15"/>
                <w:u w:val="none"/>
                <w:lang w:val="en-US" w:eastAsia="zh-CN"/>
              </w:rPr>
            </w:pPr>
            <w:r>
              <w:rPr>
                <w:rFonts w:hint="eastAsia" w:ascii="宋体" w:eastAsia="宋体" w:cs="宋体"/>
                <w:b/>
                <w:bCs/>
                <w:i w:val="0"/>
                <w:iCs w:val="0"/>
                <w:color w:val="000000"/>
                <w:kern w:val="0"/>
                <w:sz w:val="15"/>
                <w:szCs w:val="15"/>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（累计支出比例）</w:t>
            </w:r>
          </w:p>
        </w:tc>
        <w:tc>
          <w:tcPr>
            <w:tcW w:w="3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3月底</w:t>
            </w:r>
          </w:p>
        </w:tc>
        <w:tc>
          <w:tcPr>
            <w:tcW w:w="2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6月底</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10月底</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20%</w:t>
            </w:r>
          </w:p>
        </w:tc>
        <w:tc>
          <w:tcPr>
            <w:tcW w:w="2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60%</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85%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年度绩效目标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hint="eastAsia" w:ascii="宋体" w:eastAsia="宋体" w:cs="宋体"/>
                <w:i w:val="0"/>
                <w:iCs w:val="0"/>
                <w:color w:val="000000"/>
                <w:kern w:val="0"/>
                <w:sz w:val="15"/>
                <w:szCs w:val="15"/>
                <w:u w:val="none"/>
                <w:lang w:val="en-US" w:eastAsia="zh-CN"/>
              </w:rPr>
              <w:t>目标1</w:t>
            </w:r>
          </w:p>
        </w:tc>
        <w:tc>
          <w:tcPr>
            <w:tcW w:w="107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5"/>
                <w:szCs w:val="15"/>
                <w:u w:val="none"/>
                <w:lang w:val="en-US" w:eastAsia="zh-CN"/>
              </w:rPr>
            </w:pPr>
            <w:r>
              <w:rPr>
                <w:rFonts w:hint="eastAsia" w:ascii="宋体" w:eastAsia="宋体" w:cs="宋体"/>
                <w:i w:val="0"/>
                <w:iCs w:val="0"/>
                <w:color w:val="000000"/>
                <w:kern w:val="0"/>
                <w:sz w:val="15"/>
                <w:szCs w:val="15"/>
                <w:u w:val="none"/>
                <w:lang w:val="en-US" w:eastAsia="zh-CN"/>
              </w:rPr>
              <w:t>目标2</w:t>
            </w:r>
          </w:p>
        </w:tc>
        <w:tc>
          <w:tcPr>
            <w:tcW w:w="107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一级指标</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三级指标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绩效指标描述（指标内容）</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指标值</w:t>
            </w:r>
          </w:p>
        </w:tc>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符号</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值</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单位（文字描述）</w:t>
            </w:r>
          </w:p>
        </w:tc>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产出指标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推介作品</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协会研讨推介会员作品，以及向省市推介人才。协会会员创作水平不断提高。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20</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人次</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文艺精品创作</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文艺精品生产数量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4</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篇（幅）</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对协会会员要求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研讨质量要求</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研讨质量达到一定标准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文字描述</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研讨质量高标准高质量完成</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按“五个一”标准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完成率</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当年研讨完成情况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95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百分比</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研讨推介次数</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研讨推介的次数以及人员，场地等因素决定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2</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万元</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本年度实际需求量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27" w:firstLineChars="350"/>
            </w:pPr>
            <w:r>
              <w:rPr>
                <w:rFonts w:ascii="宋体" w:eastAsia="宋体" w:cs="宋体"/>
                <w:b/>
                <w:bCs/>
                <w:i w:val="0"/>
                <w:iCs w:val="0"/>
                <w:color w:val="000000"/>
                <w:kern w:val="0"/>
                <w:sz w:val="15"/>
                <w:szCs w:val="15"/>
                <w:u w:val="none"/>
                <w:lang w:val="en-US" w:eastAsia="zh-CN"/>
              </w:rPr>
              <w:t>效益指标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社会效益明显</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通过研讨推介达到社会效应</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文字描述</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通过研讨推介提高知名度</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可持续影响指标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长期性</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研讨推介的作品可以长期使用保存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文字描述</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文学作品、摄影作品可以长期保存，长期使用</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入库作品篇数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满意度指标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协会会员满意度</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通过研讨推介活动推介人员及作品服务协会满意情况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95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百分比</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实际调查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编辑出版《大城县历史文化文丛》 经费</w:t>
      </w:r>
      <w:r>
        <w:rPr>
          <w:rFonts w:ascii="Times New Roman" w:hAnsi="Times New Roman" w:eastAsia="仿宋_GB2312" w:cs="Times New Roman"/>
          <w:sz w:val="28"/>
        </w:rPr>
        <w:t>绩效目标表</w:t>
      </w:r>
    </w:p>
    <w:tbl>
      <w:tblPr>
        <w:tblStyle w:val="8"/>
        <w:tblW w:w="146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921"/>
        <w:gridCol w:w="1155"/>
        <w:gridCol w:w="4409"/>
        <w:gridCol w:w="1304"/>
        <w:gridCol w:w="1304"/>
        <w:gridCol w:w="1662"/>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13102522P009207100012编辑出版《大城县历史文化文丛》 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721001-大城县文学艺术界联合会本级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20万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0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5"/>
                <w:szCs w:val="15"/>
                <w:u w:val="none"/>
              </w:rPr>
              <w:t>组织县内文艺工作者创作文艺精品，繁荣文化事业，挖掘本县历史文化艺术，促进本县文化事业的影响力和美誉度进一步提高。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20%</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80%</w:t>
            </w:r>
          </w:p>
        </w:tc>
        <w:tc>
          <w:tcPr>
            <w:tcW w:w="4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0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20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4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作品产出数</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文化文从的创作篇数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300</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篇</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文从发量需求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印刷数量</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实际印刷册数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2</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万册</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根据年初计划和社会读者需求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原创高质量作品</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各个协会产出原创作品质量满足人民需要</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40</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篇（幅）</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根据各协会评选以及读者认可的作品篇（幅）舒确定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印刷完成时间</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按照文从年初计划完成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6"/>
                <w:szCs w:val="16"/>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完成率</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根据实际收到刊物时间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预算控住数</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预算年度内文从印刷预算实际批复数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20</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根据需要测定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社会效益指标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社会影响力</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能够具有深远意义的影响，提高认知方向，保存价值。</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5</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年</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统计读者收藏数据显示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ind w:firstLine="361" w:firstLineChars="200"/>
            </w:pPr>
            <w:r>
              <w:rPr>
                <w:rFonts w:hint="eastAsia" w:ascii="宋体" w:eastAsia="宋体" w:cs="宋体"/>
                <w:b/>
                <w:bCs/>
                <w:i w:val="0"/>
                <w:iCs w:val="0"/>
                <w:color w:val="000000"/>
                <w:kern w:val="0"/>
                <w:sz w:val="18"/>
                <w:szCs w:val="18"/>
                <w:u w:val="none"/>
                <w:lang w:val="en-US" w:eastAsia="zh-CN"/>
              </w:rPr>
              <w:t>满意度指标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读者对刊物的满意度</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读者对刊物的需求以及满意程度比较高</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6"/>
                <w:szCs w:val="16"/>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对读者进行社会调查对刊物满意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作者对刊物的满意度</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作者对刊物满意度高，通过刊物平台展示自身价值</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6"/>
                <w:szCs w:val="16"/>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作者对刊物满意度高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对作者满意度调查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大城县文联文学艺术馆维护经费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13102522P000095100011大城县文联文学艺术馆维护经费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hint="eastAsia"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10万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本项目的总目标是对艺术馆进行修建改建，改善艺术馆办公条件，维持艺术馆的正常运行。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30%</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艺术馆维修</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艺术馆个数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竣工验收合格率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竣工期限</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按时完成工程建设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150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天</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总成本</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项目总成本</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预算评审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使用效果</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维修后使用效果持续</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同类项目效果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auto" w:sz="4" w:space="0"/>
              <w:right w:val="single" w:color="000000" w:sz="4" w:space="0"/>
            </w:tcBorders>
            <w:shd w:val="clear" w:color="auto" w:fill="auto"/>
            <w:vAlign w:val="center"/>
          </w:tcPr>
          <w:p>
            <w:pPr>
              <w:ind w:firstLine="181" w:firstLineChars="100"/>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参与活动人员</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调查问卷</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vanish w:val="0"/>
          <w:sz w:val="28"/>
        </w:rPr>
      </w:pPr>
      <w:r>
        <w:rPr>
          <w:rFonts w:ascii="Times New Roman" w:hAnsi="Times New Roman" w:eastAsia="仿宋_GB2312" w:cs="Times New Roman"/>
          <w:vanish/>
          <w:sz w:val="28"/>
        </w:rPr>
        <w:t>{ TC 2、办公自动化（OA）和督查督办系统升级及推广费绩效目标表 \f C \l 1 }</w:t>
      </w:r>
    </w:p>
    <w:p>
      <w:pPr>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作品编纂出版印刷经费</w:t>
      </w:r>
      <w:r>
        <w:rPr>
          <w:rFonts w:ascii="Times New Roman" w:hAnsi="Times New Roman" w:eastAsia="仿宋_GB2312" w:cs="Times New Roman"/>
          <w:sz w:val="28"/>
        </w:rPr>
        <w:t>绩效目标表</w:t>
      </w:r>
    </w:p>
    <w:tbl>
      <w:tblPr>
        <w:tblStyle w:val="8"/>
        <w:tblW w:w="147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879"/>
        <w:gridCol w:w="1290"/>
        <w:gridCol w:w="1062"/>
        <w:gridCol w:w="1708"/>
        <w:gridCol w:w="2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13102522P009198100011作品编纂出版印刷经费</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721001-大城县文学艺术界联合会本级</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30万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1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cs="宋体"/>
                <w:color w:val="000000"/>
                <w:sz w:val="18"/>
                <w:szCs w:val="18"/>
              </w:rPr>
              <w:t>组织县内文艺工作者创作文艺精品，繁荣文化事业，促进本县文化事业的影响力和美誉度进一步提高。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20%</w:t>
            </w: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60%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80%</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作品产出数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不同刊物上发表的作品数量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0.5</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万篇</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十期刊物总刊发量需求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印刷数量</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完成期刊创作，上级媒体宣传。出版《平舒艺苑》（六期）、《散文集》、《摄影集》、《美术集》、《书法集》。换届以后第一批刊物的重要性。以及政协提案的其他作品集。</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5.1</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万册</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根据年初计划和社会读者需求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原创高质量作品</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各个协会产出原创作品质量满足人民需要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40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篇（幅）</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根据各协会评选以及读者认可的作品篇（幅）舒确定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印刷完成率（%）</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按照刊物年初计划按月完成</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根据实际收到刊物册数定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印刷册数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预算年度内所有刊物印刷册数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30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根据每年需要测定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社会影响力</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能够具有深远意义的影响，提高认知方向，保存价值。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统计读者收藏数据显示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读者对刊物的满意度</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读者对刊物的需求以及满意程度比较高</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对读者进行社会调查对刊物满意</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作者对刊物的满意度</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作者对刊物满意度高，通过刊物平台展示自身价值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作者对刊物满意度高</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对作者满意度调查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京津冀艺术交流经费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13102522P00919910001N京津冀艺术交流经费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hint="eastAsia"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20万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完成文化交流计划，促进县域文化艺术的影响力和美誉度进一步提高。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20%</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60%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演出场次</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京津冀河北梆子、京剧演出</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场次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展览笔会场次</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京津冀笔会交流、展览交流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场次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演出、展览、笔会要求</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京津冀演出达到要求，满足群众需求。展览、笔会等活动达到市级以上水平，满足艺术需求。</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高标准，高水平</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根据省市标准要求确定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完成率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展览、演出、笔会、其他交流完成率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98</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百分比</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实际场次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财政资金投入</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根据京津冀演出标准，展览、笔会成本</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以往年度演出需求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社会影响程度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交流活动对大城其他事业的影响力</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带动其他产业的发展</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实际效益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长期性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京津冀艺术交流是一长期性活动</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京津冀协同发展要求</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京津冀一体化要求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文艺服务对人民大众的满意程度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百分比</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大城县文联文学艺术馆运行经费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13102522P00920510001N大城县文联文学艺术馆运行经费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hint="eastAsia"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20万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本项目的总目标是对艺术馆进行修建改建，改善艺术馆办公条件，维持艺术馆的正常运行。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30%</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艺术馆维修</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艺术馆个数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竣工验收合格率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竣工期限</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按时完成工程建设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150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天</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总成本</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项目总成本</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预算评审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受益人群</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参观人次</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500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受益人数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kern w:val="0"/>
                <w:sz w:val="18"/>
                <w:szCs w:val="18"/>
                <w:u w:val="none"/>
                <w:lang w:val="en-US" w:eastAsia="zh-CN"/>
              </w:rPr>
            </w:pPr>
            <w:r>
              <w:rPr>
                <w:rFonts w:hint="eastAsia" w:ascii="宋体" w:cs="宋体"/>
                <w:i w:val="0"/>
                <w:iCs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使用效果</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维修后使用效果持续</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同类项目效果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ind w:firstLine="361" w:firstLineChars="200"/>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参观人员</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参与活动人员</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调查问卷</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960" w:firstLineChars="3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960" w:firstLineChars="300"/>
        <w:jc w:val="left"/>
        <w:outlineLvl w:val="0"/>
        <w:rPr>
          <w:rFonts w:ascii="Times New Roman" w:hAnsi="Times New Roman" w:eastAsia="黑体" w:cs="Times New Roman"/>
          <w:sz w:val="32"/>
          <w:szCs w:val="32"/>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1"/>
      <w:r>
        <w:rPr>
          <w:rFonts w:ascii="Times New Roman" w:hAnsi="Times New Roman" w:eastAsia="黑体" w:cs="Times New Roman"/>
          <w:sz w:val="32"/>
          <w:szCs w:val="32"/>
        </w:rPr>
        <w:t>。</w:t>
      </w:r>
    </w:p>
    <w:p>
      <w:pPr>
        <w:jc w:val="center"/>
        <w:outlineLvl w:val="1"/>
        <w:rPr>
          <w:rFonts w:hint="eastAsia" w:ascii="方正小标宋_GBK" w:eastAsia="方正小标宋_GBK" w:cs="Times New Roman"/>
          <w:sz w:val="32"/>
        </w:rPr>
      </w:pPr>
      <w:bookmarkStart w:id="2" w:name="_Toc64920910"/>
    </w:p>
    <w:p>
      <w:pPr>
        <w:jc w:val="center"/>
        <w:outlineLvl w:val="1"/>
        <w:rPr>
          <w:rFonts w:ascii="Times New Roman" w:hAnsi="Times New Roman" w:eastAsia="黑体" w:cs="Times New Roman"/>
          <w:sz w:val="32"/>
          <w:szCs w:val="32"/>
        </w:rPr>
      </w:pPr>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2"/>
    </w:p>
    <w:p>
      <w:pPr>
        <w:spacing w:line="584" w:lineRule="exact"/>
        <w:ind w:firstLine="960" w:firstLineChars="300"/>
        <w:jc w:val="left"/>
        <w:outlineLvl w:val="0"/>
        <w:rPr>
          <w:rFonts w:ascii="Times New Roman" w:hAnsi="Times New Roman" w:eastAsia="黑体" w:cs="Times New Roman"/>
          <w:sz w:val="32"/>
          <w:szCs w:val="32"/>
        </w:rPr>
      </w:pPr>
    </w:p>
    <w:tbl>
      <w:tblPr>
        <w:tblStyle w:val="8"/>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0"/>
        <w:gridCol w:w="943"/>
        <w:gridCol w:w="1274"/>
        <w:gridCol w:w="1274"/>
        <w:gridCol w:w="590"/>
        <w:gridCol w:w="755"/>
        <w:gridCol w:w="754"/>
        <w:gridCol w:w="943"/>
        <w:gridCol w:w="944"/>
        <w:gridCol w:w="943"/>
        <w:gridCol w:w="944"/>
        <w:gridCol w:w="943"/>
        <w:gridCol w:w="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tblHeader/>
          <w:jc w:val="center"/>
        </w:trPr>
        <w:tc>
          <w:tcPr>
            <w:tcW w:w="724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文学艺术界联合会本级</w:t>
            </w:r>
          </w:p>
        </w:tc>
        <w:tc>
          <w:tcPr>
            <w:tcW w:w="566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tblHeader/>
          <w:jc w:val="center"/>
        </w:trPr>
        <w:tc>
          <w:tcPr>
            <w:tcW w:w="2593"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27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27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59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75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75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5660"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1" w:hRule="atLeast"/>
          <w:tblHeader/>
          <w:jc w:val="center"/>
        </w:trPr>
        <w:tc>
          <w:tcPr>
            <w:tcW w:w="165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274" w:type="dxa"/>
            <w:vMerge w:val="continue"/>
            <w:shd w:val="clear" w:color="auto" w:fill="auto"/>
            <w:vAlign w:val="center"/>
          </w:tcPr>
          <w:p/>
        </w:tc>
        <w:tc>
          <w:tcPr>
            <w:tcW w:w="1274" w:type="dxa"/>
            <w:vMerge w:val="continue"/>
            <w:shd w:val="clear" w:color="auto" w:fill="auto"/>
            <w:vAlign w:val="center"/>
          </w:tcPr>
          <w:p/>
        </w:tc>
        <w:tc>
          <w:tcPr>
            <w:tcW w:w="590" w:type="dxa"/>
            <w:vMerge w:val="continue"/>
            <w:shd w:val="clear" w:color="auto" w:fill="auto"/>
            <w:vAlign w:val="center"/>
          </w:tcPr>
          <w:p/>
        </w:tc>
        <w:tc>
          <w:tcPr>
            <w:tcW w:w="755" w:type="dxa"/>
            <w:vMerge w:val="continue"/>
            <w:shd w:val="clear" w:color="auto" w:fill="auto"/>
            <w:vAlign w:val="center"/>
          </w:tcPr>
          <w:p/>
        </w:tc>
        <w:tc>
          <w:tcPr>
            <w:tcW w:w="754" w:type="dxa"/>
            <w:vMerge w:val="continue"/>
            <w:shd w:val="clear" w:color="auto" w:fill="auto"/>
            <w:vAlign w:val="center"/>
          </w:tcP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94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94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943" w:type="dxa"/>
            <w:shd w:val="clear" w:color="auto" w:fill="auto"/>
            <w:vAlign w:val="center"/>
          </w:tcPr>
          <w:p>
            <w:pPr>
              <w:spacing w:line="300" w:lineRule="exact"/>
              <w:jc w:val="righ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590" w:type="dxa"/>
            <w:shd w:val="clear" w:color="auto" w:fill="auto"/>
            <w:vAlign w:val="center"/>
          </w:tcPr>
          <w:p>
            <w:pPr>
              <w:spacing w:line="300" w:lineRule="exact"/>
              <w:jc w:val="center"/>
              <w:rPr>
                <w:rFonts w:ascii="方正书宋_GBK" w:eastAsia="方正书宋_GBK" w:cs="Times New Roman"/>
                <w:b/>
              </w:rPr>
            </w:pPr>
          </w:p>
        </w:tc>
        <w:tc>
          <w:tcPr>
            <w:tcW w:w="755" w:type="dxa"/>
            <w:shd w:val="clear" w:color="auto" w:fill="auto"/>
            <w:vAlign w:val="center"/>
          </w:tcPr>
          <w:p>
            <w:pPr>
              <w:spacing w:line="300" w:lineRule="exact"/>
              <w:jc w:val="right"/>
              <w:rPr>
                <w:rFonts w:ascii="方正书宋_GBK" w:eastAsia="方正书宋_GBK" w:cs="Times New Roman"/>
                <w:b/>
              </w:rPr>
            </w:pPr>
          </w:p>
        </w:tc>
        <w:tc>
          <w:tcPr>
            <w:tcW w:w="75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center"/>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590" w:type="dxa"/>
            <w:shd w:val="clear" w:color="auto" w:fill="auto"/>
            <w:vAlign w:val="center"/>
          </w:tcPr>
          <w:p>
            <w:pPr>
              <w:spacing w:line="300" w:lineRule="exact"/>
              <w:jc w:val="center"/>
              <w:rPr>
                <w:rFonts w:ascii="方正书宋_GBK" w:eastAsia="方正书宋_GBK" w:cs="Times New Roman"/>
                <w:b/>
              </w:rPr>
            </w:pPr>
          </w:p>
        </w:tc>
        <w:tc>
          <w:tcPr>
            <w:tcW w:w="755" w:type="dxa"/>
            <w:shd w:val="clear" w:color="auto" w:fill="auto"/>
            <w:vAlign w:val="center"/>
          </w:tcPr>
          <w:p>
            <w:pPr>
              <w:spacing w:line="300" w:lineRule="exact"/>
              <w:jc w:val="right"/>
              <w:rPr>
                <w:rFonts w:ascii="方正书宋_GBK" w:eastAsia="方正书宋_GBK" w:cs="Times New Roman"/>
                <w:b/>
              </w:rPr>
            </w:pPr>
          </w:p>
        </w:tc>
        <w:tc>
          <w:tcPr>
            <w:tcW w:w="75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960" w:firstLineChars="300"/>
        <w:jc w:val="left"/>
        <w:outlineLvl w:val="0"/>
        <w:rPr>
          <w:rFonts w:ascii="Times New Roman" w:hAnsi="Times New Roman" w:eastAsia="黑体" w:cs="Times New Roman"/>
          <w:sz w:val="32"/>
          <w:szCs w:val="32"/>
        </w:rPr>
        <w:sectPr>
          <w:footerReference r:id="rId3" w:type="default"/>
          <w:pgSz w:w="16840"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left="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hd w:val="clear" w:color="auto" w:fill="FFFFFF"/>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ascii="Times New Roman" w:hAnsi="Times New Roman" w:eastAsia="仿宋_GB2312" w:cs="Times New Roman"/>
          <w:sz w:val="32"/>
          <w:szCs w:val="32"/>
        </w:rPr>
        <w:t>单位上年末固定资产金额为</w:t>
      </w:r>
      <w:r>
        <w:rPr>
          <w:rFonts w:hint="eastAsia" w:ascii="Times New Roman" w:hAnsi="Times New Roman" w:eastAsia="仿宋_GB2312" w:cs="Times New Roman"/>
          <w:sz w:val="32"/>
          <w:szCs w:val="32"/>
          <w:lang w:val="en-US" w:eastAsia="zh-CN"/>
        </w:rPr>
        <w:t>22.4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bookmarkStart w:id="3" w:name="_GoBack"/>
      <w:bookmarkEnd w:id="3"/>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8"/>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文学艺术界联合会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lang w:val="en-US" w:eastAsia="zh-CN"/>
              </w:rPr>
            </w:pPr>
            <w:r>
              <w:rPr>
                <w:rFonts w:ascii="Times New Roman" w:hAnsi="Times New Roman" w:eastAsia="仿宋_GB2312" w:cs="Times New Roman"/>
                <w:sz w:val="22"/>
                <w:lang w:val="en-US" w:eastAsia="zh-CN"/>
              </w:rPr>
              <w:t>31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ZGNiZDZmYmZlMTE0ZDViY2VhYTQ5ODkzMjQyMWZkMDgifQ=="/>
  </w:docVars>
  <w:rsids>
    <w:rsidRoot w:val="00000000"/>
    <w:rsid w:val="0233185A"/>
    <w:rsid w:val="0A8C10C7"/>
    <w:rsid w:val="0AE34525"/>
    <w:rsid w:val="189C2FD9"/>
    <w:rsid w:val="1BCB65FE"/>
    <w:rsid w:val="1EB4404F"/>
    <w:rsid w:val="2CAB3968"/>
    <w:rsid w:val="4B6B6A95"/>
    <w:rsid w:val="67A003EB"/>
    <w:rsid w:val="755401D1"/>
    <w:rsid w:val="784B1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19</Pages>
  <Words>7987</Words>
  <Characters>8475</Characters>
  <Lines>1003</Lines>
  <Paragraphs>787</Paragraphs>
  <TotalTime>12</TotalTime>
  <ScaleCrop>false</ScaleCrop>
  <LinksUpToDate>false</LinksUpToDate>
  <CharactersWithSpaces>8492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2022-03-31T02:43:00Z</cp:lastPrinted>
  <dcterms:modified xsi:type="dcterms:W3CDTF">2023-08-07T04:20:22Z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