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仿宋" w:hAnsi="仿宋" w:eastAsia="仿宋" w:cs="仿宋"/>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大城县臧屯中心卫生院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大城县臧屯中心卫生院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宣传贯彻党和政府的各项医疗卫生方针政策,协助政府实施农村医疗卫生工作；提供基本医疗服务,开展农村常见病、多发病以及诊断明确的慢性非传染性疾病的诊疗护理；开展疾病预防控制,做好辖区内传染病的疫情监测、报告、防治工作；建立居民健康档案,开展健康教育,做好慢性非传染性疾病及精神卫生的干预防治工作；落实国家和省免疫规划政策措施,开展孕产妇、儿童、老年人的保健工作；协助开展突发公共卫生事件应急调查和处置工作,承担区域内公共卫生相关信息的收集与报告；开展康复治疗、康复训练,提供计划生育技术指导与服务；承担对村卫生室和乡村医生的业务管理和指导；协助做好区域内食品卫生、饮用水卫生、公共场所卫生、职业卫生等公共卫生工作；协助做好城乡居民医保工作。</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大城县臧屯中心卫生院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2902" w:type="dxa"/>
            <w:shd w:val="clear" w:color="auto" w:fill="auto"/>
            <w:vAlign w:val="center"/>
          </w:tcPr>
          <w:p>
            <w:pPr>
              <w:spacing w:line="584" w:lineRule="exact"/>
              <w:jc w:val="center"/>
              <w:rPr>
                <w:rFonts w:ascii="Times New Roman" w:hAnsi="Times New Roman" w:eastAsia="仿宋_GB2312" w:cs="Times New Roman"/>
                <w:b/>
                <w:bCs/>
              </w:rPr>
            </w:pPr>
            <w:r>
              <w:rPr>
                <w:rFonts w:ascii="Times New Roman" w:hAnsi="Times New Roman" w:eastAsia="仿宋" w:cs="Times New Roman"/>
                <w:b/>
                <w:bCs/>
                <w:szCs w:val="21"/>
              </w:rPr>
              <w:t>财政性资金定额或定向补助</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大城县</w:t>
      </w:r>
      <w:r>
        <w:rPr>
          <w:rFonts w:hint="eastAsia" w:ascii="Times New Roman" w:hAnsi="Times New Roman" w:eastAsia="仿宋_GB2312" w:cs="Times New Roman"/>
          <w:sz w:val="32"/>
          <w:szCs w:val="32"/>
          <w:lang w:eastAsia="zh-CN"/>
        </w:rPr>
        <w:t>臧屯中心</w:t>
      </w:r>
      <w:r>
        <w:rPr>
          <w:rFonts w:hint="eastAsia" w:ascii="Times New Roman" w:hAnsi="Times New Roman" w:eastAsia="仿宋_GB2312" w:cs="Times New Roman"/>
          <w:sz w:val="32"/>
          <w:szCs w:val="32"/>
        </w:rPr>
        <w:t>卫生院</w:t>
      </w:r>
      <w:r>
        <w:rPr>
          <w:rFonts w:ascii="Times New Roman" w:hAnsi="Times New Roman" w:eastAsia="仿宋_GB2312" w:cs="Times New Roman"/>
          <w:sz w:val="32"/>
          <w:szCs w:val="32"/>
        </w:rPr>
        <w:t>收支包含在预算中。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129.78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129.78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129.78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129.78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119.79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129.78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2.84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2.84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为事业单位，</w:t>
      </w:r>
      <w:r>
        <w:rPr>
          <w:rFonts w:hint="eastAsia" w:ascii="Times New Roman" w:hAnsi="Times New Roman" w:eastAsia="仿宋_GB2312" w:cs="Times New Roman"/>
          <w:sz w:val="32"/>
          <w:szCs w:val="32"/>
        </w:rPr>
        <w:t>机关运行经费为0</w:t>
      </w:r>
      <w:r>
        <w:rPr>
          <w:rFonts w:hint="eastAsia" w:ascii="Times New Roman" w:hAnsi="Times New Roman" w:eastAsia="仿宋_GB2312" w:cs="Times New Roman"/>
          <w:sz w:val="32"/>
          <w:szCs w:val="32"/>
          <w:lang w:eastAsia="zh-CN"/>
        </w:rPr>
        <w:t>万元。</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为事业单位，</w:t>
      </w:r>
      <w:r>
        <w:rPr>
          <w:rFonts w:hint="eastAsia" w:ascii="Times New Roman" w:hAnsi="Times New Roman" w:eastAsia="仿宋_GB2312" w:cs="Times New Roman"/>
          <w:sz w:val="32"/>
          <w:szCs w:val="32"/>
          <w:lang w:val="en-US" w:eastAsia="zh-CN"/>
        </w:rPr>
        <w:t>2022年</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为0</w:t>
      </w:r>
      <w:r>
        <w:rPr>
          <w:rFonts w:hint="eastAsia" w:ascii="Times New Roman" w:hAnsi="Times New Roman" w:eastAsia="仿宋_GB2312" w:cs="Times New Roman"/>
          <w:sz w:val="32"/>
          <w:szCs w:val="32"/>
          <w:lang w:eastAsia="zh-CN"/>
        </w:rPr>
        <w:t>万元</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0" w:firstLineChars="200"/>
        <w:rPr>
          <w:rFonts w:ascii="Times New Roman" w:hAnsi="Times New Roman" w:eastAsia="黑体"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宣传贯彻党和政府的各项医疗卫生方针政策,推进政府实施农村医疗卫生工作；保障妇女儿童身心健康；提高医疗机构的疾病诊断及救治能力，满足各类人民群众的医疗服务需求；开展疾病预防控制,做好辖区内传染病的疫情监测、报告、防治工作；建立居民健康档案,开展健康教育,做好慢性非传染性疾病及精神卫生的干预防治工作；落实国家和省免疫规划政策措施,开展孕产妇、儿童、老年人的保健工作；提高突发公共卫生事件应急调查和处置工作能力。</w:t>
      </w:r>
    </w:p>
    <w:p>
      <w:pPr>
        <w:spacing w:line="584" w:lineRule="exact"/>
        <w:ind w:firstLine="640" w:firstLineChars="200"/>
        <w:rPr>
          <w:rFonts w:ascii="仿宋" w:hAnsi="仿宋" w:eastAsia="仿宋" w:cs="仿宋"/>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仿宋" w:hAnsi="仿宋" w:eastAsia="仿宋" w:cs="仿宋"/>
          <w:b/>
          <w:szCs w:val="32"/>
        </w:rPr>
      </w:pPr>
      <w:r>
        <w:rPr>
          <w:rFonts w:hint="eastAsia" w:ascii="仿宋" w:hAnsi="仿宋" w:eastAsia="仿宋" w:cs="仿宋"/>
          <w:b/>
          <w:szCs w:val="32"/>
        </w:rPr>
        <w:t>1：实施实施国家公共卫生服务，保障人民身心健康</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hAnsi="仿宋" w:eastAsia="仿宋" w:cs="仿宋"/>
          <w:szCs w:val="32"/>
        </w:rPr>
      </w:pPr>
      <w:r>
        <w:rPr>
          <w:rFonts w:hint="eastAsia" w:ascii="仿宋" w:hAnsi="仿宋" w:eastAsia="仿宋" w:cs="仿宋"/>
          <w:szCs w:val="32"/>
        </w:rPr>
        <w:t>绩效目标：</w:t>
      </w:r>
      <w:r>
        <w:rPr>
          <w:rFonts w:hint="eastAsia" w:ascii="仿宋" w:hAnsi="仿宋" w:eastAsia="仿宋" w:cs="仿宋"/>
          <w:b w:val="0"/>
          <w:szCs w:val="32"/>
        </w:rPr>
        <w:t>对城乡居民健康实行干预，减少危害健康的因素，有效预防传染病及慢性病，使其享有平等的基本卫生服务。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hAnsi="仿宋" w:eastAsia="仿宋" w:cs="仿宋"/>
          <w:b w:val="0"/>
          <w:szCs w:val="32"/>
        </w:rPr>
      </w:pPr>
      <w:r>
        <w:rPr>
          <w:rFonts w:hint="eastAsia" w:ascii="仿宋" w:hAnsi="仿宋" w:eastAsia="仿宋" w:cs="仿宋"/>
          <w:szCs w:val="32"/>
        </w:rPr>
        <w:t>绩效指标：</w:t>
      </w:r>
      <w:r>
        <w:rPr>
          <w:rFonts w:hint="eastAsia" w:ascii="仿宋" w:hAnsi="仿宋" w:eastAsia="仿宋" w:cs="仿宋"/>
          <w:b w:val="0"/>
          <w:szCs w:val="32"/>
        </w:rPr>
        <w:t>城乡居民健康档案建档率达到75%以上，对辖区65岁以上老年人体检率达到90%以上，对辖区适龄儿童进行规划免疫接种率95%以上，突发公共卫生事件信息报告率都在99%以上。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b/>
          <w:sz w:val="32"/>
          <w:szCs w:val="32"/>
        </w:rPr>
      </w:pPr>
      <w:r>
        <w:rPr>
          <w:rFonts w:hint="eastAsia" w:ascii="仿宋" w:hAnsi="仿宋" w:eastAsia="仿宋" w:cs="仿宋"/>
          <w:b/>
          <w:sz w:val="32"/>
          <w:szCs w:val="32"/>
        </w:rPr>
        <w:t>2：全力推进医改，提高医疗救治水平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针对不同类型的疾病提供预防、检查、诊断、治疗和康复等各类医疗服务，机构和医疗服，满足各类患者的医疗服务需求。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通过提高医疗人员素质、提高人员仪器水平，对入院出院患者诊断准确率达95%以上，提高人员技术水平，加强医疗仪器设备管理，患者门急诊等候时间15分钟以下。</w:t>
      </w: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rPr>
          <w:rFonts w:ascii="仿宋" w:hAnsi="仿宋" w:eastAsia="仿宋" w:cs="仿宋"/>
          <w:b w:val="0"/>
        </w:rPr>
      </w:pPr>
    </w:p>
    <w:p>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sz w:val="32"/>
        </w:rPr>
      </w:pPr>
      <w:r>
        <w:rPr>
          <w:rFonts w:hint="eastAsia" w:ascii="仿宋" w:hAnsi="仿宋" w:eastAsia="仿宋" w:cs="仿宋"/>
          <w:b/>
          <w:sz w:val="32"/>
        </w:rPr>
        <w:t>加强资金支出管理。</w:t>
      </w:r>
      <w:r>
        <w:rPr>
          <w:rFonts w:hint="eastAsia" w:ascii="仿宋" w:hAnsi="仿宋" w:eastAsia="仿宋" w:cs="仿宋"/>
          <w:sz w:val="32"/>
        </w:rPr>
        <w:t>围绕年度重点工作，进一步优化支出结构，编细编实预算、按规定及时下达资金，确保支出进度达标。发现问题及时采取措施，确保绩效目标如期保质实现。</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rPr>
          <w:rFonts w:ascii="仿宋" w:hAnsi="仿宋" w:eastAsia="仿宋" w:cs="仿宋"/>
        </w:rPr>
      </w:pPr>
      <w:r>
        <w:rPr>
          <w:rFonts w:hint="eastAsia" w:ascii="仿宋" w:hAnsi="仿宋" w:eastAsia="仿宋" w:cs="仿宋"/>
          <w:b/>
        </w:rPr>
        <w:t>2、完善机关财务制度。</w:t>
      </w:r>
      <w:r>
        <w:rPr>
          <w:rFonts w:hint="eastAsia" w:ascii="仿宋" w:hAnsi="仿宋" w:eastAsia="仿宋" w:cs="仿宋"/>
        </w:rPr>
        <w:t>单位的资产管理，严格审批程序，严格固定资产管理制度，专人管理，有效合理使用。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sz w:val="32"/>
        </w:rPr>
      </w:pPr>
      <w:r>
        <w:rPr>
          <w:rFonts w:hint="eastAsia" w:ascii="仿宋" w:hAnsi="仿宋" w:eastAsia="仿宋" w:cs="仿宋"/>
          <w:b/>
          <w:sz w:val="32"/>
        </w:rPr>
        <w:t>3、加强内部监督。</w:t>
      </w:r>
      <w:r>
        <w:rPr>
          <w:rFonts w:hint="eastAsia" w:ascii="仿宋" w:hAnsi="仿宋" w:eastAsia="仿宋" w:cs="仿宋"/>
          <w:sz w:val="32"/>
        </w:rPr>
        <w:t>加强内部监督制度建设，对重大支出等事项的决策和执行进行督导，对会计资料进行内部审计，配合做好审计、财政监督等外部监督，确保财政资金安全有效。</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rPr>
      </w:pPr>
      <w:r>
        <w:rPr>
          <w:rFonts w:hint="eastAsia" w:ascii="仿宋" w:hAnsi="仿宋" w:eastAsia="仿宋" w:cs="仿宋"/>
          <w:b/>
        </w:rPr>
        <w:t>4、加强宣传培训调研。</w:t>
      </w:r>
      <w:r>
        <w:rPr>
          <w:rFonts w:hint="eastAsia" w:ascii="仿宋" w:hAnsi="仿宋" w:eastAsia="仿宋" w:cs="仿宋"/>
        </w:rPr>
        <w:t>加强人员培训，提高职工业务素质；加强调研，提高资金使用效益；强化预算绩效管理意识，促进预算绩效水平进一步提升</w:t>
      </w:r>
      <w:r>
        <w:rPr>
          <w:rFonts w:ascii="新宋体" w:hAnsi="新宋体" w:eastAsia="新宋体"/>
        </w:rPr>
        <w:t>。</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新宋体" w:hAnsi="新宋体" w:eastAsia="新宋体"/>
        </w:rPr>
      </w:pPr>
    </w:p>
    <w:p>
      <w:pPr>
        <w:overflowPunct w:val="0"/>
        <w:adjustRightInd w:val="0"/>
        <w:snapToGrid w:val="0"/>
        <w:spacing w:afterLines="50" w:line="580" w:lineRule="exact"/>
        <w:ind w:left="420"/>
        <w:jc w:val="left"/>
        <w:rPr>
          <w:rFonts w:hint="eastAsia" w:ascii="楷体_GB2312" w:eastAsia="楷体_GB2312" w:cs="Times New Roman"/>
          <w:b/>
          <w:sz w:val="32"/>
          <w:szCs w:val="32"/>
        </w:rPr>
      </w:pPr>
      <w:r>
        <w:rPr>
          <w:rFonts w:hint="eastAsia" w:ascii="楷体_GB2312" w:eastAsia="楷体_GB2312" w:cs="Times New Roman"/>
          <w:b/>
          <w:sz w:val="32"/>
          <w:szCs w:val="32"/>
        </w:rPr>
        <w:t>　</w:t>
      </w:r>
    </w:p>
    <w:p>
      <w:pPr>
        <w:overflowPunct w:val="0"/>
        <w:adjustRightInd w:val="0"/>
        <w:snapToGrid w:val="0"/>
        <w:spacing w:afterLines="50" w:line="580" w:lineRule="exact"/>
        <w:ind w:left="420"/>
        <w:jc w:val="left"/>
        <w:rPr>
          <w:rFonts w:hint="eastAsia" w:ascii="楷体_GB2312" w:eastAsia="楷体_GB2312" w:cs="Times New Roman"/>
          <w:b/>
          <w:sz w:val="32"/>
          <w:szCs w:val="32"/>
        </w:rPr>
      </w:pPr>
    </w:p>
    <w:p>
      <w:pPr>
        <w:overflowPunct w:val="0"/>
        <w:adjustRightInd w:val="0"/>
        <w:snapToGrid w:val="0"/>
        <w:spacing w:afterLines="50" w:line="580" w:lineRule="exact"/>
        <w:jc w:val="left"/>
        <w:rPr>
          <w:rFonts w:hint="eastAsia" w:ascii="楷体_GB2312" w:eastAsia="楷体_GB2312" w:cs="Times New Roman"/>
          <w:b/>
          <w:sz w:val="32"/>
          <w:szCs w:val="32"/>
        </w:rPr>
      </w:pPr>
    </w:p>
    <w:p>
      <w:pPr>
        <w:overflowPunct w:val="0"/>
        <w:adjustRightInd w:val="0"/>
        <w:snapToGrid w:val="0"/>
        <w:spacing w:afterLines="50" w:line="580" w:lineRule="exact"/>
        <w:ind w:firstLine="964" w:firstLineChars="300"/>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overflowPunct w:val="0"/>
        <w:adjustRightInd w:val="0"/>
        <w:snapToGrid w:val="0"/>
        <w:spacing w:afterLines="50" w:line="580" w:lineRule="exact"/>
        <w:ind w:left="420"/>
        <w:jc w:val="left"/>
        <w:rPr>
          <w:rFonts w:ascii="楷体_GB2312"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34"/>
        <w:gridCol w:w="1835"/>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34" w:type="dxa"/>
            <w:vMerge w:val="continue"/>
            <w:tcBorders>
              <w:tl2br w:val="nil"/>
              <w:tr2bl w:val="nil"/>
            </w:tcBorders>
            <w:vAlign w:val="center"/>
          </w:tcPr>
          <w:p/>
        </w:tc>
        <w:tc>
          <w:tcPr>
            <w:tcW w:w="1835"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1个单位</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部门预算执行单位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规范执行指标</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部门预算执行情况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预算资金执行进度</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按预算资金执行进度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预算资金成本控制</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预算资金使用情况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&lt;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逐步提高</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34" w:type="dxa"/>
            <w:tcBorders>
              <w:tl2br w:val="nil"/>
              <w:tr2bl w:val="nil"/>
            </w:tcBorders>
            <w:noWrap/>
            <w:vAlign w:val="center"/>
          </w:tcPr>
          <w:p>
            <w:pPr>
              <w:widowControl/>
              <w:adjustRightInd w:val="0"/>
              <w:snapToGrid w:val="0"/>
              <w:rPr>
                <w:rFonts w:ascii="方正书宋_GBK" w:eastAsia="方正书宋_GBK"/>
              </w:rPr>
            </w:pPr>
          </w:p>
        </w:tc>
        <w:tc>
          <w:tcPr>
            <w:tcW w:w="1835"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3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183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满意</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7840" w:firstLineChars="2800"/>
        <w:jc w:val="left"/>
        <w:outlineLvl w:val="1"/>
        <w:rPr>
          <w:rFonts w:ascii="Times New Roman" w:hAnsi="Times New Roman" w:eastAsia="仿宋_GB2312" w:cs="Times New Roman"/>
          <w:sz w:val="28"/>
        </w:rPr>
      </w:pPr>
      <w:r>
        <w:rPr>
          <w:rFonts w:ascii="Times New Roman" w:hAnsi="Times New Roman" w:eastAsia="仿宋_GB2312" w:cs="Times New Roman"/>
          <w:sz w:val="28"/>
        </w:rPr>
        <w:t>绩效目标表</w:t>
      </w:r>
      <w:bookmarkStart w:id="0" w:name="_Toc29799657"/>
      <w:bookmarkEnd w:id="0"/>
    </w:p>
    <w:tbl>
      <w:tblPr>
        <w:tblStyle w:val="8"/>
        <w:tblW w:w="15229" w:type="dxa"/>
        <w:tblInd w:w="-214" w:type="dxa"/>
        <w:tblLayout w:type="fixed"/>
        <w:tblCellMar>
          <w:top w:w="0" w:type="dxa"/>
          <w:left w:w="108" w:type="dxa"/>
          <w:bottom w:w="0" w:type="dxa"/>
          <w:right w:w="108" w:type="dxa"/>
        </w:tblCellMar>
      </w:tblPr>
      <w:tblGrid>
        <w:gridCol w:w="1608"/>
        <w:gridCol w:w="996"/>
        <w:gridCol w:w="3244"/>
        <w:gridCol w:w="5288"/>
        <w:gridCol w:w="946"/>
        <w:gridCol w:w="494"/>
        <w:gridCol w:w="1488"/>
        <w:gridCol w:w="1165"/>
      </w:tblGrid>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95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Cs w:val="21"/>
              </w:rPr>
            </w:pPr>
            <w:r>
              <w:rPr>
                <w:rFonts w:hint="eastAsia" w:ascii="宋体" w:hAnsi="宋体" w:cs="宋体"/>
                <w:sz w:val="18"/>
                <w:szCs w:val="18"/>
              </w:rPr>
              <w:t>[</w:t>
            </w:r>
            <w:r>
              <w:rPr>
                <w:rFonts w:ascii="宋体" w:hAnsi="宋体" w:cs="宋体"/>
                <w:sz w:val="18"/>
                <w:szCs w:val="18"/>
              </w:rPr>
              <w:t>13102522D361E71379230</w:t>
            </w:r>
            <w:r>
              <w:rPr>
                <w:rFonts w:hint="eastAsia" w:ascii="宋体" w:hAnsi="宋体" w:cs="宋体"/>
                <w:sz w:val="18"/>
                <w:szCs w:val="18"/>
              </w:rPr>
              <w:t>]2022年人员类项目</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[361]大城县卫生健康局</w:t>
            </w: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95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szCs w:val="21"/>
              </w:rPr>
              <w:t>[</w:t>
            </w:r>
            <w:r>
              <w:rPr>
                <w:rFonts w:hint="eastAsia" w:ascii="宋体" w:hAnsi="宋体" w:cs="宋体"/>
                <w:sz w:val="18"/>
                <w:szCs w:val="18"/>
              </w:rPr>
              <w:t>361010]大城县臧屯中心卫生院</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129.78万元</w:t>
            </w:r>
          </w:p>
        </w:tc>
      </w:tr>
      <w:tr>
        <w:tblPrEx>
          <w:tblCellMar>
            <w:top w:w="0" w:type="dxa"/>
            <w:left w:w="108" w:type="dxa"/>
            <w:bottom w:w="0" w:type="dxa"/>
            <w:right w:w="108" w:type="dxa"/>
          </w:tblCellMar>
        </w:tblPrEx>
        <w:trPr>
          <w:trHeight w:val="6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62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用于保障我单位2022年财政供养人员工资待遇</w:t>
            </w:r>
          </w:p>
        </w:tc>
      </w:tr>
      <w:tr>
        <w:tblPrEx>
          <w:tblCellMar>
            <w:top w:w="0" w:type="dxa"/>
            <w:left w:w="108" w:type="dxa"/>
            <w:bottom w:w="0" w:type="dxa"/>
            <w:right w:w="108" w:type="dxa"/>
          </w:tblCellMar>
        </w:tblPrEx>
        <w:trPr>
          <w:trHeight w:val="405"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4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rPr>
          <w:trHeight w:val="607"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6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主要用于人员工资福利等支出，保障办公正常运转</w:t>
            </w:r>
          </w:p>
        </w:tc>
      </w:tr>
      <w:tr>
        <w:tblPrEx>
          <w:tblCellMar>
            <w:top w:w="0" w:type="dxa"/>
            <w:left w:w="108" w:type="dxa"/>
            <w:bottom w:w="0" w:type="dxa"/>
            <w:right w:w="108" w:type="dxa"/>
          </w:tblCellMar>
        </w:tblPrEx>
        <w:trPr>
          <w:trHeight w:val="30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32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5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4"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5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保障人数</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保障人数</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90"/>
              <w:jc w:val="right"/>
              <w:textAlignment w:val="center"/>
              <w:rPr>
                <w:rFonts w:ascii="宋体" w:hAnsi="宋体" w:cs="宋体"/>
                <w:color w:val="000000"/>
                <w:sz w:val="18"/>
                <w:szCs w:val="18"/>
              </w:rPr>
            </w:pPr>
            <w:r>
              <w:rPr>
                <w:rFonts w:hint="eastAsia" w:ascii="宋体" w:hAnsi="宋体" w:cs="宋体"/>
                <w:color w:val="000000"/>
                <w:sz w:val="18"/>
                <w:szCs w:val="18"/>
              </w:rPr>
              <w:t>19</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工资（福利）等发放精准性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工资福利等发放人员范围的精准和发放数据的准确性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266"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社会保障（公积金）缴纳的准确性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社会保障（公积金）缴纳的准确性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时</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时效指标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宋体"/>
                <w:color w:val="000000"/>
                <w:sz w:val="18"/>
                <w:szCs w:val="18"/>
              </w:rPr>
              <w:t>工资（福利）发放及时性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宋体"/>
                <w:color w:val="000000"/>
                <w:sz w:val="18"/>
                <w:szCs w:val="18"/>
              </w:rPr>
              <w:t>工资福利等发放的时效情况</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宋体"/>
                <w:color w:val="000000"/>
                <w:sz w:val="18"/>
                <w:szCs w:val="18"/>
              </w:rPr>
              <w:t>按规定时间发放</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时效指标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社会保障（公积金）缴纳的及时性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社会保障（公积金）缴纳的及时性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按规定时间发放</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工资（福利）社会保障等发放标准</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工资（福利）社会保障（公积金）等发放（缴纳）标准</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按规定执行</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加强人员归属感，保持队伍稳定</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通过按时按标准发放工资福利等，进一步增强干部职工的归属感，</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保持干部队伍相对稳定，保持办公正常运转</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保持干部队伍相对稳定</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服务对象满意度指标    </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单位人员满意度</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单位人员对工资福利等发放工作的满意程度</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640" w:firstLineChars="200"/>
        <w:jc w:val="left"/>
        <w:outlineLvl w:val="1"/>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ind w:firstLine="640" w:firstLineChars="200"/>
        <w:outlineLvl w:val="1"/>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hint="eastAsia" w:ascii="Times New Roman" w:hAnsi="Times New Roman" w:eastAsia="仿宋_GB2312" w:cs="Times New Roman"/>
          <w:sz w:val="32"/>
          <w:szCs w:val="24"/>
          <w:lang w:eastAsia="zh-CN"/>
        </w:rPr>
        <w:t>万元</w:t>
      </w:r>
      <w:r>
        <w:rPr>
          <w:rFonts w:ascii="Times New Roman" w:hAnsi="Times New Roman" w:eastAsia="仿宋_GB2312" w:cs="Times New Roman"/>
          <w:sz w:val="32"/>
          <w:szCs w:val="24"/>
        </w:rPr>
        <w:t>。</w:t>
      </w:r>
      <w:bookmarkEnd w:id="1"/>
      <w:bookmarkStart w:id="2" w:name="_Toc64920910"/>
    </w:p>
    <w:p>
      <w:pPr>
        <w:jc w:val="center"/>
        <w:outlineLvl w:val="1"/>
        <w:rPr>
          <w:rFonts w:hint="eastAsia" w:ascii="方正小标宋_GBK" w:eastAsia="方正小标宋_GBK" w:cs="Times New Roman"/>
          <w:sz w:val="32"/>
        </w:rPr>
      </w:pPr>
    </w:p>
    <w:p>
      <w:pPr>
        <w:jc w:val="center"/>
        <w:outlineLvl w:val="1"/>
        <w:rPr>
          <w:rFonts w:ascii="Times New Roman" w:hAnsi="Times New Roman" w:cs="Times New Roman"/>
          <w:sz w:val="32"/>
        </w:rPr>
      </w:pP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lang w:eastAsia="zh-CN"/>
              </w:rPr>
              <w:t>单位：</w:t>
            </w:r>
            <w:bookmarkStart w:id="3" w:name="_GoBack"/>
            <w:bookmarkEnd w:id="3"/>
            <w:r>
              <w:rPr>
                <w:rFonts w:hint="eastAsia" w:ascii="方正小标宋_GBK" w:eastAsia="方正小标宋_GBK" w:cs="Times New Roman"/>
                <w:sz w:val="24"/>
              </w:rPr>
              <w:t>大城县臧屯中心卫生院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eastAsia" w:ascii="Times New Roman" w:hAnsi="Times New Roman" w:eastAsia="仿宋_GB2312" w:cs="Times New Roman"/>
          <w:sz w:val="32"/>
          <w:szCs w:val="32"/>
          <w:lang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sz w:val="32"/>
          <w:szCs w:val="32"/>
          <w:lang w:eastAsia="zh-CN"/>
        </w:rPr>
        <w:t>注：无政府采购预算，空表列示。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我单位2021年</w:t>
      </w:r>
      <w:r>
        <w:rPr>
          <w:rFonts w:ascii="Times New Roman" w:hAnsi="Times New Roman" w:eastAsia="仿宋_GB2312" w:cs="Times New Roman"/>
          <w:sz w:val="32"/>
          <w:szCs w:val="32"/>
        </w:rPr>
        <w:t>末固定资产金额为</w:t>
      </w:r>
      <w:r>
        <w:rPr>
          <w:rFonts w:hint="eastAsia" w:ascii="Times New Roman" w:hAnsi="Times New Roman" w:eastAsia="仿宋_GB2312" w:cs="Times New Roman"/>
          <w:sz w:val="32"/>
          <w:szCs w:val="32"/>
        </w:rPr>
        <w:t>149.51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单位未</w:t>
      </w:r>
      <w:r>
        <w:rPr>
          <w:rFonts w:ascii="Times New Roman" w:hAnsi="Times New Roman" w:eastAsia="仿宋_GB2312" w:cs="Times New Roman"/>
          <w:sz w:val="32"/>
          <w:szCs w:val="32"/>
        </w:rPr>
        <w:t>拟购置固定列入政府采购预算。</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hint="eastAsia" w:ascii="Times New Roman" w:hAnsi="Times New Roman" w:eastAsia="仿宋_GB2312" w:cs="Times New Roman"/>
                <w:b/>
                <w:bCs/>
                <w:kern w:val="0"/>
                <w:sz w:val="32"/>
                <w:szCs w:val="32"/>
                <w:lang w:eastAsia="zh-CN"/>
              </w:rPr>
              <w:t>臧屯中心卫生院</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大城县臧屯中心卫生院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149.51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80.96</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1A19AF"/>
    <w:multiLevelType w:val="singleLevel"/>
    <w:tmpl w:val="E11A19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k1ZmM2ZTkxMzViZGVhM2NlZWU5MjE0NGMyNTY2ZmEifQ=="/>
  </w:docVars>
  <w:rsids>
    <w:rsidRoot w:val="00D347CC"/>
    <w:rsid w:val="00242DB5"/>
    <w:rsid w:val="003F17D4"/>
    <w:rsid w:val="004A54AA"/>
    <w:rsid w:val="004E241D"/>
    <w:rsid w:val="00563A96"/>
    <w:rsid w:val="005A3182"/>
    <w:rsid w:val="005F02E5"/>
    <w:rsid w:val="0070651E"/>
    <w:rsid w:val="008C0CE2"/>
    <w:rsid w:val="00B80935"/>
    <w:rsid w:val="00D347CC"/>
    <w:rsid w:val="00DE3E63"/>
    <w:rsid w:val="00DF7206"/>
    <w:rsid w:val="02414BB1"/>
    <w:rsid w:val="02732F88"/>
    <w:rsid w:val="02925B25"/>
    <w:rsid w:val="039F6B6F"/>
    <w:rsid w:val="06494B93"/>
    <w:rsid w:val="06D4578E"/>
    <w:rsid w:val="08624EAC"/>
    <w:rsid w:val="08A41020"/>
    <w:rsid w:val="0F4C41C0"/>
    <w:rsid w:val="10E022CF"/>
    <w:rsid w:val="1B0F63F2"/>
    <w:rsid w:val="2179508B"/>
    <w:rsid w:val="2690537C"/>
    <w:rsid w:val="2AD00E40"/>
    <w:rsid w:val="2B275294"/>
    <w:rsid w:val="2CE80EDE"/>
    <w:rsid w:val="325E56D3"/>
    <w:rsid w:val="34B025C1"/>
    <w:rsid w:val="3EAD40DA"/>
    <w:rsid w:val="3F8A033F"/>
    <w:rsid w:val="410A1D1C"/>
    <w:rsid w:val="46C571BE"/>
    <w:rsid w:val="46E71798"/>
    <w:rsid w:val="4AA76173"/>
    <w:rsid w:val="4B3043BA"/>
    <w:rsid w:val="4E49478A"/>
    <w:rsid w:val="4F750978"/>
    <w:rsid w:val="510E3FD4"/>
    <w:rsid w:val="51E207B2"/>
    <w:rsid w:val="55E73D2F"/>
    <w:rsid w:val="58A13BF6"/>
    <w:rsid w:val="59893D04"/>
    <w:rsid w:val="5A452B1A"/>
    <w:rsid w:val="60545FFD"/>
    <w:rsid w:val="612D6345"/>
    <w:rsid w:val="62873896"/>
    <w:rsid w:val="687C0C91"/>
    <w:rsid w:val="6D0D4676"/>
    <w:rsid w:val="6D686D7A"/>
    <w:rsid w:val="6FCE160C"/>
    <w:rsid w:val="74CB59A5"/>
    <w:rsid w:val="7A3A3474"/>
    <w:rsid w:val="7A411B9B"/>
    <w:rsid w:val="7AFC02F5"/>
    <w:rsid w:val="7BFA44FE"/>
    <w:rsid w:val="7C6052F8"/>
    <w:rsid w:val="7D7D49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正文文本1"/>
    <w:basedOn w:val="1"/>
    <w:qFormat/>
    <w:uiPriority w:val="0"/>
    <w:rPr>
      <w:sz w:val="32"/>
    </w:rPr>
  </w:style>
  <w:style w:type="paragraph" w:customStyle="1" w:styleId="13">
    <w:name w:val="Heading 2"/>
    <w:basedOn w:val="1"/>
    <w:qFormat/>
    <w:uiPriority w:val="6"/>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3546</Words>
  <Characters>3732</Characters>
  <Lines>30</Lines>
  <Paragraphs>8</Paragraphs>
  <TotalTime>62</TotalTime>
  <ScaleCrop>false</ScaleCrop>
  <LinksUpToDate>false</LinksUpToDate>
  <CharactersWithSpaces>3748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2023-07-24T07:26:28Z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E8F324BF07EC42B0B2159CBB4BE17433</vt:lpwstr>
  </property>
</Properties>
</file>