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bookmarkStart w:id="3" w:name="_GoBack"/>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rPr>
        <w:t>大尚屯镇人民政府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bookmarkEnd w:id="3"/>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rPr>
        <w:t>大城县大尚屯镇人民政府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60"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（二）讨论和决定镇经济建设、政治建设、文化建设、社会建设、生态文明建设和党的建设以及乡村振兴中的重大问题。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（三）组织召开本级人民代表大会，充分行使重大事项决定权、监督权和任免权，做好人大代表工作，联系选民、反映群众意见和要求。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（六）加强镇党委自身建设和村党组织建设，以及其他隶属镇党委的党组织建设，抓好发展党员工作，加强党员队伍建设,维护和执行党的纪律，监督党员干部和其他任何工作人员严格遵守国家法律法规。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（七）按照干部管理权限，负责对干部的教育、培训、选拔、考核和监督工作；协助管理上级有关部门驻镇单位的干部；做好人才服务工作。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（十）承办上级党委、人大、政府交办的其他事项。</w:t>
      </w:r>
    </w:p>
    <w:p>
      <w:pPr>
        <w:spacing w:line="584" w:lineRule="exact"/>
        <w:ind w:firstLine="642" w:firstLineChars="200"/>
        <w:rPr>
          <w:rFonts w:ascii="Times New Roman" w:hAnsi="Times New Roman" w:eastAsia="楷体_GB2312" w:cs="Times New Roman"/>
          <w:b/>
          <w:sz w:val="32"/>
          <w:szCs w:val="32"/>
        </w:rPr>
      </w:pP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4443"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大尚屯镇人民政府</w:t>
            </w:r>
          </w:p>
        </w:tc>
        <w:tc>
          <w:tcPr>
            <w:tcW w:w="1134"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大城县大尚屯镇人民政府</w:t>
      </w:r>
      <w:r>
        <w:rPr>
          <w:rFonts w:hint="eastAsia" w:ascii="Times New Roman" w:hAnsi="Times New Roman" w:eastAsia="仿宋_GB2312" w:cs="Times New Roman"/>
          <w:sz w:val="32"/>
          <w:szCs w:val="32"/>
          <w:lang w:eastAsia="zh-CN"/>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2051.99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1989.25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62.74</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镇2022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2051.99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1943.68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1708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235.68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108.3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安监经费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妇联基层组织建设经费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基层党建带团建经费、建档立卡贫困户扶贫帮扶专项经费、农村环境整治经费、土地整理经费、退役军人服务站工作经费、信访维稳经费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2051.99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减少24.14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56.19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人员工资</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减少80.34</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eastAsia="zh-CN"/>
        </w:rPr>
        <w:t>为</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lang w:val="en-US" w:eastAsia="zh-CN"/>
        </w:rPr>
        <w:t>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235.68</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主要用于我部门</w:t>
      </w:r>
      <w:r>
        <w:rPr>
          <w:rFonts w:hint="eastAsia" w:ascii="仿宋_GB2312" w:hAnsi="仿宋_GB2312" w:eastAsia="仿宋_GB2312" w:cs="仿宋_GB2312"/>
          <w:sz w:val="32"/>
          <w:szCs w:val="32"/>
          <w:lang w:eastAsia="zh-CN"/>
        </w:rPr>
        <w:t>办公区</w:t>
      </w:r>
      <w:r>
        <w:rPr>
          <w:rFonts w:hint="eastAsia" w:ascii="仿宋_GB2312" w:hAnsi="仿宋_GB2312" w:eastAsia="仿宋_GB2312" w:cs="仿宋_GB2312"/>
          <w:sz w:val="32"/>
          <w:szCs w:val="32"/>
        </w:rPr>
        <w:t>的日常维修、办公用房水电费、</w:t>
      </w:r>
      <w:r>
        <w:rPr>
          <w:rFonts w:hint="eastAsia" w:ascii="仿宋_GB2312" w:hAnsi="仿宋_GB2312" w:eastAsia="仿宋_GB2312" w:cs="仿宋_GB2312"/>
          <w:sz w:val="32"/>
          <w:szCs w:val="32"/>
          <w:lang w:eastAsia="zh-CN"/>
        </w:rPr>
        <w:t>办公用房取暖费、办公用房物业管理费</w:t>
      </w:r>
      <w:r>
        <w:rPr>
          <w:rFonts w:hint="eastAsia" w:ascii="仿宋_GB2312" w:hAnsi="仿宋_GB2312" w:eastAsia="仿宋_GB2312" w:cs="仿宋_GB2312"/>
          <w:sz w:val="32"/>
          <w:szCs w:val="32"/>
        </w:rPr>
        <w:t>等日常运行支出。</w:t>
      </w:r>
    </w:p>
    <w:p>
      <w:pPr>
        <w:autoSpaceDE w:val="0"/>
        <w:autoSpaceDN w:val="0"/>
        <w:adjustRightInd w:val="0"/>
        <w:spacing w:line="584" w:lineRule="exact"/>
        <w:ind w:firstLine="629"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仿宋" w:hAnsi="仿宋" w:eastAsia="仿宋" w:cs="仿宋_GB2312"/>
          <w:sz w:val="32"/>
          <w:szCs w:val="32"/>
        </w:rPr>
        <w:t>与202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年相比持平，无增减变化。</w:t>
      </w: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2022年是“十四五”开局之年。大尚屯镇将紧紧围绕“解放思想、务实笃行、勇于担当、奋发崛起”十六字方针，严格落实县委、县政府各项决策部署，努力为建设经济强县、大美大城新篇章作出积极贡献。</w:t>
      </w:r>
    </w:p>
    <w:p>
      <w:pPr>
        <w:pStyle w:val="13"/>
        <w:widowControl/>
        <w:numPr>
          <w:ilvl w:val="0"/>
          <w:numId w:val="0"/>
        </w:numPr>
        <w:shd w:val="clear" w:color="auto" w:fill="FFFFFF"/>
        <w:adjustRightInd w:val="0"/>
        <w:snapToGrid w:val="0"/>
        <w:spacing w:line="600" w:lineRule="exact"/>
        <w:ind w:left="643" w:leftChars="0"/>
        <w:jc w:val="left"/>
        <w:rPr>
          <w:rFonts w:hint="eastAsia" w:ascii="楷体" w:hAnsi="楷体" w:eastAsia="楷体" w:cs="楷体"/>
          <w:b/>
          <w:bCs/>
          <w:color w:val="222222"/>
          <w:kern w:val="0"/>
          <w:sz w:val="32"/>
          <w:szCs w:val="32"/>
          <w:shd w:val="clear" w:color="auto" w:fill="FFFFFF"/>
        </w:rPr>
      </w:pPr>
      <w:r>
        <w:rPr>
          <w:rFonts w:hint="eastAsia" w:ascii="楷体" w:hAnsi="楷体" w:eastAsia="楷体" w:cs="楷体"/>
          <w:b/>
          <w:bCs/>
          <w:color w:val="222222"/>
          <w:kern w:val="0"/>
          <w:sz w:val="32"/>
          <w:szCs w:val="32"/>
          <w:shd w:val="clear" w:color="auto" w:fill="FFFFFF"/>
          <w:lang w:val="en-US" w:eastAsia="zh-CN"/>
        </w:rPr>
        <w:t>1、</w:t>
      </w:r>
      <w:r>
        <w:rPr>
          <w:rFonts w:hint="eastAsia" w:ascii="楷体" w:hAnsi="楷体" w:eastAsia="楷体" w:cs="楷体"/>
          <w:b/>
          <w:bCs/>
          <w:color w:val="222222"/>
          <w:kern w:val="0"/>
          <w:sz w:val="32"/>
          <w:szCs w:val="32"/>
          <w:shd w:val="clear" w:color="auto" w:fill="FFFFFF"/>
        </w:rPr>
        <w:t>抓民生聚合力，努力打造和谐幸福大镇。</w:t>
      </w:r>
    </w:p>
    <w:p>
      <w:pPr>
        <w:widowControl/>
        <w:shd w:val="clear" w:color="auto" w:fill="FFFFFF"/>
        <w:adjustRightInd w:val="0"/>
        <w:snapToGrid w:val="0"/>
        <w:spacing w:line="600" w:lineRule="exact"/>
        <w:ind w:firstLine="642" w:firstLineChars="200"/>
        <w:jc w:val="left"/>
        <w:rPr>
          <w:rFonts w:ascii="仿宋_GB2312" w:hAnsi="仿宋_GB2312" w:eastAsia="仿宋_GB2312" w:cs="仿宋_GB2312"/>
          <w:color w:val="222222"/>
          <w:kern w:val="0"/>
          <w:sz w:val="32"/>
          <w:szCs w:val="32"/>
          <w:shd w:val="clear" w:color="auto" w:fill="FFFFFF"/>
        </w:rPr>
      </w:pPr>
      <w:r>
        <w:rPr>
          <w:rFonts w:hint="eastAsia" w:ascii="仿宋_GB2312" w:hAnsi="仿宋_GB2312" w:eastAsia="仿宋_GB2312" w:cs="仿宋_GB2312"/>
          <w:b/>
          <w:color w:val="222222"/>
          <w:kern w:val="0"/>
          <w:sz w:val="32"/>
          <w:szCs w:val="32"/>
          <w:shd w:val="clear" w:color="auto" w:fill="FFFFFF"/>
        </w:rPr>
        <w:t>一是</w:t>
      </w:r>
      <w:r>
        <w:rPr>
          <w:rFonts w:hint="eastAsia" w:ascii="仿宋_GB2312" w:hAnsi="仿宋_GB2312" w:eastAsia="仿宋_GB2312" w:cs="仿宋_GB2312"/>
          <w:color w:val="222222"/>
          <w:kern w:val="0"/>
          <w:sz w:val="32"/>
          <w:szCs w:val="32"/>
          <w:shd w:val="clear" w:color="auto" w:fill="FFFFFF"/>
        </w:rPr>
        <w:t>优化公共服务。继续统筹推进教育资源配置，突出抓好校园安全和校车安全。结合疫情防控健全公共卫生服务体系，。实施公共文化惠民服务工程，有效整合乡土特色、传统文化等资源，广泛开展内容丰富、形式多样、全民参与的群众文体活动营造和谐发展的氛围。</w:t>
      </w:r>
      <w:r>
        <w:rPr>
          <w:rFonts w:hint="eastAsia" w:ascii="仿宋_GB2312" w:hAnsi="仿宋_GB2312" w:eastAsia="仿宋_GB2312" w:cs="仿宋_GB2312"/>
          <w:b/>
          <w:color w:val="222222"/>
          <w:kern w:val="0"/>
          <w:sz w:val="32"/>
          <w:szCs w:val="32"/>
          <w:shd w:val="clear" w:color="auto" w:fill="FFFFFF"/>
        </w:rPr>
        <w:t>二是</w:t>
      </w:r>
      <w:r>
        <w:rPr>
          <w:rFonts w:hint="eastAsia" w:ascii="仿宋_GB2312" w:hAnsi="仿宋_GB2312" w:eastAsia="仿宋_GB2312" w:cs="仿宋_GB2312"/>
          <w:color w:val="222222"/>
          <w:kern w:val="0"/>
          <w:sz w:val="32"/>
          <w:szCs w:val="32"/>
          <w:shd w:val="clear" w:color="auto" w:fill="FFFFFF"/>
        </w:rPr>
        <w:t>提高民生保障。扎实推进</w:t>
      </w:r>
      <w:r>
        <w:rPr>
          <w:rFonts w:hint="eastAsia" w:ascii="仿宋_GB2312" w:hAnsi="仿宋_GB2312" w:eastAsia="仿宋_GB2312" w:cs="仿宋_GB2312"/>
          <w:bCs/>
          <w:color w:val="222222"/>
          <w:kern w:val="0"/>
          <w:sz w:val="32"/>
          <w:szCs w:val="32"/>
          <w:shd w:val="clear" w:color="auto" w:fill="FFFFFF"/>
        </w:rPr>
        <w:t>新型农村养老保险、农村合作医疗</w:t>
      </w:r>
      <w:r>
        <w:rPr>
          <w:rFonts w:hint="eastAsia" w:ascii="仿宋_GB2312" w:hAnsi="仿宋_GB2312" w:eastAsia="仿宋_GB2312" w:cs="仿宋_GB2312"/>
          <w:color w:val="222222"/>
          <w:kern w:val="0"/>
          <w:sz w:val="32"/>
          <w:szCs w:val="32"/>
          <w:shd w:val="clear" w:color="auto" w:fill="FFFFFF"/>
        </w:rPr>
        <w:t>等制度，优化社会救助工作机制，认真落实城乡低保及优抚优待工作，不断提高社会保障水平。</w:t>
      </w:r>
      <w:r>
        <w:rPr>
          <w:rFonts w:hint="eastAsia" w:ascii="仿宋_GB2312" w:hAnsi="仿宋_GB2312" w:eastAsia="仿宋_GB2312" w:cs="仿宋_GB2312"/>
          <w:b/>
          <w:color w:val="222222"/>
          <w:kern w:val="0"/>
          <w:sz w:val="32"/>
          <w:szCs w:val="32"/>
          <w:shd w:val="clear" w:color="auto" w:fill="FFFFFF"/>
        </w:rPr>
        <w:t>三是</w:t>
      </w:r>
      <w:r>
        <w:rPr>
          <w:rFonts w:hint="eastAsia" w:ascii="仿宋_GB2312" w:hAnsi="仿宋_GB2312" w:eastAsia="仿宋_GB2312" w:cs="仿宋_GB2312"/>
          <w:color w:val="222222"/>
          <w:kern w:val="0"/>
          <w:sz w:val="32"/>
          <w:szCs w:val="32"/>
          <w:shd w:val="clear" w:color="auto" w:fill="FFFFFF"/>
        </w:rPr>
        <w:t>提升服务水平。充分发挥行政综合服务中心的职能作用，简化办事程序、提升服务标准，积极搭建集“便民服务、行政审批、政务公开”三位一体的民生服务平台，真正把行政综合服务中心建成便民、利民、惠民的窗口，打响大尚屯镇便民服务的品牌。</w:t>
      </w:r>
    </w:p>
    <w:p>
      <w:pPr>
        <w:pStyle w:val="13"/>
        <w:numPr>
          <w:ilvl w:val="0"/>
          <w:numId w:val="0"/>
        </w:numPr>
        <w:adjustRightInd w:val="0"/>
        <w:snapToGrid w:val="0"/>
        <w:spacing w:line="600" w:lineRule="exact"/>
        <w:ind w:left="643" w:leftChars="0"/>
        <w:rPr>
          <w:rFonts w:hint="eastAsia" w:ascii="楷体" w:hAnsi="楷体" w:eastAsia="楷体" w:cs="楷体"/>
          <w:b/>
          <w:bCs/>
          <w:color w:val="222222"/>
          <w:kern w:val="0"/>
          <w:sz w:val="32"/>
          <w:szCs w:val="32"/>
          <w:shd w:val="clear" w:color="auto" w:fill="FFFFFF"/>
        </w:rPr>
      </w:pPr>
      <w:r>
        <w:rPr>
          <w:rFonts w:hint="eastAsia" w:ascii="楷体" w:hAnsi="楷体" w:eastAsia="楷体" w:cs="楷体"/>
          <w:b/>
          <w:bCs/>
          <w:color w:val="222222"/>
          <w:kern w:val="0"/>
          <w:sz w:val="32"/>
          <w:szCs w:val="32"/>
          <w:shd w:val="clear" w:color="auto" w:fill="FFFFFF"/>
          <w:lang w:val="en-US" w:eastAsia="zh-CN"/>
        </w:rPr>
        <w:t>2、</w:t>
      </w:r>
      <w:r>
        <w:rPr>
          <w:rFonts w:hint="eastAsia" w:ascii="楷体" w:hAnsi="楷体" w:eastAsia="楷体" w:cs="楷体"/>
          <w:b/>
          <w:bCs/>
          <w:color w:val="222222"/>
          <w:kern w:val="0"/>
          <w:sz w:val="32"/>
          <w:szCs w:val="32"/>
          <w:shd w:val="clear" w:color="auto" w:fill="FFFFFF"/>
        </w:rPr>
        <w:t>抓稳定强内</w:t>
      </w:r>
      <w:r>
        <w:rPr>
          <w:rFonts w:hint="eastAsia" w:ascii="楷体" w:hAnsi="楷体" w:eastAsia="楷体" w:cs="楷体"/>
          <w:b/>
          <w:bCs/>
          <w:color w:val="222222"/>
          <w:kern w:val="0"/>
          <w:sz w:val="32"/>
          <w:szCs w:val="32"/>
          <w:shd w:val="clear" w:color="auto" w:fill="FFFFFF"/>
          <w:lang w:val="en-US" w:eastAsia="zh-CN"/>
        </w:rPr>
        <w:t>业</w:t>
      </w:r>
      <w:r>
        <w:rPr>
          <w:rFonts w:hint="eastAsia" w:ascii="楷体" w:hAnsi="楷体" w:eastAsia="楷体" w:cs="楷体"/>
          <w:b/>
          <w:bCs/>
          <w:color w:val="222222"/>
          <w:kern w:val="0"/>
          <w:sz w:val="32"/>
          <w:szCs w:val="32"/>
          <w:shd w:val="clear" w:color="auto" w:fill="FFFFFF"/>
        </w:rPr>
        <w:t>，</w:t>
      </w:r>
      <w:r>
        <w:rPr>
          <w:rFonts w:hint="eastAsia" w:ascii="楷体" w:hAnsi="楷体" w:eastAsia="楷体" w:cs="楷体"/>
          <w:b/>
          <w:bCs/>
          <w:sz w:val="32"/>
          <w:szCs w:val="32"/>
        </w:rPr>
        <w:t>强力开创镇村工作新局面</w:t>
      </w:r>
      <w:r>
        <w:rPr>
          <w:rFonts w:hint="eastAsia" w:ascii="楷体" w:hAnsi="楷体" w:eastAsia="楷体" w:cs="楷体"/>
          <w:b/>
          <w:bCs/>
          <w:color w:val="222222"/>
          <w:kern w:val="0"/>
          <w:sz w:val="32"/>
          <w:szCs w:val="32"/>
          <w:shd w:val="clear" w:color="auto" w:fill="FFFFFF"/>
        </w:rPr>
        <w:t>。</w:t>
      </w:r>
    </w:p>
    <w:p>
      <w:pPr>
        <w:adjustRightInd w:val="0"/>
        <w:snapToGrid w:val="0"/>
        <w:spacing w:line="600" w:lineRule="exact"/>
        <w:ind w:firstLine="642" w:firstLineChars="200"/>
        <w:rPr>
          <w:rFonts w:hint="eastAsia" w:ascii="仿宋" w:hAnsi="仿宋" w:eastAsia="仿宋" w:cs="仿宋"/>
          <w:sz w:val="32"/>
          <w:szCs w:val="32"/>
        </w:rPr>
      </w:pPr>
      <w:r>
        <w:rPr>
          <w:rFonts w:hint="eastAsia" w:ascii="仿宋_GB2312" w:hAnsi="仿宋_GB2312" w:eastAsia="仿宋_GB2312" w:cs="仿宋_GB2312"/>
          <w:b/>
          <w:bCs/>
          <w:color w:val="222222"/>
          <w:kern w:val="0"/>
          <w:sz w:val="32"/>
          <w:szCs w:val="32"/>
          <w:shd w:val="clear" w:color="auto" w:fill="FFFFFF"/>
        </w:rPr>
        <w:t>一是</w:t>
      </w:r>
      <w:r>
        <w:rPr>
          <w:rFonts w:hint="eastAsia" w:ascii="仿宋_GB2312" w:hAnsi="仿宋_GB2312" w:eastAsia="仿宋_GB2312" w:cs="仿宋_GB2312"/>
          <w:color w:val="222222"/>
          <w:kern w:val="0"/>
          <w:sz w:val="32"/>
          <w:szCs w:val="32"/>
          <w:shd w:val="clear" w:color="auto" w:fill="FFFFFF"/>
        </w:rPr>
        <w:t>切实抓好信访稳定工作。</w:t>
      </w:r>
      <w:r>
        <w:rPr>
          <w:rFonts w:hint="eastAsia" w:ascii="仿宋" w:hAnsi="仿宋" w:eastAsia="仿宋" w:cs="仿宋"/>
          <w:sz w:val="32"/>
          <w:szCs w:val="32"/>
        </w:rPr>
        <w:t>大尚屯镇结合镇情将</w:t>
      </w:r>
      <w:r>
        <w:rPr>
          <w:rFonts w:hint="eastAsia" w:ascii="仿宋_GB2312" w:hAnsi="仿宋_GB2312" w:eastAsia="仿宋_GB2312" w:cs="仿宋_GB2312"/>
          <w:color w:val="222222"/>
          <w:kern w:val="0"/>
          <w:sz w:val="32"/>
          <w:szCs w:val="32"/>
          <w:shd w:val="clear" w:color="auto" w:fill="FFFFFF"/>
        </w:rPr>
        <w:t>严格落实维稳责任制，对</w:t>
      </w:r>
      <w:r>
        <w:rPr>
          <w:rFonts w:hint="eastAsia" w:ascii="仿宋_GB2312" w:hAnsi="仿宋_GB2312" w:eastAsia="仿宋_GB2312" w:cs="仿宋_GB2312"/>
          <w:b/>
          <w:color w:val="222222"/>
          <w:kern w:val="0"/>
          <w:sz w:val="32"/>
          <w:szCs w:val="32"/>
          <w:shd w:val="clear" w:color="auto" w:fill="FFFFFF"/>
        </w:rPr>
        <w:t>初信初访案件</w:t>
      </w:r>
      <w:r>
        <w:rPr>
          <w:rFonts w:hint="eastAsia" w:ascii="仿宋_GB2312" w:hAnsi="仿宋_GB2312" w:eastAsia="仿宋_GB2312" w:cs="仿宋_GB2312"/>
          <w:color w:val="222222"/>
          <w:kern w:val="0"/>
          <w:sz w:val="32"/>
          <w:szCs w:val="32"/>
          <w:shd w:val="clear" w:color="auto" w:fill="FFFFFF"/>
        </w:rPr>
        <w:t>，</w:t>
      </w:r>
      <w:r>
        <w:rPr>
          <w:rFonts w:hint="eastAsia" w:ascii="仿宋" w:hAnsi="仿宋" w:eastAsia="仿宋" w:cs="仿宋"/>
          <w:sz w:val="32"/>
          <w:szCs w:val="32"/>
        </w:rPr>
        <w:t>安排专人接访及时疏导化解，防止因处置不及时出现越级访。对</w:t>
      </w:r>
      <w:r>
        <w:rPr>
          <w:rFonts w:hint="eastAsia" w:ascii="仿宋" w:hAnsi="仿宋" w:eastAsia="仿宋" w:cs="仿宋"/>
          <w:b/>
          <w:sz w:val="32"/>
          <w:szCs w:val="32"/>
        </w:rPr>
        <w:t>重点案件</w:t>
      </w:r>
      <w:r>
        <w:rPr>
          <w:rFonts w:hint="eastAsia" w:ascii="仿宋" w:hAnsi="仿宋" w:eastAsia="仿宋" w:cs="仿宋"/>
          <w:sz w:val="32"/>
          <w:szCs w:val="32"/>
        </w:rPr>
        <w:t>积极主动约访，争取做到息诉罢访；</w:t>
      </w:r>
      <w:r>
        <w:rPr>
          <w:rFonts w:hint="eastAsia" w:ascii="仿宋_GB2312" w:hAnsi="仿宋_GB2312" w:eastAsia="仿宋_GB2312" w:cs="仿宋_GB2312"/>
          <w:color w:val="222222"/>
          <w:kern w:val="0"/>
          <w:sz w:val="32"/>
          <w:szCs w:val="32"/>
          <w:shd w:val="clear" w:color="auto" w:fill="FFFFFF"/>
        </w:rPr>
        <w:t>对</w:t>
      </w:r>
      <w:r>
        <w:rPr>
          <w:rFonts w:hint="eastAsia" w:ascii="仿宋_GB2312" w:hAnsi="仿宋_GB2312" w:eastAsia="仿宋_GB2312" w:cs="仿宋_GB2312"/>
          <w:b/>
          <w:color w:val="222222"/>
          <w:kern w:val="0"/>
          <w:sz w:val="32"/>
          <w:szCs w:val="32"/>
          <w:shd w:val="clear" w:color="auto" w:fill="FFFFFF"/>
        </w:rPr>
        <w:t>陈年信访案件</w:t>
      </w:r>
      <w:r>
        <w:rPr>
          <w:rFonts w:hint="eastAsia" w:ascii="仿宋_GB2312" w:hAnsi="仿宋_GB2312" w:eastAsia="仿宋_GB2312" w:cs="仿宋_GB2312"/>
          <w:color w:val="222222"/>
          <w:kern w:val="0"/>
          <w:sz w:val="32"/>
          <w:szCs w:val="32"/>
          <w:shd w:val="clear" w:color="auto" w:fill="FFFFFF"/>
        </w:rPr>
        <w:t>逐一制定化解方案，确保辖区群体性上访在可控之中，个体访稳中有降、逐步化解。</w:t>
      </w:r>
      <w:r>
        <w:rPr>
          <w:rFonts w:hint="eastAsia" w:ascii="仿宋" w:hAnsi="仿宋" w:eastAsia="仿宋" w:cs="仿宋"/>
          <w:sz w:val="32"/>
          <w:szCs w:val="32"/>
        </w:rPr>
        <w:t>定期开展矛盾隐患排查活动，提早发现隐患苗头，提早化解，为明年全镇各项工作开展打好稳定基础。</w:t>
      </w:r>
    </w:p>
    <w:p>
      <w:pPr>
        <w:adjustRightInd w:val="0"/>
        <w:snapToGrid w:val="0"/>
        <w:spacing w:line="600" w:lineRule="exact"/>
        <w:ind w:firstLine="642" w:firstLineChars="200"/>
        <w:rPr>
          <w:rFonts w:ascii="仿宋" w:hAnsi="仿宋" w:eastAsia="仿宋" w:cs="仿宋"/>
          <w:sz w:val="32"/>
          <w:szCs w:val="32"/>
        </w:rPr>
      </w:pPr>
      <w:r>
        <w:rPr>
          <w:rFonts w:hint="eastAsia" w:ascii="仿宋_GB2312" w:hAnsi="仿宋_GB2312" w:eastAsia="仿宋_GB2312" w:cs="仿宋_GB2312"/>
          <w:b/>
          <w:bCs/>
          <w:color w:val="222222"/>
          <w:kern w:val="0"/>
          <w:sz w:val="32"/>
          <w:szCs w:val="32"/>
          <w:shd w:val="clear" w:color="auto" w:fill="FFFFFF"/>
        </w:rPr>
        <w:t>二</w:t>
      </w:r>
      <w:r>
        <w:rPr>
          <w:rFonts w:hint="eastAsia" w:ascii="仿宋_GB2312" w:hAnsi="仿宋_GB2312" w:eastAsia="仿宋_GB2312" w:cs="仿宋_GB2312"/>
          <w:b/>
          <w:color w:val="222222"/>
          <w:kern w:val="0"/>
          <w:sz w:val="32"/>
          <w:szCs w:val="32"/>
          <w:shd w:val="clear" w:color="auto" w:fill="FFFFFF"/>
        </w:rPr>
        <w:t>是</w:t>
      </w:r>
      <w:r>
        <w:rPr>
          <w:rFonts w:hint="eastAsia" w:ascii="仿宋_GB2312" w:hAnsi="仿宋_GB2312" w:eastAsia="仿宋_GB2312" w:cs="仿宋_GB2312"/>
          <w:color w:val="222222"/>
          <w:kern w:val="0"/>
          <w:sz w:val="32"/>
          <w:szCs w:val="32"/>
          <w:shd w:val="clear" w:color="auto" w:fill="FFFFFF"/>
        </w:rPr>
        <w:t>加强基层组织建设。突出抓好村级班子和党员队伍建设，紧紧围绕“激情干事业、挑战不可能”十字方针，抓好村级班子带好队伍，加强对党员干部的教育，激发工作热情，引导党员干部树立正确的政绩观和名利观，力戒心浮气躁，踏踏实实干事。</w:t>
      </w:r>
    </w:p>
    <w:p>
      <w:pPr>
        <w:widowControl/>
        <w:shd w:val="clear" w:color="auto" w:fill="FFFFFF"/>
        <w:adjustRightInd w:val="0"/>
        <w:snapToGrid w:val="0"/>
        <w:spacing w:line="600" w:lineRule="exact"/>
        <w:ind w:firstLine="642" w:firstLineChars="200"/>
        <w:jc w:val="left"/>
        <w:rPr>
          <w:rFonts w:ascii="仿宋" w:hAnsi="仿宋" w:eastAsia="仿宋" w:cs="仿宋"/>
          <w:sz w:val="32"/>
          <w:szCs w:val="32"/>
        </w:rPr>
      </w:pPr>
      <w:r>
        <w:rPr>
          <w:rFonts w:hint="eastAsia" w:ascii="楷体" w:hAnsi="楷体" w:eastAsia="楷体" w:cs="楷体"/>
          <w:b/>
          <w:bCs/>
          <w:color w:val="222222"/>
          <w:kern w:val="0"/>
          <w:sz w:val="32"/>
          <w:szCs w:val="32"/>
          <w:shd w:val="clear" w:color="auto" w:fill="FFFFFF"/>
          <w:lang w:val="en-US" w:eastAsia="zh-CN"/>
        </w:rPr>
        <w:t>3、</w:t>
      </w:r>
      <w:r>
        <w:rPr>
          <w:rFonts w:hint="eastAsia" w:ascii="楷体" w:hAnsi="楷体" w:eastAsia="楷体" w:cs="楷体"/>
          <w:b/>
          <w:bCs/>
          <w:color w:val="222222"/>
          <w:kern w:val="0"/>
          <w:sz w:val="32"/>
          <w:szCs w:val="32"/>
          <w:shd w:val="clear" w:color="auto" w:fill="FFFFFF"/>
        </w:rPr>
        <w:t>抓发展激活力，全面提升经济发展水平。</w:t>
      </w:r>
      <w:r>
        <w:rPr>
          <w:rFonts w:hint="eastAsia" w:ascii="仿宋" w:hAnsi="仿宋" w:eastAsia="仿宋" w:cs="仿宋"/>
          <w:b/>
          <w:bCs/>
          <w:sz w:val="32"/>
          <w:szCs w:val="32"/>
        </w:rPr>
        <w:t>一是</w:t>
      </w:r>
      <w:r>
        <w:rPr>
          <w:rFonts w:hint="eastAsia" w:ascii="仿宋" w:hAnsi="仿宋" w:eastAsia="仿宋" w:cs="仿宋"/>
          <w:sz w:val="32"/>
          <w:szCs w:val="32"/>
        </w:rPr>
        <w:t>依托京津冀协同发展、雄安新区建设，积极培树龙头企业，带动传统产业转型升级，引进高精技术产业，搞好项目跟踪服务，积极推进我镇经济发展实现弯道超车，跨越式发展。计划年度内引进项目20个，其中亿元以上项目1-2个，5000万元以上项目5个，实现固定资产投资8亿元。</w:t>
      </w:r>
      <w:r>
        <w:rPr>
          <w:rFonts w:hint="eastAsia" w:ascii="仿宋" w:hAnsi="仿宋" w:eastAsia="仿宋" w:cs="仿宋"/>
          <w:b/>
          <w:bCs/>
          <w:sz w:val="32"/>
          <w:szCs w:val="32"/>
        </w:rPr>
        <w:t>二是</w:t>
      </w:r>
      <w:r>
        <w:rPr>
          <w:rFonts w:hint="eastAsia" w:ascii="仿宋" w:hAnsi="仿宋" w:eastAsia="仿宋" w:cs="仿宋"/>
          <w:sz w:val="32"/>
          <w:szCs w:val="32"/>
        </w:rPr>
        <w:t>全力推进创新制造产业园征地工作，确保按时保质保量的完成园区征地工作。</w:t>
      </w:r>
      <w:r>
        <w:rPr>
          <w:rFonts w:hint="eastAsia" w:ascii="仿宋" w:hAnsi="仿宋" w:eastAsia="仿宋" w:cs="仿宋"/>
          <w:b/>
          <w:bCs/>
          <w:sz w:val="32"/>
          <w:szCs w:val="32"/>
        </w:rPr>
        <w:t>三是</w:t>
      </w:r>
      <w:r>
        <w:rPr>
          <w:rFonts w:hint="eastAsia" w:ascii="仿宋" w:hAnsi="仿宋" w:eastAsia="仿宋" w:cs="仿宋"/>
          <w:sz w:val="32"/>
          <w:szCs w:val="32"/>
        </w:rPr>
        <w:t>坚持统筹全镇资源，结合我镇现有企业，统筹好新能源车划转企业，依托新能源车产业发挥集群效应，打造自身品牌。创建大尚屯镇招商联席会对外大力推介大尚屯镇的区位优势、优势产业助推镇域经济腾飞。</w:t>
      </w:r>
    </w:p>
    <w:p>
      <w:pPr>
        <w:widowControl/>
        <w:shd w:val="clear" w:color="auto" w:fill="FFFFFF"/>
        <w:adjustRightInd w:val="0"/>
        <w:snapToGrid w:val="0"/>
        <w:spacing w:line="600" w:lineRule="exact"/>
        <w:ind w:firstLine="642" w:firstLineChars="200"/>
        <w:jc w:val="left"/>
        <w:rPr>
          <w:rFonts w:ascii="仿宋" w:hAnsi="仿宋" w:eastAsia="仿宋" w:cs="仿宋"/>
          <w:sz w:val="32"/>
          <w:szCs w:val="32"/>
        </w:rPr>
      </w:pPr>
      <w:r>
        <w:rPr>
          <w:rFonts w:hint="eastAsia" w:ascii="楷体" w:hAnsi="楷体" w:eastAsia="楷体" w:cs="楷体"/>
          <w:b/>
          <w:bCs/>
          <w:color w:val="222222"/>
          <w:kern w:val="0"/>
          <w:sz w:val="32"/>
          <w:szCs w:val="32"/>
          <w:shd w:val="clear" w:color="auto" w:fill="FFFFFF"/>
          <w:lang w:val="en-US" w:eastAsia="zh-CN"/>
        </w:rPr>
        <w:t>4、</w:t>
      </w:r>
      <w:r>
        <w:rPr>
          <w:rFonts w:hint="eastAsia" w:ascii="楷体" w:hAnsi="楷体" w:eastAsia="楷体" w:cs="楷体"/>
          <w:b/>
          <w:bCs/>
          <w:color w:val="222222"/>
          <w:kern w:val="0"/>
          <w:sz w:val="32"/>
          <w:szCs w:val="32"/>
          <w:shd w:val="clear" w:color="auto" w:fill="FFFFFF"/>
        </w:rPr>
        <w:t>抓规划增魅力，全面提升镇村整体形象。</w:t>
      </w:r>
      <w:r>
        <w:rPr>
          <w:rFonts w:hint="eastAsia" w:ascii="仿宋" w:hAnsi="仿宋" w:eastAsia="仿宋" w:cs="仿宋"/>
          <w:b/>
          <w:bCs/>
          <w:sz w:val="32"/>
          <w:szCs w:val="32"/>
        </w:rPr>
        <w:t>一是</w:t>
      </w:r>
      <w:r>
        <w:rPr>
          <w:rFonts w:hint="eastAsia" w:ascii="仿宋" w:hAnsi="仿宋" w:eastAsia="仿宋" w:cs="仿宋"/>
          <w:sz w:val="32"/>
          <w:szCs w:val="32"/>
        </w:rPr>
        <w:t>坚持合理规划镇域土地，绘好国土空间规划蓝图。继续围绕“一廊、两带、三点、五区”产业布局，结合我镇交通区位优势，加强与县自规局、第三方公司沟通对接，立足当前，着眼长远，切实把国土空间规划编制好。</w:t>
      </w:r>
      <w:r>
        <w:rPr>
          <w:rFonts w:hint="eastAsia" w:ascii="仿宋" w:hAnsi="仿宋" w:eastAsia="仿宋" w:cs="仿宋"/>
          <w:b/>
          <w:bCs/>
          <w:sz w:val="32"/>
          <w:szCs w:val="32"/>
        </w:rPr>
        <w:t>二</w:t>
      </w:r>
      <w:r>
        <w:rPr>
          <w:rFonts w:hint="eastAsia" w:ascii="仿宋" w:hAnsi="仿宋" w:eastAsia="仿宋" w:cs="仿宋"/>
          <w:b/>
          <w:sz w:val="32"/>
          <w:szCs w:val="32"/>
        </w:rPr>
        <w:t>是</w:t>
      </w:r>
      <w:r>
        <w:rPr>
          <w:rFonts w:hint="eastAsia" w:ascii="仿宋" w:hAnsi="仿宋" w:eastAsia="仿宋" w:cs="仿宋"/>
          <w:sz w:val="32"/>
          <w:szCs w:val="32"/>
        </w:rPr>
        <w:t>以党建引领，全力推动乡村振兴工作，以康各庄、孙会罗等综合实力较好的村街为点，津石高速、廊沧高速、津保路等交通要道为线，点线结合，在硬化、绿化、亮化上下功夫，以点带面、以线带片，稳步推进，打造环首都政治护城河精品村街示范区；同时确定2022年道路提升村街15个村街。</w:t>
      </w:r>
      <w:r>
        <w:rPr>
          <w:rFonts w:hint="eastAsia" w:ascii="仿宋_GB2312" w:hAnsi="仿宋_GB2312" w:eastAsia="仿宋_GB2312" w:cs="仿宋_GB2312"/>
          <w:color w:val="222222"/>
          <w:kern w:val="0"/>
          <w:sz w:val="32"/>
          <w:szCs w:val="32"/>
          <w:shd w:val="clear" w:color="auto" w:fill="FFFFFF"/>
        </w:rPr>
        <w:t>在农业产业发展上作文章，以农业产业发展促进农民增收、村集体经济实力增强，真正实现新农村建设“生活富裕”目标。</w:t>
      </w:r>
      <w:r>
        <w:rPr>
          <w:rFonts w:hint="eastAsia" w:ascii="仿宋" w:hAnsi="仿宋" w:eastAsia="仿宋" w:cs="仿宋"/>
          <w:sz w:val="32"/>
          <w:szCs w:val="32"/>
        </w:rPr>
        <w:t>三是</w:t>
      </w:r>
      <w:r>
        <w:rPr>
          <w:rFonts w:hint="eastAsia" w:ascii="仿宋_GB2312" w:hAnsi="仿宋_GB2312" w:eastAsia="仿宋_GB2312" w:cs="仿宋_GB2312"/>
          <w:color w:val="222222"/>
          <w:kern w:val="0"/>
          <w:sz w:val="32"/>
          <w:szCs w:val="32"/>
          <w:shd w:val="clear" w:color="auto" w:fill="FFFFFF"/>
        </w:rPr>
        <w:t>继续加大村街环境卫生整治力度，</w:t>
      </w:r>
      <w:r>
        <w:rPr>
          <w:rFonts w:hint="eastAsia" w:ascii="仿宋" w:hAnsi="仿宋" w:eastAsia="仿宋" w:cs="仿宋"/>
          <w:sz w:val="32"/>
          <w:szCs w:val="32"/>
        </w:rPr>
        <w:t>改善群众的人居生活环境，提升大尚屯镇整体形象。</w:t>
      </w:r>
    </w:p>
    <w:p>
      <w:pPr>
        <w:adjustRightInd w:val="0"/>
        <w:snapToGrid w:val="0"/>
        <w:spacing w:line="600" w:lineRule="exact"/>
        <w:ind w:firstLine="642" w:firstLineChars="200"/>
        <w:rPr>
          <w:rFonts w:hint="eastAsia" w:ascii="仿宋" w:hAnsi="仿宋" w:eastAsia="仿宋" w:cs="仿宋"/>
          <w:sz w:val="32"/>
          <w:szCs w:val="32"/>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明责任传压力，全面推进底线工作落实。</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坚持</w:t>
      </w:r>
      <w:r>
        <w:rPr>
          <w:rFonts w:hint="eastAsia" w:ascii="仿宋" w:hAnsi="仿宋" w:eastAsia="仿宋" w:cs="仿宋"/>
          <w:sz w:val="32"/>
          <w:szCs w:val="32"/>
          <w:lang w:val="zh-CN"/>
        </w:rPr>
        <w:t>“</w:t>
      </w:r>
      <w:r>
        <w:rPr>
          <w:rFonts w:hint="eastAsia" w:ascii="仿宋" w:hAnsi="仿宋" w:eastAsia="仿宋" w:cs="仿宋"/>
          <w:sz w:val="32"/>
          <w:szCs w:val="32"/>
        </w:rPr>
        <w:t>分级负责、全面覆盖、不留死角，责任到人”的原则，，构建上下联动、各负其责、齐抓共管的长效机制。</w:t>
      </w:r>
    </w:p>
    <w:p>
      <w:pPr>
        <w:adjustRightInd w:val="0"/>
        <w:snapToGrid w:val="0"/>
        <w:spacing w:line="60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一是</w:t>
      </w:r>
      <w:r>
        <w:rPr>
          <w:rFonts w:hint="eastAsia" w:ascii="仿宋" w:hAnsi="仿宋" w:eastAsia="仿宋" w:cs="仿宋"/>
          <w:sz w:val="32"/>
          <w:szCs w:val="32"/>
        </w:rPr>
        <w:t>全力做好疫情防控工作，严格落实中央、省、市、县疫情防控工作部署，实现疫情防控常态化，为全镇各项工作顺利推进保驾护航。</w:t>
      </w:r>
      <w:r>
        <w:rPr>
          <w:rFonts w:hint="eastAsia" w:ascii="仿宋" w:hAnsi="仿宋" w:eastAsia="仿宋" w:cs="仿宋"/>
          <w:b/>
          <w:bCs/>
          <w:sz w:val="32"/>
          <w:szCs w:val="32"/>
        </w:rPr>
        <w:t>二是</w:t>
      </w:r>
      <w:r>
        <w:rPr>
          <w:rFonts w:hint="eastAsia" w:ascii="仿宋" w:hAnsi="仿宋" w:eastAsia="仿宋" w:cs="仿宋"/>
          <w:sz w:val="32"/>
          <w:szCs w:val="32"/>
        </w:rPr>
        <w:t>继续加大对大气污染及秸秆焚烧的治理力度，总结经验教训，严格落实网格化工作制度，真正把责任明确到人，真正落实奖惩机制，真正实现常态化责任管理，确保不出问题。</w:t>
      </w:r>
    </w:p>
    <w:p>
      <w:pPr>
        <w:adjustRightInd w:val="0"/>
        <w:snapToGrid w:val="0"/>
        <w:spacing w:line="600" w:lineRule="exact"/>
        <w:rPr>
          <w:rFonts w:hint="eastAsia" w:ascii="楷体_GB2312" w:eastAsia="楷体_GB2312" w:cs="Times New Roman"/>
          <w:b/>
          <w:sz w:val="32"/>
          <w:szCs w:val="32"/>
        </w:rPr>
      </w:pPr>
      <w:r>
        <w:rPr>
          <w:rFonts w:hint="eastAsia" w:ascii="仿宋" w:hAnsi="仿宋" w:eastAsia="仿宋" w:cs="仿宋"/>
          <w:b/>
          <w:bCs/>
          <w:sz w:val="32"/>
          <w:szCs w:val="32"/>
        </w:rPr>
        <w:t>三是</w:t>
      </w:r>
      <w:r>
        <w:rPr>
          <w:rFonts w:hint="eastAsia" w:ascii="仿宋" w:hAnsi="仿宋" w:eastAsia="仿宋" w:cs="仿宋"/>
          <w:sz w:val="32"/>
          <w:szCs w:val="32"/>
        </w:rPr>
        <w:t>继续加大对土地“非粮化”“非农化”和违建治理力度，严格落实网格化工作制度，专门成立督导巡查小组，定期进行巡查通报，从根本上杜绝土地违法行为。</w:t>
      </w:r>
      <w:r>
        <w:rPr>
          <w:rFonts w:hint="eastAsia" w:ascii="仿宋" w:hAnsi="仿宋" w:eastAsia="仿宋" w:cs="仿宋"/>
          <w:b/>
          <w:bCs/>
          <w:sz w:val="32"/>
          <w:szCs w:val="32"/>
        </w:rPr>
        <w:t>四是</w:t>
      </w:r>
      <w:r>
        <w:rPr>
          <w:rFonts w:hint="eastAsia" w:ascii="仿宋" w:hAnsi="仿宋" w:eastAsia="仿宋" w:cs="仿宋"/>
          <w:sz w:val="32"/>
          <w:szCs w:val="32"/>
        </w:rPr>
        <w:t>认真落实安全生产责任制，建立完善各种预警和应急机制，加大对镇域内重点场所、重点部位的排查力度，加强对相关场所人员培训，切实提高应对和处置突发性公共安全事件的能力和水平，严防各类安全事故的发生。</w:t>
      </w:r>
    </w:p>
    <w:p>
      <w:pPr>
        <w:numPr>
          <w:ilvl w:val="0"/>
          <w:numId w:val="1"/>
        </w:numPr>
        <w:spacing w:line="584" w:lineRule="exact"/>
        <w:ind w:firstLine="642"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spacing w:line="560" w:lineRule="exact"/>
        <w:rPr>
          <w:rFonts w:hint="eastAsia" w:ascii="仿宋_GB2312" w:hAnsi="仿宋_GB2312" w:eastAsia="仿宋_GB2312" w:cs="仿宋_GB2312"/>
          <w:sz w:val="32"/>
          <w:szCs w:val="32"/>
        </w:rPr>
      </w:pPr>
      <w:r>
        <w:rPr>
          <w:rFonts w:hint="eastAsia"/>
          <w:lang w:val="en-US" w:eastAsia="zh-CN"/>
        </w:rPr>
        <w:t xml:space="preserve">      </w:t>
      </w:r>
      <w:r>
        <w:rPr>
          <w:rFonts w:hint="eastAsia" w:ascii="楷体_GB2312" w:eastAsia="楷体_GB2312" w:cs="Times New Roman"/>
          <w:b/>
          <w:sz w:val="32"/>
          <w:szCs w:val="32"/>
        </w:rPr>
        <w:t>1.通过开展安全生产工作，发现安全隐患，减少事故发生。</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：通过巡查、宣传等及时处理镇区出现的安全生产、食品药品等安全隐患，提高群众及企业安全生产意识，保证镇区内企业安全生产有效提升。</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应急管理办公室通过巡查及时处理镇区存在的安全生产隐患，年度巡查次数不少50次，实现镇区内企业安全生产意识、安全生产验收达标率、安全隐患整改率的提高,达到主管部门整体要求，建立安全监管长效工作机制，创造一个安全生产生活环境。</w:t>
      </w:r>
    </w:p>
    <w:p>
      <w:pPr>
        <w:spacing w:line="560" w:lineRule="exact"/>
        <w:ind w:firstLine="642" w:firstLineChars="200"/>
        <w:rPr>
          <w:rFonts w:hint="eastAsia" w:ascii="楷体_GB2312" w:eastAsia="楷体_GB2312" w:cs="Times New Roman"/>
          <w:b/>
          <w:sz w:val="32"/>
          <w:szCs w:val="32"/>
        </w:rPr>
      </w:pPr>
      <w:r>
        <w:rPr>
          <w:rFonts w:hint="eastAsia" w:ascii="楷体_GB2312" w:eastAsia="楷体_GB2312" w:cs="Times New Roman"/>
          <w:b/>
          <w:sz w:val="32"/>
          <w:szCs w:val="32"/>
        </w:rPr>
        <w:t>2.通过开展农村环境治理工作，提升农村居民生活质量。</w:t>
      </w:r>
    </w:p>
    <w:p>
      <w:pPr>
        <w:spacing w:line="560" w:lineRule="exact"/>
        <w:ind w:firstLine="642" w:firstLineChars="2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：通过及时处理镇区出现的生活垃圾、工业垃圾，宣传环境治理政策，保持镇区环境卫生、整洁，提升群众自觉爱护环境的意识，提升群众生活质量。</w:t>
      </w:r>
    </w:p>
    <w:p>
      <w:pPr>
        <w:spacing w:line="560" w:lineRule="exact"/>
        <w:ind w:firstLine="642" w:firstLineChars="2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农业服务中心对59个村街垃圾点进行摸底排查，实现农村环境达标率、垃圾及时处理率、生产生活环境得到提高，达到主管部门整体要求，全镇7万余人受益，村容村貌得到改善，建立农村环境治理长效工作机制，打造绿色宜居乡村。</w:t>
      </w:r>
    </w:p>
    <w:p>
      <w:pPr>
        <w:spacing w:line="560" w:lineRule="exact"/>
        <w:ind w:firstLine="642" w:firstLineChars="200"/>
        <w:rPr>
          <w:rFonts w:hint="eastAsia" w:ascii="楷体_GB2312" w:eastAsia="楷体_GB2312" w:cs="Times New Roman"/>
          <w:b/>
          <w:sz w:val="32"/>
          <w:szCs w:val="32"/>
        </w:rPr>
      </w:pPr>
      <w:r>
        <w:rPr>
          <w:rFonts w:hint="eastAsia" w:ascii="楷体_GB2312" w:eastAsia="楷体_GB2312" w:cs="Times New Roman"/>
          <w:b/>
          <w:sz w:val="32"/>
          <w:szCs w:val="32"/>
        </w:rPr>
        <w:t>3.通过开展妇联工作，加强妇联基层组织建设。</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逐渐填补妇联基层组织建设空白点，实现妇女工作精细化，全面提升基层妇联组织建设规范化水平，进一步加强基层妇女组织建设，充分地发挥基层妇女组织的作用，推动我镇妇女工作和妇女事业的更好发展。</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eastAsia="楷体_GB2312" w:cs="Times New Roman"/>
          <w:b/>
          <w:sz w:val="32"/>
          <w:szCs w:val="32"/>
        </w:rPr>
        <w:t xml:space="preserve">  </w:t>
      </w:r>
      <w:r>
        <w:rPr>
          <w:rFonts w:hint="eastAsia" w:ascii="楷体_GB2312" w:eastAsia="楷体_GB2312" w:cs="Times New Roman"/>
          <w:b/>
          <w:sz w:val="32"/>
          <w:szCs w:val="32"/>
          <w:lang w:val="en-US" w:eastAsia="zh-CN"/>
        </w:rPr>
        <w:t xml:space="preserve"> </w:t>
      </w: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镇妇联通过建设不少于10个妇女之家，每年第二季度、第四季度按期分别举办1次评选优秀妇女活动，实现基层妇女组织进一步建设，培养农村妇女后备干部，提升农村妇女在家庭、社会中的影响力，创造一个和谐美满的社会。</w:t>
      </w:r>
    </w:p>
    <w:p>
      <w:pPr>
        <w:spacing w:line="560" w:lineRule="exact"/>
        <w:ind w:firstLine="642" w:firstLineChars="200"/>
        <w:rPr>
          <w:rFonts w:hint="eastAsia" w:ascii="楷体_GB2312" w:eastAsia="楷体_GB2312" w:cs="Times New Roman"/>
          <w:b/>
          <w:sz w:val="32"/>
          <w:szCs w:val="32"/>
        </w:rPr>
      </w:pPr>
      <w:r>
        <w:rPr>
          <w:rFonts w:hint="eastAsia" w:ascii="楷体_GB2312" w:eastAsia="楷体_GB2312" w:cs="Times New Roman"/>
          <w:b/>
          <w:sz w:val="32"/>
          <w:szCs w:val="32"/>
        </w:rPr>
        <w:t>4.通过开展环保工作，实现环保形势稳步提升。</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通过开展环保工作，组织工作专班，深入到各企业进行排查摸底，督促企业落实主体责任，加强大气、水体、机动车污染防治;加强企业经营单位固体废弃物、重金属等重点污染治理的防治工作；增强群众的环保意识，遏制少数散乱污经营户，提升全镇企业经营安全、规范有序。</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生态环境办公室通过宣传巡查，全年巡查次数不低于100次，发现、纠正、督促企业消除各类违法排污，企业生产环保达标，工作目标按期完成，全年优良天气数量增加，预防和减少环境污染，达到主管部门要求，项目经费控制在10万元，建立环保工作长效机制，企业环保意识得到提升，实现全镇生态环境形势持续稳定好转，居民安居乐业，打造绿色宜居乡村。</w:t>
      </w:r>
    </w:p>
    <w:p>
      <w:pPr>
        <w:spacing w:line="560" w:lineRule="exact"/>
        <w:ind w:firstLine="642" w:firstLineChars="200"/>
        <w:rPr>
          <w:rFonts w:hint="eastAsia" w:ascii="楷体_GB2312" w:eastAsia="楷体_GB2312" w:cs="Times New Roman"/>
          <w:b/>
          <w:sz w:val="32"/>
          <w:szCs w:val="32"/>
        </w:rPr>
      </w:pPr>
      <w:r>
        <w:rPr>
          <w:rFonts w:hint="eastAsia" w:ascii="楷体_GB2312" w:eastAsia="楷体_GB2312" w:cs="Times New Roman"/>
          <w:b/>
          <w:sz w:val="32"/>
          <w:szCs w:val="32"/>
        </w:rPr>
        <w:t>5.通过开展基层党建带团建工作，带动团组织建设。</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党建办通过开展多种形式的党性教育活动和业务培训活动，活动次数不低于12次，每次参加人数不少于20人，按照绩效考核标准对党建团建工作进行考核，实现党建团建工作考核合格率，党建团建工作水平的提高，建立以党带团长效工作机制，推动建立广泛覆盖、富有活力的基层组织。</w:t>
      </w:r>
    </w:p>
    <w:p>
      <w:pPr>
        <w:spacing w:line="560" w:lineRule="exact"/>
        <w:ind w:firstLine="642" w:firstLineChars="200"/>
        <w:rPr>
          <w:rFonts w:hint="eastAsia" w:ascii="楷体_GB2312" w:eastAsia="楷体_GB2312" w:cs="Times New Roman"/>
          <w:b/>
          <w:sz w:val="32"/>
          <w:szCs w:val="32"/>
        </w:rPr>
      </w:pPr>
      <w:r>
        <w:rPr>
          <w:rFonts w:hint="eastAsia" w:ascii="楷体_GB2312" w:eastAsia="楷体_GB2312" w:cs="Times New Roman"/>
          <w:b/>
          <w:sz w:val="32"/>
          <w:szCs w:val="32"/>
        </w:rPr>
        <w:t>6.通过开展贫困户帮扶工作，提高贫困户生活质量。</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通过实施建档立卡贫困户帮扶项目，改善贫困户在日常生活，解决实际困难，最终实现贫困户不愁吃、不愁穿、保障子女义务教育、基本医疗、保障住房目标。</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扶贫办通过对27户建档立卡贫困户发放2000元/户的慰问金，每年慰问次数不少于12次，实现慰问金发放准确率，及时率、到位率、贫困户扶贫政策知晓率的提高，达到准管部门要求，项目经费控制在5.4万元，建立长效管理机制，确保贫困户生活质量有效提高，实现贫困户家庭收入有效增长，使贫困户对政府扶贫工作达到满意，提升贫困户家庭幸福感。</w:t>
      </w:r>
    </w:p>
    <w:p>
      <w:pPr>
        <w:spacing w:line="560" w:lineRule="exact"/>
        <w:ind w:firstLine="642" w:firstLineChars="200"/>
        <w:rPr>
          <w:rFonts w:hint="eastAsia" w:ascii="楷体_GB2312" w:eastAsia="楷体_GB2312" w:cs="Times New Roman"/>
          <w:b/>
          <w:sz w:val="32"/>
          <w:szCs w:val="32"/>
        </w:rPr>
      </w:pPr>
      <w:r>
        <w:rPr>
          <w:rFonts w:hint="eastAsia" w:ascii="楷体_GB2312" w:eastAsia="楷体_GB2312" w:cs="Times New Roman"/>
          <w:b/>
          <w:sz w:val="32"/>
          <w:szCs w:val="32"/>
        </w:rPr>
        <w:t>7.通过开展退役军人服务工作，切实维护退役军人合法利益。</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切实维护好退役军人合法权益，成立退役军人服务站，保证机构、人员、经费，切实把广大退役军人工作和生活保障好，激励他们为改革发展和社会稳定作出积极贡献。</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退役军人服务站通过做好就业、创业、扶持、走访慰问、帮扶解困、信访接待、权益保障等工作，走访帮扶不低于50次，实现退役军人慰问金发放及时准确，按期完成退役军人生活技能培训计划，鼓励退役军人自主创业，减少退役军人信访投诉情况发生，达到主管部门要求,建立长效工作机制，切实维护好退役军人合法利益。</w:t>
      </w:r>
    </w:p>
    <w:p>
      <w:pPr>
        <w:spacing w:line="560" w:lineRule="exact"/>
        <w:ind w:firstLine="642" w:firstLineChars="200"/>
        <w:rPr>
          <w:rFonts w:hint="eastAsia" w:ascii="楷体_GB2312" w:eastAsia="楷体_GB2312" w:cs="Times New Roman"/>
          <w:b/>
          <w:sz w:val="32"/>
          <w:szCs w:val="32"/>
        </w:rPr>
      </w:pPr>
      <w:r>
        <w:rPr>
          <w:rFonts w:hint="eastAsia" w:ascii="楷体_GB2312" w:eastAsia="楷体_GB2312" w:cs="Times New Roman"/>
          <w:b/>
          <w:sz w:val="32"/>
          <w:szCs w:val="32"/>
        </w:rPr>
        <w:t>8.为加快实施津保路南侧及廊沧高速东侧绿化节点工程进度,启动土地流转工作</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涉及流转土地面积27.365亩,流转期限10年,按照每年1000元/亩的标准,共需资金27.365万元,逐年付清,今年需支付流转资金2.7365万元。</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涉及流转土地面积27.365亩,流转期限10年,按照每年1000元/亩的标准，共需资金27.365万元，使廊沧高速东侧绿化节点合理化，改善镇域环境，为镇域发展提供支撑。</w:t>
      </w:r>
    </w:p>
    <w:p>
      <w:pPr>
        <w:spacing w:line="560" w:lineRule="exact"/>
        <w:ind w:firstLine="642" w:firstLineChars="200"/>
        <w:rPr>
          <w:rFonts w:hint="eastAsia" w:ascii="楷体_GB2312" w:eastAsia="楷体_GB2312" w:cs="Times New Roman"/>
          <w:b/>
          <w:sz w:val="32"/>
          <w:szCs w:val="32"/>
        </w:rPr>
      </w:pPr>
      <w:r>
        <w:rPr>
          <w:rFonts w:hint="eastAsia" w:ascii="楷体_GB2312" w:eastAsia="楷体_GB2312" w:cs="Times New Roman"/>
          <w:b/>
          <w:sz w:val="32"/>
          <w:szCs w:val="32"/>
        </w:rPr>
        <w:t>9.通过创建人大代表联络站，方便代表联系群众，拉近代表与群众的距离，提升辖区社会稳定水平。</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为群众解决了大量最关心、最直接、最现实的问题的同时，进一步拉近了人大代表和群众之间的距离，有效促进了基层社会的和谐稳定。</w:t>
      </w:r>
    </w:p>
    <w:p>
      <w:pPr>
        <w:spacing w:line="560" w:lineRule="exact"/>
        <w:ind w:firstLine="963" w:firstLineChars="3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通过人大代表联络站，了解关心人大代表对的工作，学习，生活情况，为人大代表履行代表职责提供条件。建立人大代表联络站个数不低于4个，为各级人大代表联系人民群众搭建平台，是新形势下密切代表与人民群众联系的纽带和桥梁。</w:t>
      </w:r>
    </w:p>
    <w:p>
      <w:pPr>
        <w:spacing w:line="560" w:lineRule="exact"/>
        <w:ind w:firstLine="642" w:firstLineChars="200"/>
        <w:rPr>
          <w:rFonts w:hint="eastAsia" w:ascii="楷体_GB2312" w:eastAsia="楷体_GB2312" w:cs="Times New Roman"/>
          <w:b/>
          <w:sz w:val="32"/>
          <w:szCs w:val="32"/>
        </w:rPr>
      </w:pPr>
      <w:r>
        <w:rPr>
          <w:rFonts w:hint="eastAsia" w:ascii="楷体_GB2312" w:eastAsia="楷体_GB2312" w:cs="Times New Roman"/>
          <w:b/>
          <w:sz w:val="32"/>
          <w:szCs w:val="32"/>
        </w:rPr>
        <w:t>10.实施品牌战略，以此带动村民增收，实现村集体经济收入可持续增加。</w:t>
      </w:r>
    </w:p>
    <w:p>
      <w:pPr>
        <w:spacing w:line="560" w:lineRule="exact"/>
        <w:ind w:firstLine="642" w:firstLineChars="2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扶持壮大村集体经济—东魏各庄村温室蔬菜种植大棚建设项目，项目建设日光温室大棚2架，规格为14米*80米，总建设面积2240平方米，实施品牌战略，以此带动农村增收，实现村集体经济收入可持续增加。</w:t>
      </w:r>
    </w:p>
    <w:p>
      <w:pPr>
        <w:spacing w:line="560" w:lineRule="exact"/>
        <w:ind w:firstLine="642" w:firstLineChars="200"/>
        <w:rPr>
          <w:rFonts w:hint="eastAsia" w:ascii="仿宋_GB2312" w:hAnsi="仿宋_GB2312" w:eastAsia="仿宋_GB2312" w:cs="仿宋_GB2312"/>
          <w:sz w:val="32"/>
          <w:szCs w:val="32"/>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项目及时开工，项目资金及时支付，严格控制项目资金不超过3.16614万元，实施品牌战略，以此带动农村增收，实现村集体经济收入可持续增加。</w:t>
      </w:r>
    </w:p>
    <w:p>
      <w:pPr>
        <w:spacing w:line="560" w:lineRule="exact"/>
        <w:ind w:firstLine="642" w:firstLineChars="200"/>
        <w:rPr>
          <w:rFonts w:hint="eastAsia" w:ascii="楷体_GB2312" w:eastAsia="楷体_GB2312" w:cs="Times New Roman"/>
          <w:b/>
          <w:sz w:val="32"/>
          <w:szCs w:val="32"/>
        </w:rPr>
      </w:pPr>
      <w:r>
        <w:rPr>
          <w:rFonts w:hint="eastAsia" w:ascii="楷体_GB2312" w:eastAsia="楷体_GB2312" w:cs="Times New Roman"/>
          <w:b/>
          <w:sz w:val="32"/>
          <w:szCs w:val="32"/>
        </w:rPr>
        <w:t>11.保障完成国防动员宣传教育、征兵、应急抢险等工作任务</w:t>
      </w:r>
    </w:p>
    <w:p>
      <w:pPr>
        <w:spacing w:line="560" w:lineRule="exact"/>
        <w:ind w:firstLine="642" w:firstLineChars="200"/>
        <w:rPr>
          <w:rFonts w:hint="eastAsia" w:ascii="仿宋_GB2312" w:hAnsi="仿宋_GB2312" w:eastAsia="仿宋_GB2312" w:cs="仿宋_GB2312"/>
          <w:sz w:val="32"/>
          <w:szCs w:val="32"/>
        </w:rPr>
      </w:pPr>
      <w:r>
        <w:rPr>
          <w:rFonts w:hint="eastAsia" w:ascii="楷体_GB2312" w:eastAsia="楷体_GB2312" w:cs="Times New Roman"/>
          <w:b/>
          <w:sz w:val="32"/>
          <w:szCs w:val="32"/>
        </w:rPr>
        <w:t>绩效目标：</w:t>
      </w:r>
      <w:r>
        <w:rPr>
          <w:rFonts w:hint="eastAsia" w:ascii="仿宋_GB2312" w:hAnsi="仿宋_GB2312" w:eastAsia="仿宋_GB2312" w:cs="仿宋_GB2312"/>
          <w:sz w:val="32"/>
          <w:szCs w:val="32"/>
        </w:rPr>
        <w:t>完成国防动员宣传教育、征兵、应急抢险等工作任务，完成</w:t>
      </w:r>
      <w:r>
        <w:rPr>
          <w:rFonts w:hint="eastAsia" w:ascii="仿宋_GB2312" w:hAnsi="仿宋_GB2312" w:eastAsia="仿宋_GB2312" w:cs="仿宋_GB2312"/>
          <w:sz w:val="32"/>
          <w:szCs w:val="32"/>
          <w:lang w:eastAsia="zh-CN"/>
        </w:rPr>
        <w:t>县人民武装部</w:t>
      </w:r>
      <w:r>
        <w:rPr>
          <w:rFonts w:hint="eastAsia" w:ascii="仿宋_GB2312" w:hAnsi="仿宋_GB2312" w:eastAsia="仿宋_GB2312" w:cs="仿宋_GB2312"/>
          <w:sz w:val="32"/>
          <w:szCs w:val="32"/>
        </w:rPr>
        <w:t>交办的各项任务，响应上级命令参加训练集结等工作。</w:t>
      </w:r>
    </w:p>
    <w:p>
      <w:pPr>
        <w:spacing w:line="560" w:lineRule="exact"/>
        <w:ind w:firstLine="642" w:firstLineChars="200"/>
        <w:rPr>
          <w:rFonts w:hint="default" w:eastAsia="宋体"/>
          <w:lang w:val="en-US" w:eastAsia="zh-CN"/>
        </w:rPr>
      </w:pPr>
      <w:r>
        <w:rPr>
          <w:rFonts w:hint="eastAsia" w:ascii="楷体_GB2312" w:eastAsia="楷体_GB2312" w:cs="Times New Roman"/>
          <w:b/>
          <w:sz w:val="32"/>
          <w:szCs w:val="32"/>
        </w:rPr>
        <w:t>绩效指标：</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县人民武装部</w:t>
      </w:r>
      <w:r>
        <w:rPr>
          <w:rFonts w:hint="eastAsia" w:ascii="仿宋_GB2312" w:hAnsi="仿宋_GB2312" w:eastAsia="仿宋_GB2312" w:cs="仿宋_GB2312"/>
          <w:sz w:val="32"/>
          <w:szCs w:val="32"/>
        </w:rPr>
        <w:t>交办的各项任务，响应上级命令参加训练集结等工作。每年训练民兵人数不低于100人，战备，训练物资更新补充，提升国防宣传、征兵工作知晓率。</w:t>
      </w:r>
    </w:p>
    <w:p>
      <w:pPr>
        <w:numPr>
          <w:ilvl w:val="0"/>
          <w:numId w:val="1"/>
        </w:numPr>
        <w:spacing w:line="584" w:lineRule="exact"/>
        <w:ind w:left="0" w:leftChars="0" w:firstLine="642"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line="560" w:lineRule="exact"/>
        <w:ind w:firstLine="643"/>
        <w:rPr>
          <w:rFonts w:ascii="Times New Roman" w:hAnsi="Times New Roman"/>
          <w:kern w:val="0"/>
          <w:sz w:val="32"/>
          <w:szCs w:val="32"/>
        </w:rPr>
      </w:pPr>
      <w:r>
        <w:rPr>
          <w:rFonts w:hint="eastAsia" w:ascii="仿宋" w:hAnsi="仿宋" w:eastAsia="仿宋" w:cs="仿宋"/>
          <w:b/>
          <w:bCs/>
          <w:kern w:val="0"/>
          <w:sz w:val="32"/>
          <w:szCs w:val="32"/>
        </w:rPr>
        <w:t>1.完善制度建设。</w:t>
      </w:r>
      <w:r>
        <w:rPr>
          <w:rFonts w:hint="eastAsia" w:ascii="仿宋" w:hAnsi="仿宋" w:eastAsia="仿宋" w:cs="仿宋"/>
          <w:kern w:val="0"/>
          <w:sz w:val="32"/>
          <w:szCs w:val="32"/>
        </w:rPr>
        <w:t>制定完善预算绩效管理制度、资金管理办法、工作保障制度等，为全年预算绩效目标的实现奠定制度基础。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271" w:firstLine="643"/>
        <w:rPr>
          <w:rFonts w:ascii="·ÂËÎ" w:hAnsi="·ÂËÎ" w:cs="·ÂËÎ"/>
          <w:kern w:val="0"/>
          <w:sz w:val="32"/>
          <w:szCs w:val="32"/>
        </w:rPr>
      </w:pPr>
      <w:r>
        <w:rPr>
          <w:rFonts w:hint="eastAsia" w:ascii="仿宋" w:hAnsi="仿宋" w:eastAsia="仿宋" w:cs="仿宋"/>
          <w:b/>
          <w:bCs/>
          <w:kern w:val="0"/>
          <w:sz w:val="32"/>
          <w:szCs w:val="32"/>
        </w:rPr>
        <w:t>2.加强支出管理。</w:t>
      </w:r>
      <w:r>
        <w:rPr>
          <w:rFonts w:hint="eastAsia" w:ascii="仿宋" w:hAnsi="仿宋" w:eastAsia="仿宋" w:cs="仿宋"/>
          <w:color w:val="000000"/>
          <w:kern w:val="0"/>
          <w:sz w:val="32"/>
          <w:szCs w:val="32"/>
        </w:rPr>
        <w:t>通过优化支出结构、编细编实预算、加快履行政府采购手续、尽快启动项目、及时支付资金、</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月底前细化代编预算、按规定及时下达资金等多种措施，确保支出进度达标。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9" w:after="120" w:line="560" w:lineRule="exact"/>
        <w:ind w:right="212" w:firstLine="643"/>
        <w:jc w:val="left"/>
        <w:rPr>
          <w:rFonts w:ascii="Times New Roman" w:hAnsi="Times New Roman"/>
          <w:kern w:val="0"/>
          <w:sz w:val="32"/>
          <w:szCs w:val="32"/>
        </w:rPr>
      </w:pPr>
      <w:r>
        <w:rPr>
          <w:rFonts w:hint="eastAsia" w:ascii="仿宋" w:hAnsi="仿宋" w:eastAsia="仿宋" w:cs="仿宋"/>
          <w:b/>
          <w:bCs/>
          <w:kern w:val="0"/>
          <w:sz w:val="32"/>
          <w:szCs w:val="32"/>
        </w:rPr>
        <w:t>3.加强绩效运行监控。</w:t>
      </w:r>
      <w:r>
        <w:rPr>
          <w:rFonts w:hint="eastAsia" w:ascii="仿宋" w:hAnsi="仿宋" w:eastAsia="仿宋" w:cs="仿宋"/>
          <w:kern w:val="0"/>
          <w:sz w:val="32"/>
          <w:szCs w:val="32"/>
        </w:rPr>
        <w:t>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114" w:firstLine="643"/>
        <w:jc w:val="left"/>
        <w:rPr>
          <w:rFonts w:ascii="Times New Roman" w:hAnsi="Times New Roman"/>
          <w:kern w:val="0"/>
          <w:sz w:val="32"/>
          <w:szCs w:val="32"/>
        </w:rPr>
      </w:pPr>
      <w:r>
        <w:rPr>
          <w:rFonts w:hint="eastAsia" w:ascii="仿宋" w:hAnsi="仿宋" w:eastAsia="仿宋" w:cs="仿宋"/>
          <w:b/>
          <w:bCs/>
          <w:kern w:val="0"/>
          <w:sz w:val="32"/>
          <w:szCs w:val="32"/>
        </w:rPr>
        <w:t>4.做好绩效自评。</w:t>
      </w:r>
      <w:r>
        <w:rPr>
          <w:rFonts w:hint="eastAsia" w:ascii="仿宋" w:hAnsi="仿宋" w:eastAsia="仿宋" w:cs="仿宋"/>
          <w:kern w:val="0"/>
          <w:sz w:val="32"/>
          <w:szCs w:val="32"/>
        </w:rPr>
        <w:t>按要求开展上年度部门预算绩效自评和重点评价工作，对评价中发现的问题及时整改，调整优化支出结构，提高财政资金使用效益。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23" w:after="120" w:line="560" w:lineRule="exact"/>
        <w:ind w:firstLine="643"/>
        <w:jc w:val="left"/>
        <w:rPr>
          <w:rFonts w:ascii="Times New Roman" w:hAnsi="Times New Roman"/>
          <w:kern w:val="0"/>
          <w:sz w:val="32"/>
          <w:szCs w:val="32"/>
        </w:rPr>
      </w:pPr>
      <w:r>
        <w:rPr>
          <w:rFonts w:hint="eastAsia" w:ascii="仿宋" w:hAnsi="仿宋" w:eastAsia="仿宋" w:cs="仿宋"/>
          <w:b/>
          <w:bCs/>
          <w:kern w:val="0"/>
          <w:sz w:val="32"/>
          <w:szCs w:val="32"/>
        </w:rPr>
        <w:t>5.规范财务资产管理。</w:t>
      </w:r>
      <w:r>
        <w:rPr>
          <w:rFonts w:hint="eastAsia" w:ascii="仿宋" w:hAnsi="仿宋" w:eastAsia="仿宋" w:cs="仿宋"/>
          <w:kern w:val="0"/>
          <w:sz w:val="32"/>
          <w:szCs w:val="32"/>
        </w:rPr>
        <w:t>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4" w:after="120" w:line="560" w:lineRule="exact"/>
        <w:ind w:firstLine="643"/>
        <w:jc w:val="left"/>
        <w:rPr>
          <w:rFonts w:ascii="Times New Roman" w:hAnsi="Times New Roman"/>
          <w:kern w:val="0"/>
          <w:sz w:val="32"/>
          <w:szCs w:val="32"/>
        </w:rPr>
      </w:pPr>
      <w:r>
        <w:rPr>
          <w:rFonts w:hint="eastAsia" w:ascii="仿宋" w:hAnsi="仿宋" w:eastAsia="仿宋" w:cs="仿宋"/>
          <w:b/>
          <w:bCs/>
          <w:kern w:val="0"/>
          <w:sz w:val="32"/>
          <w:szCs w:val="32"/>
        </w:rPr>
        <w:t>6.加强内部监督。</w:t>
      </w:r>
      <w:r>
        <w:rPr>
          <w:rFonts w:hint="eastAsia" w:ascii="仿宋" w:hAnsi="仿宋" w:eastAsia="仿宋" w:cs="仿宋"/>
          <w:kern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8" w:after="120" w:line="560" w:lineRule="exact"/>
        <w:ind w:firstLine="643"/>
        <w:rPr>
          <w:rFonts w:hint="eastAsia" w:ascii="仿宋" w:hAnsi="仿宋" w:eastAsia="仿宋" w:cs="仿宋"/>
          <w:kern w:val="0"/>
          <w:sz w:val="32"/>
          <w:szCs w:val="32"/>
        </w:rPr>
      </w:pPr>
      <w:r>
        <w:rPr>
          <w:rFonts w:hint="eastAsia" w:ascii="仿宋" w:hAnsi="仿宋" w:eastAsia="仿宋" w:cs="仿宋"/>
          <w:b/>
          <w:bCs/>
          <w:kern w:val="0"/>
          <w:sz w:val="32"/>
          <w:szCs w:val="32"/>
        </w:rPr>
        <w:t>7.加强宣传培训调研等。</w:t>
      </w:r>
      <w:r>
        <w:rPr>
          <w:rFonts w:hint="eastAsia" w:ascii="仿宋" w:hAnsi="仿宋" w:eastAsia="仿宋" w:cs="仿宋"/>
          <w:kern w:val="0"/>
          <w:sz w:val="32"/>
          <w:szCs w:val="32"/>
        </w:rPr>
        <w:t>加强人员培训，提高本部门职工业务素质；加强调研，提出优化财政资金配置、提高资金使用效益的意见；加大宣传力度，强化预算绩效管理意识，促进预算绩</w:t>
      </w:r>
      <w:r>
        <w:rPr>
          <w:rFonts w:ascii="仿宋" w:hAnsi="仿宋" w:eastAsia="仿宋" w:cs="仿宋"/>
          <w:kern w:val="0"/>
          <w:sz w:val="32"/>
          <w:szCs w:val="32"/>
        </w:rPr>
        <w:t xml:space="preserve"> </w:t>
      </w:r>
      <w:r>
        <w:rPr>
          <w:rFonts w:hint="eastAsia" w:ascii="仿宋" w:hAnsi="仿宋" w:eastAsia="仿宋" w:cs="仿宋"/>
          <w:kern w:val="0"/>
          <w:sz w:val="32"/>
          <w:szCs w:val="32"/>
        </w:rPr>
        <w:t>效管理水平进一步提升。</w:t>
      </w:r>
    </w:p>
    <w:p>
      <w:pPr>
        <w:numPr>
          <w:ilvl w:val="0"/>
          <w:numId w:val="0"/>
        </w:numPr>
        <w:overflowPunct w:val="0"/>
        <w:adjustRightInd w:val="0"/>
        <w:snapToGrid w:val="0"/>
        <w:spacing w:afterLines="50" w:line="580" w:lineRule="exact"/>
        <w:ind w:firstLine="642" w:firstLineChars="200"/>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w:t>
      </w:r>
      <w:r>
        <w:rPr>
          <w:rFonts w:hint="eastAsia" w:ascii="楷体_GB2312" w:eastAsia="楷体_GB2312" w:cs="Times New Roman"/>
          <w:b/>
          <w:sz w:val="32"/>
          <w:szCs w:val="32"/>
          <w:lang w:val="en-US" w:eastAsia="zh-CN"/>
        </w:rPr>
        <w:t>四</w:t>
      </w:r>
      <w:r>
        <w:rPr>
          <w:rFonts w:hint="eastAsia" w:ascii="楷体_GB2312" w:eastAsia="楷体_GB2312" w:cs="Times New Roman"/>
          <w:b/>
          <w:sz w:val="32"/>
          <w:szCs w:val="32"/>
          <w:lang w:eastAsia="zh-CN"/>
        </w:rPr>
        <w:t>）</w:t>
      </w:r>
      <w:r>
        <w:rPr>
          <w:rFonts w:hint="eastAsia" w:ascii="楷体_GB2312" w:eastAsia="楷体_GB2312" w:cs="Times New Roman"/>
          <w:b/>
          <w:sz w:val="32"/>
          <w:szCs w:val="32"/>
        </w:rPr>
        <w:t>部门整体支出绩效指标</w:t>
      </w:r>
    </w:p>
    <w:p>
      <w:pPr>
        <w:pStyle w:val="2"/>
        <w:rPr>
          <w:rFonts w:hint="eastAsia" w:ascii="楷体_GB2312" w:eastAsia="楷体_GB2312" w:cs="Times New Roman"/>
          <w:b/>
          <w:sz w:val="32"/>
          <w:szCs w:val="32"/>
        </w:rPr>
      </w:pPr>
    </w:p>
    <w:tbl>
      <w:tblPr>
        <w:tblStyle w:val="9"/>
        <w:tblpPr w:leftFromText="180" w:rightFromText="180" w:vertAnchor="text" w:horzAnchor="page" w:tblpX="1024" w:tblpY="62"/>
        <w:tblOverlap w:val="never"/>
        <w:tblW w:w="14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56"/>
        <w:gridCol w:w="916"/>
        <w:gridCol w:w="2165"/>
        <w:gridCol w:w="3953"/>
        <w:gridCol w:w="4307"/>
        <w:gridCol w:w="738"/>
        <w:gridCol w:w="292"/>
        <w:gridCol w:w="738"/>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48" w:hRule="atLeast"/>
          <w:tblHeader/>
        </w:trPr>
        <w:tc>
          <w:tcPr>
            <w:tcW w:w="85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1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6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95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430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76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85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0" w:hRule="atLeast"/>
          <w:tblHeader/>
        </w:trPr>
        <w:tc>
          <w:tcPr>
            <w:tcW w:w="856" w:type="dxa"/>
            <w:vMerge w:val="continue"/>
            <w:tcBorders>
              <w:tl2br w:val="nil"/>
              <w:tr2bl w:val="nil"/>
            </w:tcBorders>
            <w:vAlign w:val="center"/>
          </w:tcPr>
          <w:p/>
        </w:tc>
        <w:tc>
          <w:tcPr>
            <w:tcW w:w="916" w:type="dxa"/>
            <w:vMerge w:val="continue"/>
            <w:tcBorders>
              <w:tl2br w:val="nil"/>
              <w:tr2bl w:val="nil"/>
            </w:tcBorders>
            <w:vAlign w:val="center"/>
          </w:tcPr>
          <w:p/>
        </w:tc>
        <w:tc>
          <w:tcPr>
            <w:tcW w:w="2165" w:type="dxa"/>
            <w:vMerge w:val="continue"/>
            <w:tcBorders>
              <w:tl2br w:val="nil"/>
              <w:tr2bl w:val="nil"/>
            </w:tcBorders>
            <w:vAlign w:val="center"/>
          </w:tcPr>
          <w:p/>
        </w:tc>
        <w:tc>
          <w:tcPr>
            <w:tcW w:w="3953" w:type="dxa"/>
            <w:vMerge w:val="continue"/>
            <w:tcBorders>
              <w:tl2br w:val="nil"/>
              <w:tr2bl w:val="nil"/>
            </w:tcBorders>
            <w:vAlign w:val="center"/>
          </w:tcPr>
          <w:p/>
        </w:tc>
        <w:tc>
          <w:tcPr>
            <w:tcW w:w="4307" w:type="dxa"/>
            <w:vMerge w:val="continue"/>
            <w:tcBorders>
              <w:tl2br w:val="nil"/>
              <w:tr2bl w:val="nil"/>
            </w:tcBorders>
            <w:vAlign w:val="center"/>
          </w:tcPr>
          <w:p/>
        </w:tc>
        <w:tc>
          <w:tcPr>
            <w:tcW w:w="73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29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73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856"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7" w:hRule="atLeast"/>
        </w:trPr>
        <w:tc>
          <w:tcPr>
            <w:tcW w:w="856"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916"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数量</w:t>
            </w:r>
          </w:p>
        </w:tc>
        <w:tc>
          <w:tcPr>
            <w:tcW w:w="2165"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工作实际完成率</w:t>
            </w:r>
          </w:p>
        </w:tc>
        <w:tc>
          <w:tcPr>
            <w:tcW w:w="3953"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工作的实际产出数与计划产出数的比率</w:t>
            </w:r>
          </w:p>
        </w:tc>
        <w:tc>
          <w:tcPr>
            <w:tcW w:w="4307"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反映工作的实际产出数与计划产出数的比率</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292"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856"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0" w:hRule="atLeast"/>
        </w:trPr>
        <w:tc>
          <w:tcPr>
            <w:tcW w:w="856" w:type="dxa"/>
            <w:vMerge w:val="continue"/>
            <w:tcBorders>
              <w:tl2br w:val="nil"/>
              <w:tr2bl w:val="nil"/>
            </w:tcBorders>
            <w:vAlign w:val="center"/>
          </w:tcPr>
          <w:p/>
        </w:tc>
        <w:tc>
          <w:tcPr>
            <w:tcW w:w="916"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质量</w:t>
            </w:r>
          </w:p>
        </w:tc>
        <w:tc>
          <w:tcPr>
            <w:tcW w:w="2165"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重点工作完成达标率　</w:t>
            </w:r>
          </w:p>
        </w:tc>
        <w:tc>
          <w:tcPr>
            <w:tcW w:w="3953"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工作的质量达标产出数与实际产出数的比率。　</w:t>
            </w:r>
          </w:p>
        </w:tc>
        <w:tc>
          <w:tcPr>
            <w:tcW w:w="4307"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反映工作的质量达标产出数与实际产出数的比率。　</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292"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856"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856" w:type="dxa"/>
            <w:vMerge w:val="continue"/>
            <w:tcBorders>
              <w:tl2br w:val="nil"/>
              <w:tr2bl w:val="nil"/>
            </w:tcBorders>
            <w:vAlign w:val="center"/>
          </w:tcPr>
          <w:p/>
        </w:tc>
        <w:tc>
          <w:tcPr>
            <w:tcW w:w="916"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时效</w:t>
            </w:r>
          </w:p>
        </w:tc>
        <w:tc>
          <w:tcPr>
            <w:tcW w:w="2165"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重点工作完成及时率　</w:t>
            </w:r>
          </w:p>
        </w:tc>
        <w:tc>
          <w:tcPr>
            <w:tcW w:w="3953"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工作的质量达标产出数与实际产出数的比率。</w:t>
            </w:r>
          </w:p>
        </w:tc>
        <w:tc>
          <w:tcPr>
            <w:tcW w:w="4307"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反映工作的质量达标产出数与实际产出数的比率。</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292"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856"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0" w:hRule="atLeast"/>
        </w:trPr>
        <w:tc>
          <w:tcPr>
            <w:tcW w:w="856" w:type="dxa"/>
            <w:vMerge w:val="continue"/>
            <w:tcBorders>
              <w:tl2br w:val="nil"/>
              <w:tr2bl w:val="nil"/>
            </w:tcBorders>
            <w:vAlign w:val="center"/>
          </w:tcPr>
          <w:p/>
        </w:tc>
        <w:tc>
          <w:tcPr>
            <w:tcW w:w="916"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成本</w:t>
            </w:r>
          </w:p>
        </w:tc>
        <w:tc>
          <w:tcPr>
            <w:tcW w:w="2165"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一般性支出压减率　</w:t>
            </w:r>
          </w:p>
        </w:tc>
        <w:tc>
          <w:tcPr>
            <w:tcW w:w="3953"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按支出科目压减一般性支出的实际情况</w:t>
            </w:r>
          </w:p>
        </w:tc>
        <w:tc>
          <w:tcPr>
            <w:tcW w:w="4307"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反映按支出科目压减一般性支出的实际情况反映</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292"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856"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93" w:hRule="atLeast"/>
        </w:trPr>
        <w:tc>
          <w:tcPr>
            <w:tcW w:w="856"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916"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社会效益</w:t>
            </w:r>
          </w:p>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2165"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全镇经济发展稳步提升　</w:t>
            </w:r>
          </w:p>
        </w:tc>
        <w:tc>
          <w:tcPr>
            <w:tcW w:w="3953"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部门工作对经济发展所带来的直接或间接影响情况</w:t>
            </w:r>
          </w:p>
        </w:tc>
        <w:tc>
          <w:tcPr>
            <w:tcW w:w="4307"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反映部门工作对经济发展所带来的直接或间接影响情况</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292"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稳步提升</w:t>
            </w:r>
          </w:p>
        </w:tc>
        <w:tc>
          <w:tcPr>
            <w:tcW w:w="856"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6" w:hRule="atLeast"/>
        </w:trPr>
        <w:tc>
          <w:tcPr>
            <w:tcW w:w="856" w:type="dxa"/>
            <w:vMerge w:val="continue"/>
            <w:tcBorders>
              <w:tl2br w:val="nil"/>
              <w:tr2bl w:val="nil"/>
            </w:tcBorders>
            <w:vAlign w:val="center"/>
          </w:tcPr>
          <w:p/>
        </w:tc>
        <w:tc>
          <w:tcPr>
            <w:tcW w:w="916" w:type="dxa"/>
            <w:tcBorders>
              <w:tl2br w:val="nil"/>
              <w:tr2bl w:val="nil"/>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经济</w:t>
            </w:r>
          </w:p>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效益</w:t>
            </w:r>
          </w:p>
        </w:tc>
        <w:tc>
          <w:tcPr>
            <w:tcW w:w="2165"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辖区居民生活水平显著提升　　</w:t>
            </w:r>
          </w:p>
        </w:tc>
        <w:tc>
          <w:tcPr>
            <w:tcW w:w="3953"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部门工作对社会发展所带来的直接或间接影响情况</w:t>
            </w:r>
          </w:p>
        </w:tc>
        <w:tc>
          <w:tcPr>
            <w:tcW w:w="4307"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反映部门工作对社会发展所带来的直接或间接影响情况</w:t>
            </w: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292"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738"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显著提升</w:t>
            </w:r>
          </w:p>
        </w:tc>
        <w:tc>
          <w:tcPr>
            <w:tcW w:w="856" w:type="dxa"/>
            <w:tcBorders>
              <w:tl2br w:val="nil"/>
              <w:tr2bl w:val="nil"/>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856" w:type="dxa"/>
            <w:vMerge w:val="continue"/>
            <w:tcBorders>
              <w:tl2br w:val="nil"/>
              <w:tr2bl w:val="nil"/>
            </w:tcBorders>
            <w:vAlign w:val="center"/>
          </w:tcPr>
          <w:p/>
        </w:tc>
        <w:tc>
          <w:tcPr>
            <w:tcW w:w="916" w:type="dxa"/>
            <w:tcBorders>
              <w:tl2br w:val="nil"/>
              <w:tr2bl w:val="nil"/>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生态</w:t>
            </w:r>
          </w:p>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效益</w:t>
            </w:r>
          </w:p>
        </w:tc>
        <w:tc>
          <w:tcPr>
            <w:tcW w:w="2165"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辖区生态环境显著提升　</w:t>
            </w:r>
          </w:p>
        </w:tc>
        <w:tc>
          <w:tcPr>
            <w:tcW w:w="3953"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部门工作对生态环境所带来的直接或间接影响情况</w:t>
            </w:r>
          </w:p>
        </w:tc>
        <w:tc>
          <w:tcPr>
            <w:tcW w:w="4307"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反映部门工作对生态环境所带来的直接或间接影响情况</w:t>
            </w:r>
          </w:p>
        </w:tc>
        <w:tc>
          <w:tcPr>
            <w:tcW w:w="738"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292"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738"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显著提升</w:t>
            </w:r>
          </w:p>
        </w:tc>
        <w:tc>
          <w:tcPr>
            <w:tcW w:w="856"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rPr>
        <w:tc>
          <w:tcPr>
            <w:tcW w:w="856" w:type="dxa"/>
            <w:vMerge w:val="continue"/>
            <w:tcBorders>
              <w:tl2br w:val="nil"/>
              <w:tr2bl w:val="nil"/>
            </w:tcBorders>
            <w:vAlign w:val="center"/>
          </w:tcPr>
          <w:p/>
        </w:tc>
        <w:tc>
          <w:tcPr>
            <w:tcW w:w="916" w:type="dxa"/>
            <w:tcBorders>
              <w:tl2br w:val="nil"/>
              <w:tr2bl w:val="nil"/>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w:t>
            </w:r>
          </w:p>
        </w:tc>
        <w:tc>
          <w:tcPr>
            <w:tcW w:w="2165"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群众满意度　</w:t>
            </w:r>
          </w:p>
        </w:tc>
        <w:tc>
          <w:tcPr>
            <w:tcW w:w="3953"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社会公众或服务对象对部门工作效果的满意程度</w:t>
            </w:r>
          </w:p>
        </w:tc>
        <w:tc>
          <w:tcPr>
            <w:tcW w:w="4307"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反映社会公众或服务对象对部门工作效果的满意程度</w:t>
            </w:r>
          </w:p>
        </w:tc>
        <w:tc>
          <w:tcPr>
            <w:tcW w:w="738"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292"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90</w:t>
            </w:r>
          </w:p>
        </w:tc>
        <w:tc>
          <w:tcPr>
            <w:tcW w:w="738"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856"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取得成果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48" w:hRule="atLeast"/>
        </w:trPr>
        <w:tc>
          <w:tcPr>
            <w:tcW w:w="856" w:type="dxa"/>
            <w:vMerge w:val="continue"/>
            <w:tcBorders>
              <w:tl2br w:val="nil"/>
              <w:tr2bl w:val="nil"/>
            </w:tcBorders>
            <w:vAlign w:val="center"/>
          </w:tcPr>
          <w:p/>
        </w:tc>
        <w:tc>
          <w:tcPr>
            <w:tcW w:w="916" w:type="dxa"/>
            <w:tcBorders>
              <w:tl2br w:val="nil"/>
              <w:tr2bl w:val="nil"/>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满意度</w:t>
            </w:r>
          </w:p>
        </w:tc>
        <w:tc>
          <w:tcPr>
            <w:tcW w:w="2165"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工作实际完成率</w:t>
            </w:r>
          </w:p>
        </w:tc>
        <w:tc>
          <w:tcPr>
            <w:tcW w:w="3953"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工作的实际产出数与计划产出数的比率</w:t>
            </w:r>
          </w:p>
        </w:tc>
        <w:tc>
          <w:tcPr>
            <w:tcW w:w="4307"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反映工作的实际产出数与计划产出数的比率</w:t>
            </w:r>
          </w:p>
        </w:tc>
        <w:tc>
          <w:tcPr>
            <w:tcW w:w="738"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292"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738"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856" w:type="dxa"/>
            <w:tcBorders>
              <w:tl2br w:val="nil"/>
              <w:tr2bl w:val="nil"/>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工作安排</w:t>
            </w:r>
          </w:p>
        </w:tc>
      </w:tr>
    </w:tbl>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农村环境整治</w:t>
      </w:r>
      <w:r>
        <w:rPr>
          <w:rFonts w:ascii="Times New Roman" w:hAnsi="Times New Roman" w:eastAsia="仿宋_GB2312" w:cs="Times New Roman"/>
          <w:sz w:val="28"/>
        </w:rPr>
        <w:t>绩效目标表</w:t>
      </w:r>
      <w:bookmarkStart w:id="0" w:name="_Toc29799657"/>
      <w:bookmarkEnd w:id="0"/>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8"/>
        <w:gridCol w:w="1529"/>
        <w:gridCol w:w="1529"/>
        <w:gridCol w:w="3767"/>
        <w:gridCol w:w="1651"/>
        <w:gridCol w:w="1158"/>
        <w:gridCol w:w="2311"/>
        <w:gridCol w:w="1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82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13102522P00890510001A   2022年农村环境整治经费</w:t>
            </w:r>
          </w:p>
        </w:tc>
        <w:tc>
          <w:tcPr>
            <w:tcW w:w="28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4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82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602001-大城县大尚屯镇人民政府本级</w:t>
            </w:r>
          </w:p>
        </w:tc>
        <w:tc>
          <w:tcPr>
            <w:tcW w:w="28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13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771"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每年都安排农村环境整治项目资金，对农村环境进行清理整治，使我镇垃圾及时有效处理，发现一处，整理一处，不留死角，实现我镇环境质量明显改善，建立农村环境整治长效管理机制，打造绿色宜居乡村。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148" w:type="dxa"/>
            <w:vMerge w:val="restart"/>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资金支出计划（累计支出比例）</w:t>
            </w: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7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5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w:t>
            </w:r>
          </w:p>
        </w:tc>
        <w:tc>
          <w:tcPr>
            <w:tcW w:w="37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5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18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224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通过及时处理镇区出现的生活垃圾、工业垃圾，宣传环境治理政策，保持镇区环境卫生、整洁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2242"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提升群众自觉爱护环境的意识，提升群众生活质量。</w:t>
            </w:r>
          </w:p>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5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5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7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51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8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2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7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1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3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8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数量指标</w:t>
            </w:r>
          </w:p>
        </w:tc>
        <w:tc>
          <w:tcPr>
            <w:tcW w:w="152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排查村街数量</w:t>
            </w:r>
          </w:p>
        </w:tc>
        <w:tc>
          <w:tcPr>
            <w:tcW w:w="3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反映排查村街的数量</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1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59</w:t>
            </w:r>
          </w:p>
        </w:tc>
        <w:tc>
          <w:tcPr>
            <w:tcW w:w="231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个</w:t>
            </w:r>
          </w:p>
        </w:tc>
        <w:tc>
          <w:tcPr>
            <w:tcW w:w="18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质量指标</w:t>
            </w:r>
          </w:p>
        </w:tc>
        <w:tc>
          <w:tcPr>
            <w:tcW w:w="152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环境质量达标率</w:t>
            </w:r>
          </w:p>
        </w:tc>
        <w:tc>
          <w:tcPr>
            <w:tcW w:w="3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反映环境质量达标率</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1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31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8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时效指标</w:t>
            </w:r>
          </w:p>
        </w:tc>
        <w:tc>
          <w:tcPr>
            <w:tcW w:w="152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垃圾及时处理率</w:t>
            </w:r>
          </w:p>
        </w:tc>
        <w:tc>
          <w:tcPr>
            <w:tcW w:w="3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垃圾发现及时处理率</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1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100</w:t>
            </w:r>
          </w:p>
        </w:tc>
        <w:tc>
          <w:tcPr>
            <w:tcW w:w="231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8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成本指标</w:t>
            </w:r>
          </w:p>
        </w:tc>
        <w:tc>
          <w:tcPr>
            <w:tcW w:w="152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项目经费预算控制量</w:t>
            </w:r>
          </w:p>
        </w:tc>
        <w:tc>
          <w:tcPr>
            <w:tcW w:w="3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反映项目经费预算控制量</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1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w:t>
            </w:r>
          </w:p>
        </w:tc>
        <w:tc>
          <w:tcPr>
            <w:tcW w:w="231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万元</w:t>
            </w:r>
          </w:p>
        </w:tc>
        <w:tc>
          <w:tcPr>
            <w:tcW w:w="18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社会效益指标</w:t>
            </w:r>
          </w:p>
        </w:tc>
        <w:tc>
          <w:tcPr>
            <w:tcW w:w="152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受益人口数量</w:t>
            </w:r>
          </w:p>
        </w:tc>
        <w:tc>
          <w:tcPr>
            <w:tcW w:w="3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受益人口数量</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1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7</w:t>
            </w:r>
          </w:p>
        </w:tc>
        <w:tc>
          <w:tcPr>
            <w:tcW w:w="231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万人</w:t>
            </w:r>
          </w:p>
        </w:tc>
        <w:tc>
          <w:tcPr>
            <w:tcW w:w="18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生态效益指标</w:t>
            </w:r>
          </w:p>
        </w:tc>
        <w:tc>
          <w:tcPr>
            <w:tcW w:w="152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环境提升情况</w:t>
            </w:r>
          </w:p>
        </w:tc>
        <w:tc>
          <w:tcPr>
            <w:tcW w:w="3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反映环境提升情况</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158"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231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提升</w:t>
            </w:r>
          </w:p>
        </w:tc>
        <w:tc>
          <w:tcPr>
            <w:tcW w:w="18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1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可持续影响指标</w:t>
            </w:r>
          </w:p>
        </w:tc>
        <w:tc>
          <w:tcPr>
            <w:tcW w:w="152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长效管理机制</w:t>
            </w:r>
          </w:p>
        </w:tc>
        <w:tc>
          <w:tcPr>
            <w:tcW w:w="3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反映长效管理机制是否健全</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文字描述</w:t>
            </w:r>
          </w:p>
        </w:tc>
        <w:tc>
          <w:tcPr>
            <w:tcW w:w="1158" w:type="dxa"/>
            <w:tcBorders>
              <w:top w:val="single" w:color="000000" w:sz="4" w:space="0"/>
              <w:left w:val="single" w:color="000000" w:sz="4" w:space="0"/>
              <w:bottom w:val="single" w:color="000000" w:sz="4" w:space="0"/>
              <w:right w:val="single" w:color="000000" w:sz="4" w:space="0"/>
            </w:tcBorders>
            <w:vAlign w:val="top"/>
          </w:tcPr>
          <w:p>
            <w:pPr>
              <w:jc w:val="left"/>
              <w:rPr>
                <w:rFonts w:hint="eastAsia" w:ascii="宋体" w:hAnsi="宋体" w:eastAsia="宋体" w:cs="宋体"/>
                <w:i w:val="0"/>
                <w:iCs w:val="0"/>
                <w:color w:val="000000"/>
                <w:sz w:val="18"/>
                <w:szCs w:val="18"/>
                <w:u w:val="none"/>
              </w:rPr>
            </w:pPr>
          </w:p>
        </w:tc>
        <w:tc>
          <w:tcPr>
            <w:tcW w:w="231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健全</w:t>
            </w:r>
          </w:p>
        </w:tc>
        <w:tc>
          <w:tcPr>
            <w:tcW w:w="18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《廊坊市人民政府办公室关于严格农村生活垃圾管理的通知》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服务对象满意度指标</w:t>
            </w:r>
          </w:p>
        </w:tc>
        <w:tc>
          <w:tcPr>
            <w:tcW w:w="152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群众满意度</w:t>
            </w:r>
          </w:p>
        </w:tc>
        <w:tc>
          <w:tcPr>
            <w:tcW w:w="3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反映群众满意度</w:t>
            </w:r>
          </w:p>
        </w:tc>
        <w:tc>
          <w:tcPr>
            <w:tcW w:w="16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1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90</w:t>
            </w:r>
          </w:p>
        </w:tc>
        <w:tc>
          <w:tcPr>
            <w:tcW w:w="231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w:t>
            </w:r>
          </w:p>
        </w:tc>
        <w:tc>
          <w:tcPr>
            <w:tcW w:w="18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实际调查</w:t>
            </w:r>
          </w:p>
        </w:tc>
      </w:tr>
    </w:tbl>
    <w:p>
      <w:pPr>
        <w:widowControl w:val="0"/>
        <w:wordWrap/>
        <w:adjustRightInd/>
        <w:snapToGrid/>
        <w:spacing w:line="240" w:lineRule="auto"/>
        <w:ind w:left="0" w:leftChars="0" w:right="0" w:firstLine="560" w:firstLineChars="200"/>
        <w:jc w:val="left"/>
        <w:textAlignment w:val="auto"/>
        <w:outlineLvl w:val="1"/>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2.222       22..22.2.2</w:t>
      </w:r>
    </w:p>
    <w:p>
      <w:pPr>
        <w:widowControl w:val="0"/>
        <w:wordWrap/>
        <w:adjustRightInd/>
        <w:snapToGrid/>
        <w:spacing w:line="240" w:lineRule="auto"/>
        <w:ind w:left="0" w:leftChars="0" w:right="0" w:firstLine="560" w:firstLineChars="200"/>
        <w:jc w:val="left"/>
        <w:textAlignment w:val="auto"/>
        <w:outlineLvl w:val="1"/>
        <w:rPr>
          <w:rFonts w:ascii="Times New Roman" w:hAnsi="Times New Roman" w:eastAsia="仿宋_GB2312" w:cs="Times New Roman"/>
          <w:vanish/>
          <w:sz w:val="28"/>
        </w:rPr>
      </w:pPr>
    </w:p>
    <w:p>
      <w:pPr>
        <w:widowControl w:val="0"/>
        <w:wordWrap/>
        <w:adjustRightInd/>
        <w:snapToGrid/>
        <w:spacing w:line="240" w:lineRule="auto"/>
        <w:ind w:left="0" w:leftChars="0" w:right="0" w:firstLine="560" w:firstLineChars="200"/>
        <w:jc w:val="left"/>
        <w:textAlignment w:val="auto"/>
        <w:outlineLvl w:val="1"/>
        <w:rPr>
          <w:rFonts w:ascii="Times New Roman" w:hAnsi="Times New Roman" w:eastAsia="仿宋_GB2312" w:cs="Times New Roman"/>
          <w:vanish/>
          <w:sz w:val="28"/>
        </w:rPr>
      </w:pPr>
    </w:p>
    <w:p>
      <w:pPr>
        <w:widowControl w:val="0"/>
        <w:wordWrap/>
        <w:adjustRightInd/>
        <w:snapToGrid/>
        <w:spacing w:line="240" w:lineRule="auto"/>
        <w:ind w:left="0" w:leftChars="0" w:right="0" w:firstLine="560" w:firstLineChars="200"/>
        <w:jc w:val="left"/>
        <w:textAlignment w:val="auto"/>
        <w:outlineLvl w:val="1"/>
        <w:rPr>
          <w:rFonts w:ascii="Times New Roman" w:hAnsi="Times New Roman" w:eastAsia="仿宋_GB2312" w:cs="Times New Roman"/>
          <w:vanish/>
          <w:sz w:val="28"/>
        </w:rPr>
      </w:pPr>
    </w:p>
    <w:p>
      <w:pPr>
        <w:widowControl w:val="0"/>
        <w:wordWrap/>
        <w:adjustRightInd/>
        <w:snapToGrid/>
        <w:spacing w:line="240" w:lineRule="auto"/>
        <w:ind w:left="0" w:leftChars="0" w:right="0" w:firstLine="560" w:firstLineChars="200"/>
        <w:jc w:val="left"/>
        <w:textAlignment w:val="auto"/>
        <w:outlineLvl w:val="1"/>
        <w:rPr>
          <w:rFonts w:ascii="Times New Roman" w:hAnsi="Times New Roman" w:eastAsia="仿宋_GB2312" w:cs="Times New Roman"/>
          <w:vanish/>
          <w:sz w:val="28"/>
        </w:rPr>
      </w:pPr>
    </w:p>
    <w:p>
      <w:pPr>
        <w:widowControl w:val="0"/>
        <w:wordWrap/>
        <w:adjustRightInd/>
        <w:snapToGrid/>
        <w:spacing w:line="240" w:lineRule="auto"/>
        <w:ind w:left="0" w:leftChars="0" w:right="0" w:firstLine="560" w:firstLineChars="200"/>
        <w:jc w:val="left"/>
        <w:textAlignment w:val="auto"/>
        <w:outlineLvl w:val="1"/>
        <w:rPr>
          <w:rFonts w:ascii="Times New Roman" w:hAnsi="Times New Roman" w:eastAsia="仿宋_GB2312" w:cs="Times New Roman"/>
          <w:vanish/>
          <w:sz w:val="28"/>
        </w:rPr>
      </w:pPr>
    </w:p>
    <w:p>
      <w:pPr>
        <w:widowControl w:val="0"/>
        <w:wordWrap/>
        <w:adjustRightInd/>
        <w:snapToGrid/>
        <w:spacing w:line="240" w:lineRule="auto"/>
        <w:ind w:left="0" w:leftChars="0" w:right="0" w:firstLine="560" w:firstLineChars="200"/>
        <w:jc w:val="left"/>
        <w:textAlignment w:val="auto"/>
        <w:outlineLvl w:val="1"/>
        <w:rPr>
          <w:rFonts w:ascii="Times New Roman" w:hAnsi="Times New Roman" w:eastAsia="仿宋_GB2312" w:cs="Times New Roman"/>
          <w:vanish/>
          <w:sz w:val="28"/>
        </w:rPr>
      </w:pPr>
    </w:p>
    <w:p>
      <w:pPr>
        <w:widowControl w:val="0"/>
        <w:wordWrap/>
        <w:adjustRightInd/>
        <w:snapToGrid/>
        <w:spacing w:line="240" w:lineRule="auto"/>
        <w:ind w:left="0" w:leftChars="0" w:right="0" w:firstLine="560" w:firstLineChars="200"/>
        <w:jc w:val="left"/>
        <w:textAlignment w:val="auto"/>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r>
        <w:rPr>
          <w:rFonts w:hint="eastAsia" w:ascii="Times New Roman" w:hAnsi="Times New Roman" w:eastAsia="仿宋_GB2312" w:cs="Times New Roman"/>
          <w:vanish/>
          <w:sz w:val="28"/>
          <w:lang w:val="en-US" w:eastAsia="zh-CN"/>
        </w:rPr>
        <w:t xml:space="preserve">2.2            000          </w:t>
      </w:r>
      <w:r>
        <w:rPr>
          <w:rFonts w:hint="eastAsia" w:ascii="Times New Roman" w:hAnsi="Times New Roman" w:eastAsia="仿宋_GB2312" w:cs="Times New Roman"/>
          <w:sz w:val="28"/>
          <w:lang w:val="en-US" w:eastAsia="zh-CN"/>
        </w:rPr>
        <w:t>2.环保经费绩效目标表</w:t>
      </w: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3"/>
        <w:gridCol w:w="1573"/>
        <w:gridCol w:w="1573"/>
        <w:gridCol w:w="3742"/>
        <w:gridCol w:w="1652"/>
        <w:gridCol w:w="1200"/>
        <w:gridCol w:w="2325"/>
        <w:gridCol w:w="1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项目编码及名称</w:t>
            </w:r>
          </w:p>
        </w:tc>
        <w:tc>
          <w:tcPr>
            <w:tcW w:w="688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Calibri"/>
                <w:i w:val="0"/>
                <w:iCs w:val="0"/>
                <w:color w:val="000000"/>
                <w:kern w:val="0"/>
                <w:sz w:val="22"/>
                <w:szCs w:val="22"/>
                <w:u w:val="none"/>
                <w:lang w:val="en-US" w:eastAsia="zh-CN"/>
              </w:rPr>
            </w:pPr>
            <w:r>
              <w:rPr>
                <w:rFonts w:hint="eastAsia" w:ascii="宋体" w:hAnsi="宋体" w:eastAsia="宋体" w:cs="宋体"/>
                <w:i w:val="0"/>
                <w:iCs w:val="0"/>
                <w:color w:val="000000"/>
                <w:kern w:val="0"/>
                <w:sz w:val="18"/>
                <w:szCs w:val="18"/>
                <w:u w:val="none"/>
                <w:lang w:val="en-US" w:eastAsia="zh-CN"/>
              </w:rPr>
              <w:t>13102522P00890310001Y  2022年环保经费</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主管部门</w:t>
            </w:r>
          </w:p>
        </w:tc>
        <w:tc>
          <w:tcPr>
            <w:tcW w:w="4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Calibri" w:hAnsi="Calibri" w:eastAsia="宋体" w:cs="Calibri"/>
                <w:i w:val="0"/>
                <w:iCs w:val="0"/>
                <w:color w:val="000000"/>
                <w:kern w:val="0"/>
                <w:sz w:val="22"/>
                <w:szCs w:val="22"/>
                <w:u w:val="none"/>
                <w:lang w:val="en-US" w:eastAsia="zh-CN"/>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6"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项目单位</w:t>
            </w:r>
          </w:p>
        </w:tc>
        <w:tc>
          <w:tcPr>
            <w:tcW w:w="688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Calibri" w:hAnsi="Calibri" w:eastAsia="宋体" w:cs="Calibri"/>
                <w:i w:val="0"/>
                <w:iCs w:val="0"/>
                <w:color w:val="000000"/>
                <w:kern w:val="0"/>
                <w:sz w:val="22"/>
                <w:szCs w:val="22"/>
                <w:u w:val="none"/>
                <w:lang w:val="en-US" w:eastAsia="zh-CN"/>
              </w:rPr>
            </w:pPr>
            <w:r>
              <w:rPr>
                <w:rFonts w:hint="eastAsia" w:ascii="宋体" w:hAnsi="宋体" w:eastAsia="宋体" w:cs="宋体"/>
                <w:i w:val="0"/>
                <w:iCs w:val="0"/>
                <w:color w:val="000000"/>
                <w:kern w:val="0"/>
                <w:sz w:val="18"/>
                <w:szCs w:val="18"/>
                <w:u w:val="none"/>
                <w:lang w:val="en-US" w:eastAsia="zh-CN"/>
              </w:rPr>
              <w:t>602001-大城县大尚屯镇人民政府本级</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年度资金总额</w:t>
            </w:r>
          </w:p>
        </w:tc>
        <w:tc>
          <w:tcPr>
            <w:tcW w:w="417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Calibri"/>
                <w:i w:val="0"/>
                <w:iCs w:val="0"/>
                <w:color w:val="000000"/>
                <w:kern w:val="0"/>
                <w:sz w:val="22"/>
                <w:szCs w:val="22"/>
                <w:u w:val="none"/>
                <w:lang w:val="en-US" w:eastAsia="zh-CN"/>
              </w:rPr>
            </w:pPr>
            <w:r>
              <w:rPr>
                <w:rFonts w:hint="eastAsia" w:ascii="宋体" w:hAnsi="宋体" w:eastAsia="宋体" w:cs="宋体"/>
                <w:i w:val="0"/>
                <w:iCs w:val="0"/>
                <w:color w:val="000000"/>
                <w:kern w:val="0"/>
                <w:sz w:val="18"/>
                <w:szCs w:val="18"/>
                <w:u w:val="none"/>
                <w:lang w:val="en-US" w:eastAsia="zh-CN"/>
              </w:rPr>
              <w:t>10万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8"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资金用途</w:t>
            </w:r>
          </w:p>
        </w:tc>
        <w:tc>
          <w:tcPr>
            <w:tcW w:w="1391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default" w:ascii="宋体" w:hAnsi="宋体" w:eastAsia="宋体" w:cs="宋体"/>
                <w:i w:val="0"/>
                <w:iCs w:val="0"/>
                <w:color w:val="000000"/>
                <w:kern w:val="0"/>
                <w:sz w:val="18"/>
                <w:szCs w:val="18"/>
                <w:u w:val="none"/>
                <w:lang w:val="en-US" w:eastAsia="zh-CN"/>
              </w:rPr>
              <w:t>安排环保项目资金，由生态环境办公室对镇区环保工作进行宣传、巡查，人工对散乱污等不符合规定的企业进行清理，增强群众的环保意识，确保环保工作正常推进。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6" w:hRule="atLeast"/>
        </w:trPr>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8"/>
                <w:szCs w:val="18"/>
                <w:u w:val="none"/>
                <w:lang w:val="en-US" w:eastAsia="zh-CN"/>
              </w:rPr>
              <w:t>资金支出计划（累计支出比例）</w:t>
            </w:r>
          </w:p>
        </w:tc>
        <w:tc>
          <w:tcPr>
            <w:tcW w:w="31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3月底</w:t>
            </w:r>
          </w:p>
        </w:tc>
        <w:tc>
          <w:tcPr>
            <w:tcW w:w="37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6月底</w:t>
            </w:r>
          </w:p>
        </w:tc>
        <w:tc>
          <w:tcPr>
            <w:tcW w:w="51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10月底</w:t>
            </w:r>
          </w:p>
        </w:tc>
        <w:tc>
          <w:tcPr>
            <w:tcW w:w="1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1"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31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8"/>
                <w:szCs w:val="18"/>
                <w:u w:val="none"/>
                <w:lang w:val="en-US" w:eastAsia="zh-CN"/>
              </w:rPr>
              <w:t>30%</w:t>
            </w:r>
          </w:p>
        </w:tc>
        <w:tc>
          <w:tcPr>
            <w:tcW w:w="37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8"/>
                <w:szCs w:val="18"/>
                <w:u w:val="none"/>
                <w:lang w:val="en-US" w:eastAsia="zh-CN"/>
              </w:rPr>
              <w:t>50%</w:t>
            </w:r>
          </w:p>
        </w:tc>
        <w:tc>
          <w:tcPr>
            <w:tcW w:w="51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8"/>
                <w:szCs w:val="18"/>
                <w:u w:val="none"/>
                <w:lang w:val="en-US" w:eastAsia="zh-CN"/>
              </w:rPr>
              <w:t>90%</w:t>
            </w:r>
          </w:p>
        </w:tc>
        <w:tc>
          <w:tcPr>
            <w:tcW w:w="185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00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年度绩效目标</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rPr>
              <w:t>目标1</w:t>
            </w:r>
          </w:p>
        </w:tc>
        <w:tc>
          <w:tcPr>
            <w:tcW w:w="12343"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通过开展环保工作，组织工作专班，深入到各企业进行排查摸底，督促企业落实主体责任，加强大气、水体、机动车污染防治;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0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5"/>
                <w:szCs w:val="15"/>
                <w:u w:val="none"/>
                <w:lang w:val="en-US" w:eastAsia="zh-CN"/>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5"/>
                <w:szCs w:val="15"/>
                <w:u w:val="none"/>
                <w:lang w:val="en-US" w:eastAsia="zh-CN"/>
              </w:rPr>
            </w:pPr>
            <w:r>
              <w:rPr>
                <w:rFonts w:hint="eastAsia" w:ascii="宋体" w:hAnsi="宋体" w:eastAsia="宋体" w:cs="宋体"/>
                <w:i w:val="0"/>
                <w:iCs w:val="0"/>
                <w:color w:val="000000"/>
                <w:kern w:val="0"/>
                <w:sz w:val="15"/>
                <w:szCs w:val="15"/>
                <w:u w:val="none"/>
                <w:lang w:val="en-US" w:eastAsia="zh-CN"/>
              </w:rPr>
              <w:t>目标2</w:t>
            </w:r>
          </w:p>
        </w:tc>
        <w:tc>
          <w:tcPr>
            <w:tcW w:w="12343"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加强企业经营单位固体废弃物、重金属等重点污染治理的防治工作；增强群众的环保意识，遏制少数散乱污经营户，提升全镇企业经营安全、规范有序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一级指标</w:t>
            </w:r>
          </w:p>
        </w:tc>
        <w:tc>
          <w:tcPr>
            <w:tcW w:w="15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二级指标</w:t>
            </w:r>
          </w:p>
        </w:tc>
        <w:tc>
          <w:tcPr>
            <w:tcW w:w="15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三级指标</w:t>
            </w:r>
          </w:p>
        </w:tc>
        <w:tc>
          <w:tcPr>
            <w:tcW w:w="374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绩效指标描述（指标内容）</w:t>
            </w:r>
          </w:p>
        </w:tc>
        <w:tc>
          <w:tcPr>
            <w:tcW w:w="517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指标值</w:t>
            </w:r>
          </w:p>
        </w:tc>
        <w:tc>
          <w:tcPr>
            <w:tcW w:w="18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5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5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37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符号</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值</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单位（文字描述）</w:t>
            </w:r>
          </w:p>
        </w:tc>
        <w:tc>
          <w:tcPr>
            <w:tcW w:w="18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产出指标</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企业巡查次数</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反映全年企业巡查次数</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次</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企业巡查次数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6"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质量指标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环保标准达标率</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反映环保达标的企业的比率</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环保标准达标率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4"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时效指标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工作目标完成率</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反映工作目标按计划的完成率</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工作目标计划完成率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成本指标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项目经费控制量</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反映项目经费预算控制量</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w:t>
            </w: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万元</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项目经费预算控制量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效益指标</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8"/>
                <w:szCs w:val="18"/>
                <w:u w:val="none"/>
                <w:lang w:val="en-US" w:eastAsia="zh-CN"/>
              </w:rPr>
              <w:t>社会效益指标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环保意识提升情况</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反映企业环保意识提升情况</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显著提升</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企业环保意识提升情况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生态效益指标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全年优良天气数量增长率</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全年优良天气数量增长率</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25</w:t>
            </w: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全年优良天气数量增长率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5"/>
                <w:szCs w:val="15"/>
                <w:u w:val="none"/>
              </w:rPr>
            </w:pP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环保制度</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反映环保制度是否健全</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健全</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环保制度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0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rPr>
              <w:t>满意度指标</w:t>
            </w:r>
          </w:p>
        </w:tc>
        <w:tc>
          <w:tcPr>
            <w:tcW w:w="15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服务对象满意度指标</w:t>
            </w:r>
          </w:p>
        </w:tc>
        <w:tc>
          <w:tcPr>
            <w:tcW w:w="157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群众满意度</w:t>
            </w:r>
          </w:p>
        </w:tc>
        <w:tc>
          <w:tcPr>
            <w:tcW w:w="374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反映群众满意度</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90</w:t>
            </w:r>
          </w:p>
        </w:tc>
        <w:tc>
          <w:tcPr>
            <w:tcW w:w="23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群众满意度</w:t>
            </w: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3.安监经费</w:t>
      </w:r>
      <w:r>
        <w:rPr>
          <w:rFonts w:ascii="Times New Roman" w:hAnsi="Times New Roman" w:eastAsia="仿宋_GB2312" w:cs="Times New Roman"/>
          <w:sz w:val="28"/>
        </w:rPr>
        <w:t>绩效目标表</w:t>
      </w:r>
    </w:p>
    <w:tbl>
      <w:tblPr>
        <w:tblStyle w:val="9"/>
        <w:tblpPr w:leftFromText="180" w:rightFromText="180" w:vertAnchor="text" w:horzAnchor="page" w:tblpX="1115" w:tblpY="82"/>
        <w:tblOverlap w:val="never"/>
        <w:tblW w:w="149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6"/>
        <w:gridCol w:w="1533"/>
        <w:gridCol w:w="1533"/>
        <w:gridCol w:w="3685"/>
        <w:gridCol w:w="1650"/>
        <w:gridCol w:w="1176"/>
        <w:gridCol w:w="2285"/>
        <w:gridCol w:w="1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75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13102522P008902100019</w:t>
            </w:r>
            <w:r>
              <w:rPr>
                <w:rFonts w:hint="eastAsia" w:ascii="宋体" w:hAnsi="宋体" w:eastAsia="宋体" w:cs="宋体"/>
                <w:i w:val="0"/>
                <w:iCs w:val="0"/>
                <w:color w:val="000000"/>
                <w:kern w:val="0"/>
                <w:sz w:val="18"/>
                <w:szCs w:val="18"/>
                <w:u w:val="none"/>
                <w:lang w:val="en-US" w:eastAsia="zh-CN"/>
              </w:rPr>
              <w:t xml:space="preserve">   2022年安监经费</w:t>
            </w:r>
          </w:p>
        </w:tc>
        <w:tc>
          <w:tcPr>
            <w:tcW w:w="28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41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75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602001-大城县大尚屯镇人民政府本级</w:t>
            </w:r>
          </w:p>
        </w:tc>
        <w:tc>
          <w:tcPr>
            <w:tcW w:w="282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10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68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每年都安排安监项目资金，由应急管理办公室对辖区内企业进行安全生产巡查、宣传安全生产法律法规及日常生产生活中应注意的情况，及时处理辖区发生的安全事故，保证辖区生产生活安全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51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8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60%</w:t>
            </w:r>
          </w:p>
        </w:tc>
        <w:tc>
          <w:tcPr>
            <w:tcW w:w="51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w:t>
            </w:r>
          </w:p>
        </w:tc>
        <w:tc>
          <w:tcPr>
            <w:tcW w:w="182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215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应急管理办公室通过巡查及时处理镇区存在的安全生产隐患，年度巡查次数不少50次，实现镇区内企业安全生产意识、安全生产验收达标率、安全隐患整改率的提高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215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达到主管部门整体要求，建立安全监管长效工作机制，创造一个安全生产生活环境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2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5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5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51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8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1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8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巡查次数</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反映年度巡查次数</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50</w:t>
            </w: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次</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质量指标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安全生产标准达标率</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反映达标的安全生产企业的比率</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时效指标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事故处理及时率</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反映事故处理及时率</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成本指标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项目经费预算控制量</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反映项目经费预算控制量</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w:t>
            </w: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万元</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2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社会效益指标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企业安全生产生活意识提升情况</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反映企业安全生产意识提升情况</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显著提升</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生态效益指标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隐患整改率</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已整改隐患数占执法发现的隐患总数的比率</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8" w:hRule="atLeast"/>
        </w:trPr>
        <w:tc>
          <w:tcPr>
            <w:tcW w:w="12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安监制度</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反映安监制度是否健全</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健全</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《河北省安全生产监管责任清单》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满意度</w:t>
            </w:r>
            <w:r>
              <w:rPr>
                <w:rFonts w:hint="eastAsia" w:ascii="宋体" w:hAnsi="宋体" w:cs="宋体"/>
                <w:i w:val="0"/>
                <w:iCs w:val="0"/>
                <w:color w:val="000000"/>
                <w:kern w:val="0"/>
                <w:sz w:val="18"/>
                <w:szCs w:val="18"/>
                <w:u w:val="none"/>
                <w:lang w:val="en-US" w:eastAsia="zh-CN"/>
              </w:rPr>
              <w:t>指标</w:t>
            </w:r>
          </w:p>
        </w:tc>
        <w:tc>
          <w:tcPr>
            <w:tcW w:w="15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群众满意度</w:t>
            </w:r>
          </w:p>
        </w:tc>
        <w:tc>
          <w:tcPr>
            <w:tcW w:w="36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反映群众满意度</w:t>
            </w:r>
          </w:p>
        </w:tc>
        <w:tc>
          <w:tcPr>
            <w:tcW w:w="16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7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90</w:t>
            </w:r>
          </w:p>
        </w:tc>
        <w:tc>
          <w:tcPr>
            <w:tcW w:w="2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实际情况</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4.2022年建档立卡脱贫户生产生活补助金经费</w:t>
      </w:r>
      <w:r>
        <w:rPr>
          <w:rFonts w:ascii="Times New Roman" w:hAnsi="Times New Roman" w:eastAsia="仿宋_GB2312" w:cs="Times New Roman"/>
          <w:sz w:val="28"/>
        </w:rPr>
        <w:t>绩效目标表</w:t>
      </w:r>
    </w:p>
    <w:tbl>
      <w:tblPr>
        <w:tblStyle w:val="9"/>
        <w:tblpPr w:leftFromText="180" w:rightFromText="180" w:vertAnchor="text" w:horzAnchor="page" w:tblpX="1129" w:tblpY="211"/>
        <w:tblOverlap w:val="never"/>
        <w:tblW w:w="149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4"/>
        <w:gridCol w:w="1460"/>
        <w:gridCol w:w="1577"/>
        <w:gridCol w:w="3652"/>
        <w:gridCol w:w="1688"/>
        <w:gridCol w:w="1232"/>
        <w:gridCol w:w="2302"/>
        <w:gridCol w:w="1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68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13102522P00890110001K</w:t>
            </w:r>
            <w:r>
              <w:rPr>
                <w:rFonts w:hint="eastAsia" w:ascii="宋体" w:hAnsi="宋体" w:eastAsia="宋体" w:cs="宋体"/>
                <w:i w:val="0"/>
                <w:iCs w:val="0"/>
                <w:color w:val="000000"/>
                <w:kern w:val="0"/>
                <w:sz w:val="18"/>
                <w:szCs w:val="18"/>
                <w:u w:val="none"/>
                <w:lang w:val="en-US" w:eastAsia="zh-CN"/>
              </w:rPr>
              <w:t xml:space="preserve">   2022年建档立卡脱贫户生产生活补助金</w:t>
            </w:r>
          </w:p>
        </w:tc>
        <w:tc>
          <w:tcPr>
            <w:tcW w:w="2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41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68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602001-大城县大尚屯镇人民政府本级</w:t>
            </w:r>
          </w:p>
        </w:tc>
        <w:tc>
          <w:tcPr>
            <w:tcW w:w="29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15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5.4万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76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rPr>
              <w:t>该项目主要用于解决贫困户日常生活问题，大尚屯镇建档立卡贫困户总共27户，按照每个贫困户2000元标准，用于贫困户帮扶慰问，改善贫困户日常生活条件。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1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52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1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3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w:t>
            </w:r>
          </w:p>
        </w:tc>
        <w:tc>
          <w:tcPr>
            <w:tcW w:w="3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40%</w:t>
            </w:r>
          </w:p>
        </w:tc>
        <w:tc>
          <w:tcPr>
            <w:tcW w:w="52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80%</w:t>
            </w:r>
          </w:p>
        </w:tc>
        <w:tc>
          <w:tcPr>
            <w:tcW w:w="185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5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23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通过实施建档立卡贫困户帮扶项目，改善贫困户在日常生活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8" w:hRule="atLeast"/>
        </w:trPr>
        <w:tc>
          <w:tcPr>
            <w:tcW w:w="1154"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230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解决实际困难，最终实现贫困户不愁吃、不愁穿、保障子女义务教育、基本医疗、保障住房目标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5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52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3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5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扶助户数</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年度内享受帮扶政策户数</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27</w:t>
            </w: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户</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54"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走访慰问次数</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反映年度内帮扶走访慰问次数</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12</w:t>
            </w: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次</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54"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质量指标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慰问金发放准确率</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反映慰问金发放准确率</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hRule="atLeast"/>
        </w:trPr>
        <w:tc>
          <w:tcPr>
            <w:tcW w:w="1154"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时效指标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慰问金到位率</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实际到位慰问金的比率</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4" w:hRule="atLeast"/>
        </w:trPr>
        <w:tc>
          <w:tcPr>
            <w:tcW w:w="1154" w:type="dxa"/>
            <w:vMerge w:val="continue"/>
            <w:tcBorders>
              <w:left w:val="single" w:color="000000" w:sz="4" w:space="0"/>
              <w:bottom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成本指标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贫困户慰问金发放标准</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反映贫困户慰问金发放标准</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2000</w:t>
            </w: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元/人</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18"/>
                <w:szCs w:val="18"/>
                <w:u w:val="none"/>
                <w:lang w:val="en-US" w:eastAsia="zh-CN"/>
              </w:rPr>
              <w:t>上级文件要求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社会效益指标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扶贫政策知晓率</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反映扶贫政策知晓率</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8" w:hRule="atLeast"/>
        </w:trPr>
        <w:tc>
          <w:tcPr>
            <w:tcW w:w="11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长效管理机制</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反映长效管理机制是否健全</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《关于列支建档立卡贫困户帮扶责任人派出单位扶贫慰问专项经费的通知》</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《关于列支建档立卡贫困户帮扶责任人派出单位扶贫慰问专项经费的通知》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5" w:hRule="atLeast"/>
        </w:trPr>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rPr>
              <w:t>满意度指标</w:t>
            </w:r>
          </w:p>
        </w:tc>
        <w:tc>
          <w:tcPr>
            <w:tcW w:w="14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满意度指标</w:t>
            </w:r>
          </w:p>
        </w:tc>
        <w:tc>
          <w:tcPr>
            <w:tcW w:w="157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贫困户满意度</w:t>
            </w:r>
          </w:p>
        </w:tc>
        <w:tc>
          <w:tcPr>
            <w:tcW w:w="3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反映贫困户满意度</w:t>
            </w:r>
          </w:p>
        </w:tc>
        <w:tc>
          <w:tcPr>
            <w:tcW w:w="168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3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90</w:t>
            </w:r>
          </w:p>
        </w:tc>
        <w:tc>
          <w:tcPr>
            <w:tcW w:w="230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8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实际调查</w:t>
            </w:r>
          </w:p>
        </w:tc>
      </w:tr>
    </w:tbl>
    <w:p>
      <w:pPr>
        <w:numPr>
          <w:ilvl w:val="0"/>
          <w:numId w:val="0"/>
        </w:numPr>
        <w:jc w:val="left"/>
        <w:outlineLvl w:val="1"/>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sz w:val="28"/>
          <w:lang w:val="en-US" w:eastAsia="zh-CN"/>
        </w:rPr>
        <w:t xml:space="preserve">    5.基层党建带团建经费</w:t>
      </w:r>
      <w:r>
        <w:rPr>
          <w:rFonts w:ascii="Times New Roman" w:hAnsi="Times New Roman" w:eastAsia="仿宋_GB2312" w:cs="Times New Roman"/>
          <w:sz w:val="28"/>
        </w:rPr>
        <w:t>绩效目标表</w:t>
      </w:r>
    </w:p>
    <w:p>
      <w:pPr>
        <w:numPr>
          <w:ilvl w:val="0"/>
          <w:numId w:val="0"/>
        </w:numPr>
        <w:tabs>
          <w:tab w:val="left" w:pos="717"/>
        </w:tabs>
        <w:jc w:val="left"/>
        <w:outlineLvl w:val="1"/>
        <w:rPr>
          <w:rFonts w:hint="eastAsia" w:ascii="Times New Roman" w:hAnsi="Times New Roman" w:eastAsia="仿宋_GB2312" w:cs="Times New Roman"/>
          <w:vanish/>
          <w:sz w:val="28"/>
          <w:lang w:val="en-US" w:eastAsia="zh-CN"/>
        </w:rPr>
      </w:pPr>
    </w:p>
    <w:p>
      <w:pPr>
        <w:numPr>
          <w:ilvl w:val="0"/>
          <w:numId w:val="0"/>
        </w:numPr>
        <w:tabs>
          <w:tab w:val="left" w:pos="717"/>
        </w:tabs>
        <w:jc w:val="left"/>
        <w:outlineLvl w:val="1"/>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ab/>
      </w:r>
      <w:r>
        <w:rPr>
          <w:rFonts w:hint="eastAsia" w:ascii="Times New Roman" w:hAnsi="Times New Roman" w:eastAsia="仿宋_GB2312" w:cs="Times New Roman"/>
          <w:vanish/>
          <w:sz w:val="28"/>
          <w:lang w:val="en-US" w:eastAsia="zh-CN"/>
        </w:rPr>
        <w:t xml:space="preserve">3333333333333       </w:t>
      </w: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333</w:t>
      </w:r>
    </w:p>
    <w:p>
      <w:pPr>
        <w:pStyle w:val="2"/>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pStyle w:val="2"/>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79"/>
        <w:gridCol w:w="1419"/>
        <w:gridCol w:w="1595"/>
        <w:gridCol w:w="3421"/>
        <w:gridCol w:w="1752"/>
        <w:gridCol w:w="1338"/>
        <w:gridCol w:w="2310"/>
        <w:gridCol w:w="1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w:t>
            </w:r>
            <w:r>
              <w:rPr>
                <w:rFonts w:hint="default" w:ascii="宋体" w:hAnsi="宋体" w:eastAsia="宋体" w:cs="宋体"/>
                <w:i w:val="0"/>
                <w:iCs w:val="0"/>
                <w:color w:val="000000"/>
                <w:kern w:val="0"/>
                <w:sz w:val="18"/>
                <w:szCs w:val="18"/>
                <w:u w:val="none"/>
                <w:lang w:val="en-US" w:eastAsia="zh-CN"/>
              </w:rPr>
              <w:t>3102522P00889910002X</w:t>
            </w:r>
            <w:r>
              <w:rPr>
                <w:rFonts w:hint="eastAsia" w:ascii="宋体" w:hAnsi="宋体" w:eastAsia="宋体" w:cs="宋体"/>
                <w:i w:val="0"/>
                <w:iCs w:val="0"/>
                <w:color w:val="000000"/>
                <w:kern w:val="0"/>
                <w:sz w:val="18"/>
                <w:szCs w:val="18"/>
                <w:u w:val="none"/>
                <w:lang w:val="en-US" w:eastAsia="zh-CN"/>
              </w:rPr>
              <w:t xml:space="preserve">  2022年基层党建带团建工作经费</w:t>
            </w:r>
          </w:p>
        </w:tc>
        <w:tc>
          <w:tcPr>
            <w:tcW w:w="3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4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602001-大城县大尚屯镇人民政府本级</w:t>
            </w:r>
          </w:p>
        </w:tc>
        <w:tc>
          <w:tcPr>
            <w:tcW w:w="30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740"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宋体" w:hAnsi="宋体" w:cs="宋体"/>
                <w:i w:val="0"/>
                <w:iCs w:val="0"/>
                <w:color w:val="000000"/>
                <w:kern w:val="0"/>
                <w:sz w:val="18"/>
                <w:szCs w:val="18"/>
                <w:u w:val="none"/>
                <w:lang w:val="en-US" w:eastAsia="zh-CN"/>
              </w:rPr>
              <w:t>基层党建</w:t>
            </w:r>
            <w:r>
              <w:rPr>
                <w:rFonts w:hint="eastAsia" w:ascii="宋体" w:hAnsi="宋体" w:eastAsia="宋体" w:cs="宋体"/>
                <w:i w:val="0"/>
                <w:iCs w:val="0"/>
                <w:color w:val="000000"/>
                <w:kern w:val="0"/>
                <w:sz w:val="18"/>
                <w:szCs w:val="18"/>
                <w:u w:val="none"/>
                <w:lang w:val="en-US" w:eastAsia="zh-CN"/>
              </w:rPr>
              <w:t>团建工作主要是以带团干部队伍建设为关键，以带基层组织建设为基础，重视对党员的综合素质以及道德素养提升，推动建立广泛覆盖、富有活力的基层组织</w:t>
            </w:r>
            <w:r>
              <w:rPr>
                <w:rFonts w:hint="eastAsia" w:ascii="宋体" w:hAnsi="宋体" w:cs="宋体"/>
                <w:i w:val="0"/>
                <w:iCs w:val="0"/>
                <w:color w:val="000000"/>
                <w:kern w:val="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4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54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50%</w:t>
            </w:r>
          </w:p>
        </w:tc>
        <w:tc>
          <w:tcPr>
            <w:tcW w:w="34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70%</w:t>
            </w:r>
          </w:p>
        </w:tc>
        <w:tc>
          <w:tcPr>
            <w:tcW w:w="54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w:t>
            </w:r>
          </w:p>
        </w:tc>
        <w:tc>
          <w:tcPr>
            <w:tcW w:w="19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232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把握党建团建工作重点，切实将党建带团建纳入党建工作总体规划，在抓好党组织建设的同时，加强对团组织的领导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232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提升党组织坚强的凝聚力和战斗力，带动团组织建设，增强团组织的生机和活力，形成了“党建带团建、团建促党建”的良好局面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59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4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54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11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9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4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7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17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党性教育次数</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反映本年度开展党性教育的次数</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12</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次</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党性教育参加</w:t>
            </w:r>
            <w:r>
              <w:rPr>
                <w:rFonts w:hint="eastAsia" w:ascii="宋体" w:hAnsi="宋体" w:cs="宋体"/>
                <w:i w:val="0"/>
                <w:iCs w:val="0"/>
                <w:color w:val="000000"/>
                <w:kern w:val="0"/>
                <w:sz w:val="18"/>
                <w:szCs w:val="18"/>
                <w:u w:val="none"/>
                <w:lang w:val="en-US" w:eastAsia="zh-CN"/>
              </w:rPr>
              <w:t>数</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反映本年度开展党性教育参加人数</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20</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人</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0" w:hRule="atLeast"/>
        </w:trPr>
        <w:tc>
          <w:tcPr>
            <w:tcW w:w="1179"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质量指标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党建团建工作考核合格率</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反映党建团建工作考核合格率</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9"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质量指标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项目资金支出率</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已支出资金占总项目资金的比率</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80</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9"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时效指标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党建团建活动的完成及时率</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反映党建团建活动的完成及时率</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90</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9" w:type="dxa"/>
            <w:vMerge w:val="continue"/>
            <w:tcBorders>
              <w:left w:val="single" w:color="000000" w:sz="4" w:space="0"/>
              <w:bottom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成本指标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项目经费控制量</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反映项目经费预算控制量</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万元</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7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经济效益指标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党建团建工作组织工作能力</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提升党建团建组织工作能力</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提升</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vMerge w:val="continue"/>
            <w:tcBorders>
              <w:left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社会效益指标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政策知识知晓率</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提升了党建团建政策知识知晓率</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95</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79" w:type="dxa"/>
            <w:vMerge w:val="continue"/>
            <w:tcBorders>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建立长效管理制度</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反映建立长效管理制度是否健全</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健全</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18"/>
                <w:szCs w:val="18"/>
                <w:u w:val="none"/>
                <w:lang w:val="en-US" w:eastAsia="zh-CN"/>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11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满意度指标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党员满意度</w:t>
            </w:r>
          </w:p>
        </w:tc>
        <w:tc>
          <w:tcPr>
            <w:tcW w:w="342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反映党员满意度</w:t>
            </w:r>
          </w:p>
        </w:tc>
        <w:tc>
          <w:tcPr>
            <w:tcW w:w="17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3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95</w:t>
            </w:r>
          </w:p>
        </w:tc>
        <w:tc>
          <w:tcPr>
            <w:tcW w:w="231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实际调查</w:t>
            </w:r>
          </w:p>
        </w:tc>
      </w:tr>
    </w:tbl>
    <w:p>
      <w:pPr>
        <w:numPr>
          <w:ilvl w:val="0"/>
          <w:numId w:val="0"/>
        </w:numPr>
        <w:jc w:val="left"/>
        <w:outlineLvl w:val="1"/>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sz w:val="28"/>
          <w:lang w:val="en-US" w:eastAsia="zh-CN"/>
        </w:rPr>
        <w:t xml:space="preserve">    6.2022年妇联基层组织建设经费</w:t>
      </w:r>
      <w:r>
        <w:rPr>
          <w:rFonts w:ascii="Times New Roman" w:hAnsi="Times New Roman" w:eastAsia="仿宋_GB2312" w:cs="Times New Roman"/>
          <w:sz w:val="28"/>
        </w:rPr>
        <w:t>绩效目标表</w:t>
      </w:r>
      <w:r>
        <w:rPr>
          <w:rFonts w:hint="eastAsia" w:ascii="Times New Roman" w:hAnsi="Times New Roman" w:eastAsia="仿宋_GB2312" w:cs="Times New Roman"/>
          <w:vanish/>
          <w:sz w:val="28"/>
          <w:lang w:val="en-US" w:eastAsia="zh-CN"/>
        </w:rPr>
        <w:tab/>
      </w:r>
      <w:r>
        <w:rPr>
          <w:rFonts w:hint="eastAsia" w:ascii="Times New Roman" w:hAnsi="Times New Roman" w:eastAsia="仿宋_GB2312" w:cs="Times New Roman"/>
          <w:vanish/>
          <w:sz w:val="28"/>
          <w:lang w:val="en-US" w:eastAsia="zh-CN"/>
        </w:rPr>
        <w:t xml:space="preserve">3333333333333       </w:t>
      </w: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333</w:t>
      </w:r>
    </w:p>
    <w:p>
      <w:pPr>
        <w:pStyle w:val="2"/>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pStyle w:val="2"/>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3"/>
        <w:gridCol w:w="1336"/>
        <w:gridCol w:w="1296"/>
        <w:gridCol w:w="3672"/>
        <w:gridCol w:w="1739"/>
        <w:gridCol w:w="1289"/>
        <w:gridCol w:w="2342"/>
        <w:gridCol w:w="1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30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13102522P00889710001Y</w:t>
            </w:r>
            <w:r>
              <w:rPr>
                <w:rFonts w:hint="eastAsia" w:ascii="宋体" w:hAnsi="宋体" w:eastAsia="宋体" w:cs="宋体"/>
                <w:i w:val="0"/>
                <w:iCs w:val="0"/>
                <w:color w:val="000000"/>
                <w:kern w:val="0"/>
                <w:sz w:val="18"/>
                <w:szCs w:val="18"/>
                <w:u w:val="none"/>
                <w:lang w:val="en-US" w:eastAsia="zh-CN"/>
              </w:rPr>
              <w:t xml:space="preserve">   2022年妇联基层组织建设经费</w:t>
            </w:r>
          </w:p>
        </w:tc>
        <w:tc>
          <w:tcPr>
            <w:tcW w:w="30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42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30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602001-大城县大尚屯镇人民政府本级</w:t>
            </w:r>
          </w:p>
        </w:tc>
        <w:tc>
          <w:tcPr>
            <w:tcW w:w="302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244"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57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Times New Roman" w:hAnsi="Times New Roman" w:eastAsia="仿宋_GB2312" w:cs="Times New Roman"/>
                <w:color w:val="000000"/>
                <w:kern w:val="0"/>
                <w:sz w:val="21"/>
                <w:szCs w:val="21"/>
                <w:lang w:val="en-US" w:eastAsia="zh-CN" w:bidi="ar-SA"/>
              </w:rPr>
            </w:pPr>
            <w:r>
              <w:rPr>
                <w:rFonts w:hint="eastAsia" w:ascii="宋体" w:hAnsi="宋体" w:eastAsia="宋体" w:cs="宋体"/>
                <w:i w:val="0"/>
                <w:iCs w:val="0"/>
                <w:color w:val="000000"/>
                <w:kern w:val="0"/>
                <w:sz w:val="18"/>
                <w:szCs w:val="18"/>
                <w:u w:val="none"/>
                <w:lang w:val="en-US" w:eastAsia="zh-CN"/>
              </w:rPr>
              <w:t>立足镇区内妇联基层组织建设现有基础和整体布局，整合全镇各个单位、各个组织的资源，将妇联的组织工作向全镇域延伸，探索多种形式、各种特色的组织模式，形成全镇域的女性共同参与、开放互助、全面覆盖的妇联组织建设和妇女工作新格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3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2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53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9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4" w:hRule="atLeast"/>
        </w:trPr>
        <w:tc>
          <w:tcPr>
            <w:tcW w:w="13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63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w:t>
            </w:r>
          </w:p>
        </w:tc>
        <w:tc>
          <w:tcPr>
            <w:tcW w:w="3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53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1902"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4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22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逐渐填补妇联基层组织建设空白点，实现妇女工作精细化，全面提升基层妇联组织建设规范化水平，进一步加强基层妇女组织建设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4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22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充分地发挥基层妇女组织的作用，推动我镇妇女工作和妇女事业的更好发展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3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2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53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90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7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2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90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4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镇区内妇女之家的数量</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反映镇区内妇女之家的数量</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w:t>
            </w: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个</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43"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评选活动次数</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反映当年举办活动次数</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w:t>
            </w: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次</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43"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质量指标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举办活动质量达标率</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反映开展活动质量达标率</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hRule="atLeast"/>
        </w:trPr>
        <w:tc>
          <w:tcPr>
            <w:tcW w:w="1343" w:type="dxa"/>
            <w:vMerge w:val="continue"/>
            <w:tcBorders>
              <w:left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时效指标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按期举办活动完成率（%）</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反映举办活动按期完成的占总活动的比率</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3" w:hRule="atLeast"/>
        </w:trPr>
        <w:tc>
          <w:tcPr>
            <w:tcW w:w="1343" w:type="dxa"/>
            <w:vMerge w:val="continue"/>
            <w:tcBorders>
              <w:left w:val="single" w:color="000000" w:sz="4" w:space="0"/>
              <w:bottom w:val="single" w:color="000000" w:sz="4" w:space="0"/>
              <w:right w:val="single" w:color="000000" w:sz="4" w:space="0"/>
            </w:tcBorders>
            <w:vAlign w:val="top"/>
          </w:tcPr>
          <w:p>
            <w:pPr>
              <w:jc w:val="left"/>
              <w:rPr>
                <w:rFonts w:hint="eastAsia" w:ascii="宋体" w:hAnsi="宋体" w:eastAsia="宋体" w:cs="宋体"/>
                <w:b/>
                <w:bCs/>
                <w:i w:val="0"/>
                <w:iCs w:val="0"/>
                <w:color w:val="000000"/>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成本指标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项目经费预算控制量</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反映项目经费预算控制量</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w:t>
            </w: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万元</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default"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社会效益指标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妇女在社会中地位提升情况</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提升妇女在社会中积极影响</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提升</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妇女后备干部建设情况</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反映妇女后备干部建设情况</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良好</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历史测算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5" w:hRule="atLeast"/>
        </w:trPr>
        <w:tc>
          <w:tcPr>
            <w:tcW w:w="13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满意度指标</w:t>
            </w:r>
          </w:p>
        </w:tc>
        <w:tc>
          <w:tcPr>
            <w:tcW w:w="1296"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群众满意度</w:t>
            </w:r>
          </w:p>
        </w:tc>
        <w:tc>
          <w:tcPr>
            <w:tcW w:w="367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反映群众满意度</w:t>
            </w:r>
          </w:p>
        </w:tc>
        <w:tc>
          <w:tcPr>
            <w:tcW w:w="173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289"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95</w:t>
            </w:r>
          </w:p>
        </w:tc>
        <w:tc>
          <w:tcPr>
            <w:tcW w:w="234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902"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7.2022年廊沧高速东侧绿化节点土地流转资金经费</w:t>
      </w:r>
      <w:r>
        <w:rPr>
          <w:rFonts w:ascii="Times New Roman" w:hAnsi="Times New Roman" w:eastAsia="仿宋_GB2312" w:cs="Times New Roman"/>
          <w:sz w:val="28"/>
        </w:rPr>
        <w:t>绩效目标表</w:t>
      </w:r>
    </w:p>
    <w:tbl>
      <w:tblPr>
        <w:tblStyle w:val="9"/>
        <w:tblpPr w:leftFromText="180" w:rightFromText="180" w:vertAnchor="text" w:horzAnchor="page" w:tblpX="1088" w:tblpY="101"/>
        <w:tblOverlap w:val="never"/>
        <w:tblW w:w="149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3"/>
        <w:gridCol w:w="1480"/>
        <w:gridCol w:w="1480"/>
        <w:gridCol w:w="3635"/>
        <w:gridCol w:w="1598"/>
        <w:gridCol w:w="1123"/>
        <w:gridCol w:w="2233"/>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59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13102522P00889410001X</w:t>
            </w:r>
            <w:r>
              <w:rPr>
                <w:rFonts w:hint="eastAsia" w:ascii="宋体" w:hAnsi="宋体" w:eastAsia="宋体" w:cs="宋体"/>
                <w:i w:val="0"/>
                <w:iCs w:val="0"/>
                <w:color w:val="000000"/>
                <w:kern w:val="0"/>
                <w:sz w:val="18"/>
                <w:szCs w:val="18"/>
                <w:u w:val="none"/>
                <w:lang w:val="en-US" w:eastAsia="zh-CN"/>
              </w:rPr>
              <w:t xml:space="preserve">  2022年廊沧高速东侧绿化节点土地流转资金</w:t>
            </w:r>
          </w:p>
        </w:tc>
        <w:tc>
          <w:tcPr>
            <w:tcW w:w="27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4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59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602001-大城县大尚屯镇人民政府本级</w:t>
            </w:r>
          </w:p>
        </w:tc>
        <w:tc>
          <w:tcPr>
            <w:tcW w:w="27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2.74万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31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通过项目顺利实施，流转资金已拨付到位，美化了镇容貌，给人们创造了适合人类居住的生存环境。</w:t>
            </w:r>
          </w:p>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2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w:t>
            </w:r>
          </w:p>
        </w:tc>
        <w:tc>
          <w:tcPr>
            <w:tcW w:w="3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160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83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通过项目顺利实施，流转资金已拨付到位，美化了镇容貌，给人们创造了适合人类居住的生存环境。</w:t>
            </w:r>
          </w:p>
          <w:p>
            <w:pPr>
              <w:widowControl/>
              <w:jc w:val="left"/>
              <w:textAlignment w:val="top"/>
              <w:rPr>
                <w:rFonts w:hint="eastAsia" w:ascii="Calibri" w:hAnsi="Calibri" w:eastAsia="宋体" w:cs="Calibri"/>
                <w:i w:val="0"/>
                <w:iCs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160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83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廊沧高速东侧绿化节点合理化，改善镇域环境，为镇域发展提供支撑。</w:t>
            </w:r>
          </w:p>
          <w:p>
            <w:pPr>
              <w:widowControl/>
              <w:jc w:val="left"/>
              <w:textAlignment w:val="top"/>
              <w:rPr>
                <w:rFonts w:hint="eastAsia" w:ascii="Calibri" w:hAnsi="Calibri" w:eastAsia="宋体" w:cs="Calibri"/>
                <w:i w:val="0"/>
                <w:iCs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数量指标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流转土地面积</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反映流转土地面积</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27.37</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亩</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质量指标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土地流转金标准</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土地流转金标准</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元/亩</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时效指标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项目完成及时率</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反映项目完成及时率</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100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成本指标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项目经费预算控制量</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反映项目经费预算控制量</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27365</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元</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社会效益指标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布局合理化</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布局是否合理</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合理</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社会效益指标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规划设计实施有利于改善镇域环境改善</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划设计实施有是否利于改善镇域环境改善</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明显改善</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可持续影响指标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为镇域发展提供建设支撑</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为镇域发展提供支撑</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改善</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服务对象满意度指标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群众满意度</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反映群众满意度</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90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rPr>
                <w:rFonts w:hint="eastAsia" w:ascii="宋体" w:hAnsi="宋体" w:eastAsia="宋体" w:cs="宋体"/>
                <w:i w:val="0"/>
                <w:iCs w:val="0"/>
                <w:color w:val="000000"/>
                <w:kern w:val="0"/>
                <w:sz w:val="18"/>
                <w:szCs w:val="18"/>
                <w:u w:val="none"/>
                <w:lang w:val="en-US" w:eastAsia="zh-CN"/>
              </w:rPr>
            </w:pPr>
            <w:r>
              <w:rPr>
                <w:rFonts w:hint="default" w:ascii="宋体" w:hAnsi="宋体" w:eastAsia="宋体" w:cs="宋体"/>
                <w:i w:val="0"/>
                <w:iCs w:val="0"/>
                <w:color w:val="000000"/>
                <w:kern w:val="0"/>
                <w:sz w:val="18"/>
                <w:szCs w:val="18"/>
                <w:u w:val="none"/>
                <w:lang w:val="en-US" w:eastAsia="zh-CN"/>
              </w:rPr>
              <w:t>实际情况</w:t>
            </w:r>
          </w:p>
        </w:tc>
      </w:tr>
    </w:tbl>
    <w:p>
      <w:pPr>
        <w:numPr>
          <w:ilvl w:val="0"/>
          <w:numId w:val="0"/>
        </w:numPr>
        <w:jc w:val="left"/>
        <w:outlineLvl w:val="1"/>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sz w:val="28"/>
          <w:lang w:val="en-US" w:eastAsia="zh-CN"/>
        </w:rPr>
        <w:t xml:space="preserve">    8.2022年人大代表联络站经费经费</w:t>
      </w:r>
      <w:r>
        <w:rPr>
          <w:rFonts w:ascii="Times New Roman" w:hAnsi="Times New Roman" w:eastAsia="仿宋_GB2312" w:cs="Times New Roman"/>
          <w:sz w:val="28"/>
        </w:rPr>
        <w:t>绩效目标表</w:t>
      </w:r>
      <w:r>
        <w:rPr>
          <w:rFonts w:hint="eastAsia" w:ascii="Times New Roman" w:hAnsi="Times New Roman" w:eastAsia="仿宋_GB2312" w:cs="Times New Roman"/>
          <w:vanish/>
          <w:sz w:val="28"/>
          <w:lang w:val="en-US" w:eastAsia="zh-CN"/>
        </w:rPr>
        <w:tab/>
      </w:r>
      <w:r>
        <w:rPr>
          <w:rFonts w:hint="eastAsia" w:ascii="Times New Roman" w:hAnsi="Times New Roman" w:eastAsia="仿宋_GB2312" w:cs="Times New Roman"/>
          <w:vanish/>
          <w:sz w:val="28"/>
          <w:lang w:val="en-US" w:eastAsia="zh-CN"/>
        </w:rPr>
        <w:t xml:space="preserve">3333333333333       </w:t>
      </w: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333</w:t>
      </w:r>
    </w:p>
    <w:p>
      <w:pPr>
        <w:pStyle w:val="2"/>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pStyle w:val="2"/>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3"/>
        <w:gridCol w:w="1480"/>
        <w:gridCol w:w="1480"/>
        <w:gridCol w:w="3635"/>
        <w:gridCol w:w="1598"/>
        <w:gridCol w:w="1123"/>
        <w:gridCol w:w="2233"/>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59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13102522P008893100018</w:t>
            </w:r>
            <w:r>
              <w:rPr>
                <w:rFonts w:hint="eastAsia" w:ascii="宋体" w:hAnsi="宋体" w:cs="宋体"/>
                <w:i w:val="0"/>
                <w:iCs w:val="0"/>
                <w:color w:val="000000"/>
                <w:sz w:val="18"/>
                <w:szCs w:val="18"/>
                <w:u w:val="none"/>
                <w:lang w:val="en-US" w:eastAsia="zh-CN"/>
              </w:rPr>
              <w:t xml:space="preserve">  2022年人大代表联络站经费经费</w:t>
            </w:r>
          </w:p>
        </w:tc>
        <w:tc>
          <w:tcPr>
            <w:tcW w:w="27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4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59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602001-大城县大尚屯镇人民政府本级</w:t>
            </w:r>
          </w:p>
        </w:tc>
        <w:tc>
          <w:tcPr>
            <w:tcW w:w="27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31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通过创建人大代表联络站，方便代表联系群众，拉近代表与群众的距离，提升辖区社会稳定水平。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2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3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83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为群众解决了大量最关心、最直接、最现实的问题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83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进一步拉近了人大代表和群众之间的距离，有效促进了基层社会的和谐稳定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数量指标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联络站建立个数</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反映联络站建立个数</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4</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个</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质量指标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群众对联络站建立的评价</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反映群众对联络站建立的评价</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时效指标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联络站建立完成的实限</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反映联络站建立完成的实限</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项目经费预算控制量</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反映项目经费预算控制量</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8</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社会稳定水平</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反映社会稳定水平</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显著提升</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生态效益指标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代表联系群众工作环境提升情况</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代表联系群众工作环境提升情况</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显著提升</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可持续影响指标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联络站制度健全性</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联络站制度健全性</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健全</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《河北省安全生产监管责任清单》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服务对象满意度指标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群众满意度</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反映群众满意度</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实际情况</w:t>
            </w:r>
          </w:p>
        </w:tc>
      </w:tr>
    </w:tbl>
    <w:p>
      <w:pPr>
        <w:numPr>
          <w:ilvl w:val="0"/>
          <w:numId w:val="0"/>
        </w:numPr>
        <w:jc w:val="left"/>
        <w:outlineLvl w:val="1"/>
        <w:rPr>
          <w:rFonts w:hint="eastAsia"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9.</w:t>
      </w:r>
      <w:r>
        <w:rPr>
          <w:rFonts w:hint="eastAsia" w:ascii="Times New Roman" w:hAnsi="Times New Roman" w:eastAsia="仿宋_GB2312" w:cs="Times New Roman"/>
          <w:sz w:val="28"/>
        </w:rPr>
        <w:t>关于下达2020年农村综合改革示范点补助资金的通知--东魏各庄村扶持壮大村集体经济</w:t>
      </w:r>
      <w:r>
        <w:rPr>
          <w:rFonts w:hint="eastAsia" w:ascii="Times New Roman" w:hAnsi="Times New Roman" w:eastAsia="仿宋_GB2312" w:cs="Times New Roman"/>
          <w:sz w:val="28"/>
          <w:lang w:val="en-US" w:eastAsia="zh-CN"/>
        </w:rPr>
        <w:t>经费</w:t>
      </w:r>
      <w:r>
        <w:rPr>
          <w:rFonts w:ascii="Times New Roman" w:hAnsi="Times New Roman" w:eastAsia="仿宋_GB2312" w:cs="Times New Roman"/>
          <w:sz w:val="28"/>
        </w:rPr>
        <w:t>绩效目标表</w:t>
      </w:r>
    </w:p>
    <w:tbl>
      <w:tblPr>
        <w:tblStyle w:val="9"/>
        <w:tblpPr w:leftFromText="180" w:rightFromText="180" w:vertAnchor="text" w:horzAnchor="page" w:tblpX="1224" w:tblpY="105"/>
        <w:tblOverlap w:val="never"/>
        <w:tblW w:w="149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77"/>
        <w:gridCol w:w="1367"/>
        <w:gridCol w:w="1828"/>
        <w:gridCol w:w="3380"/>
        <w:gridCol w:w="1633"/>
        <w:gridCol w:w="1154"/>
        <w:gridCol w:w="2275"/>
        <w:gridCol w:w="1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5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13102522P00889210001J</w:t>
            </w:r>
            <w:r>
              <w:rPr>
                <w:rFonts w:hint="eastAsia" w:ascii="宋体" w:hAnsi="宋体" w:cs="宋体"/>
                <w:i w:val="0"/>
                <w:iCs w:val="0"/>
                <w:color w:val="000000"/>
                <w:sz w:val="18"/>
                <w:szCs w:val="18"/>
                <w:u w:val="none"/>
                <w:lang w:val="en-US" w:eastAsia="zh-CN"/>
              </w:rPr>
              <w:t xml:space="preserve">  关于下达2020年农村综合改革示范点补助资金的通知--东魏各庄村扶持壮大村集体经济</w:t>
            </w:r>
          </w:p>
        </w:tc>
        <w:tc>
          <w:tcPr>
            <w:tcW w:w="2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4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5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602001-大城县大尚屯镇人民政府本级</w:t>
            </w:r>
          </w:p>
        </w:tc>
        <w:tc>
          <w:tcPr>
            <w:tcW w:w="2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0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3.16614万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442"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实施品牌战略，以此带动村民增收，实现村集体经济收入可持续增加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4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506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4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33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506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180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20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扶持壮大村集体经济—东魏各庄村温室蔬菜种植大棚建设项目，项目建设日光温室大棚2架，规格为14米*80米，总建设面积2240平方米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207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实施品牌战略，以此带动农村增收，实现村集体经济收入可持续增加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3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8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506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8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数量指标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扶持村级集体经济发展项目开工率</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反映扶持村级集体经济发展项目开工率</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质量指标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项目（工程）验收合格率</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反映项目（工程）验收合格率</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时效指标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项目（工程）完成及时率</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反映项目（工程）完成及时率</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hRule="atLeast"/>
        </w:trPr>
        <w:tc>
          <w:tcPr>
            <w:tcW w:w="14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项目预算资金控制量</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反映项目预算资金控制量</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5</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预算安排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经济效益指标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村集体资产增长率</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反应村集体资产增长率</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经济效益指标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村集体经济年收入</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反映村集体经济年收入</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50</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受益人口数</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反映受益人口数</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2000</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人</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3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服务对象满意度指标</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服务对象满意度指标</w:t>
            </w:r>
          </w:p>
        </w:tc>
        <w:tc>
          <w:tcPr>
            <w:tcW w:w="33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受益人口满意度</w:t>
            </w:r>
          </w:p>
        </w:tc>
        <w:tc>
          <w:tcPr>
            <w:tcW w:w="16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54"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90</w:t>
            </w:r>
          </w:p>
        </w:tc>
        <w:tc>
          <w:tcPr>
            <w:tcW w:w="22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0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实际调研</w:t>
            </w:r>
          </w:p>
        </w:tc>
      </w:tr>
    </w:tbl>
    <w:p>
      <w:pPr>
        <w:numPr>
          <w:ilvl w:val="0"/>
          <w:numId w:val="0"/>
        </w:numPr>
        <w:tabs>
          <w:tab w:val="left" w:pos="717"/>
        </w:tabs>
        <w:jc w:val="left"/>
        <w:outlineLvl w:val="1"/>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ab/>
      </w:r>
      <w:r>
        <w:rPr>
          <w:rFonts w:hint="eastAsia" w:ascii="Times New Roman" w:hAnsi="Times New Roman" w:eastAsia="仿宋_GB2312" w:cs="Times New Roman"/>
          <w:vanish/>
          <w:sz w:val="28"/>
          <w:lang w:val="en-US" w:eastAsia="zh-CN"/>
        </w:rPr>
        <w:t xml:space="preserve">3333333333333       </w:t>
      </w: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333</w:t>
      </w:r>
    </w:p>
    <w:p>
      <w:pPr>
        <w:pStyle w:val="2"/>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pStyle w:val="2"/>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10.</w:t>
      </w:r>
      <w:r>
        <w:rPr>
          <w:rFonts w:hint="eastAsia" w:ascii="Times New Roman" w:hAnsi="Times New Roman" w:eastAsia="仿宋_GB2312" w:cs="Times New Roman"/>
          <w:sz w:val="28"/>
        </w:rPr>
        <w:t>2022年乡镇武装部武装工作经费</w:t>
      </w:r>
      <w:r>
        <w:rPr>
          <w:rFonts w:ascii="Times New Roman" w:hAnsi="Times New Roman" w:eastAsia="仿宋_GB2312" w:cs="Times New Roman"/>
          <w:sz w:val="28"/>
        </w:rPr>
        <w:t>绩效目标表</w:t>
      </w:r>
    </w:p>
    <w:tbl>
      <w:tblPr>
        <w:tblStyle w:val="9"/>
        <w:tblpPr w:leftFromText="180" w:rightFromText="180" w:vertAnchor="text" w:horzAnchor="page" w:tblpX="1074" w:tblpY="194"/>
        <w:tblOverlap w:val="never"/>
        <w:tblW w:w="149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3"/>
        <w:gridCol w:w="1480"/>
        <w:gridCol w:w="1480"/>
        <w:gridCol w:w="3635"/>
        <w:gridCol w:w="1598"/>
        <w:gridCol w:w="1123"/>
        <w:gridCol w:w="2233"/>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59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13102522P00889110001W</w:t>
            </w:r>
            <w:r>
              <w:rPr>
                <w:rFonts w:hint="eastAsia" w:ascii="宋体" w:hAnsi="宋体" w:cs="宋体"/>
                <w:i w:val="0"/>
                <w:iCs w:val="0"/>
                <w:color w:val="000000"/>
                <w:sz w:val="18"/>
                <w:szCs w:val="18"/>
                <w:u w:val="none"/>
                <w:lang w:val="en-US" w:eastAsia="zh-CN"/>
              </w:rPr>
              <w:t xml:space="preserve">  2022年乡镇武装部武装工作经费</w:t>
            </w:r>
          </w:p>
        </w:tc>
        <w:tc>
          <w:tcPr>
            <w:tcW w:w="27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4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59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602001-大城县大尚屯镇人民政府本级</w:t>
            </w:r>
          </w:p>
        </w:tc>
        <w:tc>
          <w:tcPr>
            <w:tcW w:w="272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00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31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保障完成国防动员宣传教育、征兵、应急抢险等工作任务</w:t>
            </w:r>
          </w:p>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2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3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176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83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完成国防动员宣传教育、征兵、应急抢险等工作任务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183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完成县人民武装部交办的各项任务，响应上级命令参加训练集结等工作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9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1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2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数量指标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民兵训练人员数量</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反映民兵训练人员数量</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人</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质量指标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民兵训练质量</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反映民兵训练质量</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符合上级部门训练要求</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时效指标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征兵时间</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反映春节秋季征兵时间</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根据上级部门规定时限完成</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hRule="atLeast"/>
        </w:trPr>
        <w:tc>
          <w:tcPr>
            <w:tcW w:w="16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战备、训练物资更新补充</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反映战备、训练物资更新补充</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文字描述</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保证战备训练物资完成率100%</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国防宣传、征兵工作知晓率</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反映国防宣传、征兵工作知晓率</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80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6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服务对象满意度指标</w:t>
            </w:r>
          </w:p>
        </w:tc>
        <w:tc>
          <w:tcPr>
            <w:tcW w:w="148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参加训练人员满意度</w:t>
            </w:r>
          </w:p>
        </w:tc>
        <w:tc>
          <w:tcPr>
            <w:tcW w:w="36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反映参加训练人员满意度</w:t>
            </w:r>
          </w:p>
        </w:tc>
        <w:tc>
          <w:tcPr>
            <w:tcW w:w="15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90</w:t>
            </w:r>
          </w:p>
        </w:tc>
        <w:tc>
          <w:tcPr>
            <w:tcW w:w="223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76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bl>
    <w:p>
      <w:pPr>
        <w:widowControl/>
        <w:jc w:val="left"/>
        <w:textAlignment w:val="center"/>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ab/>
      </w:r>
      <w:r>
        <w:rPr>
          <w:rFonts w:hint="eastAsia" w:ascii="Times New Roman" w:hAnsi="Times New Roman" w:eastAsia="仿宋_GB2312" w:cs="Times New Roman"/>
          <w:vanish/>
          <w:sz w:val="28"/>
          <w:lang w:val="en-US" w:eastAsia="zh-CN"/>
        </w:rPr>
        <w:t xml:space="preserve">3333333333333       </w:t>
      </w: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333</w:t>
      </w:r>
    </w:p>
    <w:p>
      <w:pPr>
        <w:pStyle w:val="2"/>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pStyle w:val="2"/>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hint="eastAsia" w:ascii="Times New Roman" w:hAnsi="Times New Roman" w:eastAsia="仿宋_GB2312" w:cs="Times New Roman"/>
          <w:vanish/>
          <w:sz w:val="28"/>
          <w:lang w:val="en-US" w:eastAsia="zh-CN"/>
        </w:rPr>
      </w:pPr>
      <w:r>
        <w:rPr>
          <w:rFonts w:hint="eastAsia" w:ascii="Times New Roman" w:hAnsi="Times New Roman" w:eastAsia="仿宋_GB2312" w:cs="Times New Roman"/>
          <w:sz w:val="28"/>
          <w:lang w:val="en-US" w:eastAsia="zh-CN"/>
        </w:rPr>
        <w:t xml:space="preserve">    11.</w:t>
      </w:r>
      <w:r>
        <w:rPr>
          <w:rFonts w:hint="eastAsia" w:ascii="Times New Roman" w:hAnsi="Times New Roman" w:eastAsia="仿宋_GB2312" w:cs="Times New Roman"/>
          <w:sz w:val="28"/>
        </w:rPr>
        <w:t>2022年退役军人服务站工作经费</w:t>
      </w:r>
      <w:r>
        <w:rPr>
          <w:rFonts w:ascii="Times New Roman" w:hAnsi="Times New Roman" w:eastAsia="仿宋_GB2312" w:cs="Times New Roman"/>
          <w:sz w:val="28"/>
        </w:rPr>
        <w:t>绩效目标表</w:t>
      </w:r>
      <w:r>
        <w:rPr>
          <w:rFonts w:hint="eastAsia" w:ascii="Times New Roman" w:hAnsi="Times New Roman" w:eastAsia="仿宋_GB2312" w:cs="Times New Roman"/>
          <w:vanish/>
          <w:sz w:val="28"/>
          <w:lang w:val="en-US" w:eastAsia="zh-CN"/>
        </w:rPr>
        <w:tab/>
      </w:r>
      <w:r>
        <w:rPr>
          <w:rFonts w:hint="eastAsia" w:ascii="Times New Roman" w:hAnsi="Times New Roman" w:eastAsia="仿宋_GB2312" w:cs="Times New Roman"/>
          <w:vanish/>
          <w:sz w:val="28"/>
          <w:lang w:val="en-US" w:eastAsia="zh-CN"/>
        </w:rPr>
        <w:t xml:space="preserve">3333333333333       </w:t>
      </w: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333</w:t>
      </w:r>
    </w:p>
    <w:p>
      <w:pPr>
        <w:pStyle w:val="2"/>
        <w:rPr>
          <w:rFonts w:ascii="Times New Roman" w:hAnsi="Times New Roman" w:eastAsia="仿宋_GB2312" w:cs="Times New Roman"/>
          <w:vanish/>
          <w:sz w:val="28"/>
        </w:rPr>
      </w:pPr>
    </w:p>
    <w:p>
      <w:pPr>
        <w:pStyle w:val="2"/>
        <w:rPr>
          <w:rFonts w:ascii="Times New Roman" w:hAnsi="Times New Roman" w:eastAsia="仿宋_GB2312" w:cs="Times New Roman"/>
          <w:vanish/>
          <w:sz w:val="28"/>
        </w:rPr>
      </w:pPr>
    </w:p>
    <w:p>
      <w:pPr>
        <w:pStyle w:val="2"/>
        <w:rPr>
          <w:rFonts w:hint="default" w:ascii="Times New Roman" w:hAnsi="Times New Roman" w:eastAsia="仿宋_GB2312" w:cs="Times New Roman"/>
          <w:vanish/>
          <w:sz w:val="28"/>
          <w:lang w:val="en-US" w:eastAsia="zh-CN"/>
        </w:rPr>
      </w:pPr>
      <w:r>
        <w:rPr>
          <w:rFonts w:hint="eastAsia" w:ascii="Times New Roman" w:hAnsi="Times New Roman" w:eastAsia="仿宋_GB2312" w:cs="Times New Roman"/>
          <w:vanish/>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9"/>
        <w:tblW w:w="149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1"/>
        <w:gridCol w:w="1299"/>
        <w:gridCol w:w="1543"/>
        <w:gridCol w:w="3692"/>
        <w:gridCol w:w="1661"/>
        <w:gridCol w:w="1187"/>
        <w:gridCol w:w="2295"/>
        <w:gridCol w:w="1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5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eastAsia="zh-CN"/>
              </w:rPr>
              <w:t>13102522P00889510001K</w:t>
            </w:r>
            <w:r>
              <w:rPr>
                <w:rFonts w:hint="eastAsia" w:ascii="宋体" w:hAnsi="宋体" w:cs="宋体"/>
                <w:i w:val="0"/>
                <w:iCs w:val="0"/>
                <w:color w:val="000000"/>
                <w:sz w:val="18"/>
                <w:szCs w:val="18"/>
                <w:u w:val="none"/>
                <w:lang w:val="en-US" w:eastAsia="zh-CN"/>
              </w:rPr>
              <w:t xml:space="preserve">  2022年退役军人服务站工作经费</w:t>
            </w:r>
          </w:p>
        </w:tc>
        <w:tc>
          <w:tcPr>
            <w:tcW w:w="28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412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602-大城县大尚屯镇人民政府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53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602001-大城县大尚屯镇人民政府本级</w:t>
            </w:r>
          </w:p>
        </w:tc>
        <w:tc>
          <w:tcPr>
            <w:tcW w:w="28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412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3508"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专门成立退役军人事务工作机构，全面做好就业创业扶持、走访慰问、帮扶解困、信访接待、权益保障等工作，切实把广大退役军人工作和生活保障好，激励他们为改革发展和社会稳定作出积极贡献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4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28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51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4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36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60%</w:t>
            </w:r>
          </w:p>
        </w:tc>
        <w:tc>
          <w:tcPr>
            <w:tcW w:w="51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90%</w:t>
            </w:r>
          </w:p>
        </w:tc>
        <w:tc>
          <w:tcPr>
            <w:tcW w:w="183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1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220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切实维护好退役军人合法权益，成立退役军人服务站，保证机构、人员、经费，切实把广大退役军人工作和生活保障好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1411"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目标2</w:t>
            </w:r>
          </w:p>
        </w:tc>
        <w:tc>
          <w:tcPr>
            <w:tcW w:w="12209"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激励他们为改革发展和社会稳定作出积极贡献。</w:t>
            </w:r>
          </w:p>
          <w:p>
            <w:pPr>
              <w:widowControl/>
              <w:jc w:val="left"/>
              <w:textAlignment w:val="center"/>
              <w:rPr>
                <w:rFonts w:hint="eastAsia" w:ascii="宋体" w:hAnsi="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2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5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514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8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2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8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数量指标</w:t>
            </w:r>
          </w:p>
        </w:tc>
        <w:tc>
          <w:tcPr>
            <w:tcW w:w="15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帮扶退役军人数量</w:t>
            </w:r>
          </w:p>
        </w:tc>
        <w:tc>
          <w:tcPr>
            <w:tcW w:w="369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反映帮扶退役军人数量</w:t>
            </w:r>
          </w:p>
        </w:tc>
        <w:tc>
          <w:tcPr>
            <w:tcW w:w="166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8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50</w:t>
            </w:r>
          </w:p>
        </w:tc>
        <w:tc>
          <w:tcPr>
            <w:tcW w:w="22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次</w:t>
            </w:r>
          </w:p>
        </w:tc>
        <w:tc>
          <w:tcPr>
            <w:tcW w:w="183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质量指标</w:t>
            </w:r>
          </w:p>
        </w:tc>
        <w:tc>
          <w:tcPr>
            <w:tcW w:w="15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慰问金发放完成准确率</w:t>
            </w:r>
          </w:p>
        </w:tc>
        <w:tc>
          <w:tcPr>
            <w:tcW w:w="369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反映慰问金发放完成准确率</w:t>
            </w:r>
          </w:p>
        </w:tc>
        <w:tc>
          <w:tcPr>
            <w:tcW w:w="166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8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3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时效指标</w:t>
            </w:r>
          </w:p>
        </w:tc>
        <w:tc>
          <w:tcPr>
            <w:tcW w:w="15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培训计划按期完成率</w:t>
            </w:r>
          </w:p>
        </w:tc>
        <w:tc>
          <w:tcPr>
            <w:tcW w:w="369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反映培训计划按期完成率</w:t>
            </w:r>
          </w:p>
        </w:tc>
        <w:tc>
          <w:tcPr>
            <w:tcW w:w="166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8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100</w:t>
            </w:r>
          </w:p>
        </w:tc>
        <w:tc>
          <w:tcPr>
            <w:tcW w:w="22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3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成本指标</w:t>
            </w:r>
          </w:p>
        </w:tc>
        <w:tc>
          <w:tcPr>
            <w:tcW w:w="15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项目经费预算控制量</w:t>
            </w:r>
          </w:p>
        </w:tc>
        <w:tc>
          <w:tcPr>
            <w:tcW w:w="369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反映项目经费预算控制量</w:t>
            </w:r>
          </w:p>
        </w:tc>
        <w:tc>
          <w:tcPr>
            <w:tcW w:w="166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8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3</w:t>
            </w:r>
          </w:p>
        </w:tc>
        <w:tc>
          <w:tcPr>
            <w:tcW w:w="22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万元</w:t>
            </w:r>
          </w:p>
        </w:tc>
        <w:tc>
          <w:tcPr>
            <w:tcW w:w="183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5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自主创业退役军人的比例</w:t>
            </w:r>
          </w:p>
        </w:tc>
        <w:tc>
          <w:tcPr>
            <w:tcW w:w="369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自主创业退役军人占总退役军人的比例</w:t>
            </w:r>
          </w:p>
        </w:tc>
        <w:tc>
          <w:tcPr>
            <w:tcW w:w="166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8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50</w:t>
            </w:r>
          </w:p>
        </w:tc>
        <w:tc>
          <w:tcPr>
            <w:tcW w:w="22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83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社会效益指标</w:t>
            </w:r>
          </w:p>
        </w:tc>
        <w:tc>
          <w:tcPr>
            <w:tcW w:w="15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退役军人信访投诉情况</w:t>
            </w:r>
          </w:p>
        </w:tc>
        <w:tc>
          <w:tcPr>
            <w:tcW w:w="369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反映退役军人信访投诉情况</w:t>
            </w:r>
          </w:p>
        </w:tc>
        <w:tc>
          <w:tcPr>
            <w:tcW w:w="166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8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0.00</w:t>
            </w:r>
          </w:p>
        </w:tc>
        <w:tc>
          <w:tcPr>
            <w:tcW w:w="22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件</w:t>
            </w:r>
          </w:p>
        </w:tc>
        <w:tc>
          <w:tcPr>
            <w:tcW w:w="183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2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满意度指标</w:t>
            </w:r>
          </w:p>
        </w:tc>
        <w:tc>
          <w:tcPr>
            <w:tcW w:w="154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退役军人满意度</w:t>
            </w:r>
          </w:p>
        </w:tc>
        <w:tc>
          <w:tcPr>
            <w:tcW w:w="369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反映退役军人的满意程度</w:t>
            </w:r>
          </w:p>
        </w:tc>
        <w:tc>
          <w:tcPr>
            <w:tcW w:w="166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w:t>
            </w:r>
          </w:p>
        </w:tc>
        <w:tc>
          <w:tcPr>
            <w:tcW w:w="118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0.9</w:t>
            </w:r>
          </w:p>
        </w:tc>
        <w:tc>
          <w:tcPr>
            <w:tcW w:w="22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p>
        </w:tc>
        <w:tc>
          <w:tcPr>
            <w:tcW w:w="1831"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center"/>
              <w:rPr>
                <w:rFonts w:hint="eastAsia" w:ascii="宋体" w:hAnsi="宋体" w:cs="宋体"/>
                <w:i w:val="0"/>
                <w:iCs w:val="0"/>
                <w:color w:val="000000"/>
                <w:sz w:val="18"/>
                <w:szCs w:val="18"/>
                <w:u w:val="none"/>
                <w:lang w:val="en-US" w:eastAsia="zh-CN"/>
              </w:rPr>
            </w:pPr>
            <w:r>
              <w:rPr>
                <w:rFonts w:hint="default" w:ascii="宋体" w:hAnsi="宋体" w:cs="宋体"/>
                <w:i w:val="0"/>
                <w:iCs w:val="0"/>
                <w:color w:val="000000"/>
                <w:sz w:val="18"/>
                <w:szCs w:val="18"/>
                <w:u w:val="none"/>
                <w:lang w:val="en-US" w:eastAsia="zh-CN"/>
              </w:rPr>
              <w:t>实际调查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大尚屯镇人民政府</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lang w:val="en-US" w:eastAsia="zh-CN"/>
        </w:rPr>
        <w:t>注：无部门政府采购预算，空表列示。</w:t>
      </w: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w:t>
      </w:r>
      <w:r>
        <w:rPr>
          <w:rFonts w:hint="eastAsia" w:ascii="Times New Roman" w:hAnsi="Times New Roman" w:eastAsia="仿宋_GB2312" w:cs="Times New Roman"/>
          <w:sz w:val="32"/>
          <w:szCs w:val="32"/>
          <w:lang w:val="en-US" w:eastAsia="zh-CN"/>
        </w:rPr>
        <w:t>部门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444.68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本年度我部门拟购置固定资产总额为</w:t>
      </w:r>
      <w:r>
        <w:rPr>
          <w:rFonts w:hint="eastAsia" w:ascii="Times New Roman" w:hAnsi="Times New Roman" w:eastAsia="仿宋_GB2312" w:cs="Times New Roman"/>
          <w:sz w:val="32"/>
          <w:szCs w:val="32"/>
          <w:lang w:val="en-US" w:eastAsia="zh-CN"/>
        </w:rPr>
        <w:t>0万元，详见政府采购预算表。</w:t>
      </w:r>
    </w:p>
    <w:tbl>
      <w:tblPr>
        <w:tblStyle w:val="9"/>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大城县大尚屯镇人民政府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444.68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11286</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8420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1"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numPr>
                <w:ilvl w:val="0"/>
                <w:numId w:val="2"/>
              </w:numPr>
              <w:spacing w:line="584" w:lineRule="exact"/>
              <w:jc w:val="center"/>
              <w:rPr>
                <w:rFonts w:hint="eastAsia"/>
                <w:lang w:val="en-US" w:eastAsia="zh-CN"/>
              </w:rPr>
            </w:pPr>
            <w:r>
              <w:rPr>
                <w:rFonts w:hint="eastAsia"/>
                <w:lang w:val="en-US" w:eastAsia="zh-CN"/>
              </w:rPr>
              <w:t>53</w:t>
            </w:r>
          </w:p>
          <w:p>
            <w:pPr>
              <w:pStyle w:val="2"/>
              <w:numPr>
                <w:ilvl w:val="0"/>
                <w:numId w:val="2"/>
              </w:numPr>
              <w:rPr>
                <w:rFonts w:hint="default"/>
                <w:lang w:val="en-US" w:eastAsia="zh-CN"/>
              </w:rPr>
            </w:pPr>
            <w:r>
              <w:rPr>
                <w:rFonts w:hint="eastAsia"/>
                <w:lang w:val="en-US" w:eastAsia="zh-CN"/>
              </w:rPr>
              <w:t>53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ÂËÎ">
    <w:altName w:val="DejaVu Math TeX Gyre"/>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61C35D"/>
    <w:multiLevelType w:val="singleLevel"/>
    <w:tmpl w:val="FE61C35D"/>
    <w:lvl w:ilvl="0" w:tentative="0">
      <w:start w:val="222"/>
      <w:numFmt w:val="decimal"/>
      <w:lvlText w:val="%1."/>
      <w:lvlJc w:val="left"/>
      <w:pPr>
        <w:tabs>
          <w:tab w:val="left" w:pos="312"/>
        </w:tabs>
      </w:pPr>
    </w:lvl>
  </w:abstractNum>
  <w:abstractNum w:abstractNumId="1">
    <w:nsid w:val="2C9F29CB"/>
    <w:multiLevelType w:val="singleLevel"/>
    <w:tmpl w:val="2C9F29C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M2M2M2QxN2FlZjM3NzZiNGRiZjQ0ZDE0NDRjODEifQ=="/>
  </w:docVars>
  <w:rsids>
    <w:rsidRoot w:val="00D347CC"/>
    <w:rsid w:val="001428A4"/>
    <w:rsid w:val="004A54AA"/>
    <w:rsid w:val="00B80935"/>
    <w:rsid w:val="00D347CC"/>
    <w:rsid w:val="017F2812"/>
    <w:rsid w:val="02732F88"/>
    <w:rsid w:val="02A140CC"/>
    <w:rsid w:val="0B5A677C"/>
    <w:rsid w:val="0C366CF2"/>
    <w:rsid w:val="0D3A3132"/>
    <w:rsid w:val="16642F15"/>
    <w:rsid w:val="177331F1"/>
    <w:rsid w:val="18135A10"/>
    <w:rsid w:val="191064A5"/>
    <w:rsid w:val="19191D4A"/>
    <w:rsid w:val="1CC940F8"/>
    <w:rsid w:val="1E353881"/>
    <w:rsid w:val="1FB65DB1"/>
    <w:rsid w:val="20664BB5"/>
    <w:rsid w:val="20AA65A3"/>
    <w:rsid w:val="21DC5A1B"/>
    <w:rsid w:val="22F97068"/>
    <w:rsid w:val="248C1B3F"/>
    <w:rsid w:val="26A86578"/>
    <w:rsid w:val="280023AD"/>
    <w:rsid w:val="289C690F"/>
    <w:rsid w:val="31362443"/>
    <w:rsid w:val="319C694B"/>
    <w:rsid w:val="32675FBB"/>
    <w:rsid w:val="34B025C1"/>
    <w:rsid w:val="37CE559C"/>
    <w:rsid w:val="39160DB7"/>
    <w:rsid w:val="3C813793"/>
    <w:rsid w:val="3CE27BC1"/>
    <w:rsid w:val="3D1A6D57"/>
    <w:rsid w:val="3D3C1F9C"/>
    <w:rsid w:val="3F8A033F"/>
    <w:rsid w:val="40812D90"/>
    <w:rsid w:val="419E6238"/>
    <w:rsid w:val="46E71798"/>
    <w:rsid w:val="4C412A32"/>
    <w:rsid w:val="4CDA2443"/>
    <w:rsid w:val="4E251960"/>
    <w:rsid w:val="4F750978"/>
    <w:rsid w:val="50DB40B6"/>
    <w:rsid w:val="536A0E16"/>
    <w:rsid w:val="55E73D2F"/>
    <w:rsid w:val="5795270C"/>
    <w:rsid w:val="5CA309A3"/>
    <w:rsid w:val="5E47553D"/>
    <w:rsid w:val="5E7DD0DB"/>
    <w:rsid w:val="5FC52ECB"/>
    <w:rsid w:val="62AC2E9A"/>
    <w:rsid w:val="687C0C91"/>
    <w:rsid w:val="6B656330"/>
    <w:rsid w:val="6CD72490"/>
    <w:rsid w:val="6D0D4676"/>
    <w:rsid w:val="6D686D7A"/>
    <w:rsid w:val="73BD7066"/>
    <w:rsid w:val="787866AF"/>
    <w:rsid w:val="7A3A3474"/>
    <w:rsid w:val="7A411B9B"/>
    <w:rsid w:val="7DF612B7"/>
    <w:rsid w:val="7F0832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14712</Words>
  <Characters>15599</Characters>
  <Lines>23</Lines>
  <Paragraphs>6</Paragraphs>
  <TotalTime>5</TotalTime>
  <ScaleCrop>false</ScaleCrop>
  <LinksUpToDate>false</LinksUpToDate>
  <CharactersWithSpaces>15699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uos</cp:lastModifiedBy>
  <cp:lastPrinted>2022-03-28T15:13:00Z</cp:lastPrinted>
  <dcterms:modified xsi:type="dcterms:W3CDTF">2023-07-04T17:39:05Z</dcterms:modified>
  <dc:title>大城县大尚屯镇人民政府2022年部门预算信息公开情况说明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E8F324BF07EC42B0B2159CBB4BE17433</vt:lpwstr>
  </property>
</Properties>
</file>