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sz w:val="44"/>
          <w:szCs w:val="44"/>
        </w:rPr>
      </w:pPr>
    </w:p>
    <w:p>
      <w:pPr>
        <w:spacing w:line="584" w:lineRule="exact"/>
        <w:ind w:firstLine="880" w:firstLineChars="200"/>
        <w:jc w:val="center"/>
        <w:rPr>
          <w:rFonts w:ascii="Times New Roman" w:hAnsi="Times New Roman" w:eastAsia="方正小标宋简体"/>
          <w:sz w:val="44"/>
          <w:szCs w:val="44"/>
        </w:rPr>
      </w:pPr>
      <w:r>
        <w:rPr>
          <w:rFonts w:hint="eastAsia" w:ascii="Times New Roman" w:hAnsi="Times New Roman" w:eastAsia="方正小标宋简体"/>
          <w:sz w:val="44"/>
          <w:szCs w:val="44"/>
        </w:rPr>
        <w:t>大城县民政局</w:t>
      </w:r>
      <w:r>
        <w:rPr>
          <w:rFonts w:ascii="Times New Roman" w:hAnsi="Times New Roman" w:eastAsia="方正小标宋简体"/>
          <w:sz w:val="44"/>
          <w:szCs w:val="44"/>
        </w:rPr>
        <w:t>2019年部门预算信息公开</w:t>
      </w:r>
      <w:r>
        <w:rPr>
          <w:rFonts w:hint="eastAsia" w:ascii="Times New Roman" w:hAnsi="Times New Roman" w:eastAsia="方正小标宋简体"/>
          <w:sz w:val="44"/>
          <w:szCs w:val="44"/>
        </w:rPr>
        <w:t>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按照《预算法》、《地方预决算公开操作规程》和《河北省省级预算公开办法》规定，现将大城县民政局</w:t>
      </w:r>
      <w:r>
        <w:rPr>
          <w:rFonts w:ascii="仿宋_GB2312" w:hAnsi="Times New Roman" w:eastAsia="仿宋_GB2312"/>
          <w:sz w:val="32"/>
          <w:szCs w:val="32"/>
        </w:rPr>
        <w:t>2019</w:t>
      </w:r>
      <w:r>
        <w:rPr>
          <w:rFonts w:hint="eastAsia" w:ascii="仿宋_GB2312" w:hAnsi="Times New Roman" w:eastAsia="仿宋_GB2312"/>
          <w:sz w:val="32"/>
          <w:szCs w:val="32"/>
        </w:rPr>
        <w:t>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spacing w:line="584" w:lineRule="exact"/>
        <w:ind w:firstLine="642" w:firstLineChars="200"/>
        <w:rPr>
          <w:rFonts w:ascii="Times New Roman" w:hAnsi="Times New Roman" w:eastAsia="楷体_GB2312"/>
          <w:b/>
          <w:sz w:val="32"/>
          <w:szCs w:val="32"/>
        </w:rPr>
      </w:pPr>
      <w:r>
        <w:rPr>
          <w:rFonts w:hint="eastAsia" w:ascii="Times New Roman" w:hAnsi="Times New Roman" w:eastAsia="楷体_GB2312"/>
          <w:b/>
          <w:sz w:val="32"/>
          <w:szCs w:val="32"/>
        </w:rPr>
        <w:t>部门职责：</w:t>
      </w:r>
    </w:p>
    <w:p>
      <w:pPr>
        <w:spacing w:line="500" w:lineRule="exact"/>
        <w:ind w:firstLine="560"/>
        <w:rPr>
          <w:rFonts w:ascii="仿宋_GB2312" w:eastAsia="仿宋_GB2312"/>
          <w:sz w:val="28"/>
        </w:rPr>
      </w:pPr>
      <w:r>
        <w:rPr>
          <w:rFonts w:ascii="仿宋_GB2312" w:eastAsia="仿宋_GB2312"/>
          <w:sz w:val="28"/>
        </w:rPr>
        <w:t>1</w:t>
      </w:r>
      <w:r>
        <w:rPr>
          <w:rFonts w:hint="eastAsia" w:ascii="仿宋_GB2312" w:eastAsia="仿宋_GB2312"/>
          <w:sz w:val="28"/>
        </w:rPr>
        <w:t>、贯彻执行民政工作的法律法规和国家、省、市民政工作的方针、政策；编制全县民政事业发展规划，制定年度工作计划，并组织实施；指导全县民政法制建设工作。</w:t>
      </w:r>
      <w:r>
        <w:rPr>
          <w:rFonts w:ascii="仿宋_GB2312" w:eastAsia="仿宋_GB2312"/>
          <w:sz w:val="28"/>
        </w:rPr>
        <w:t xml:space="preserve">    </w:t>
      </w:r>
    </w:p>
    <w:p>
      <w:pPr>
        <w:spacing w:line="500" w:lineRule="exact"/>
        <w:ind w:firstLine="560"/>
        <w:rPr>
          <w:rFonts w:ascii="仿宋_GB2312" w:eastAsia="仿宋_GB2312"/>
          <w:sz w:val="28"/>
        </w:rPr>
      </w:pPr>
      <w:r>
        <w:rPr>
          <w:rFonts w:ascii="仿宋_GB2312" w:eastAsia="仿宋_GB2312"/>
          <w:sz w:val="28"/>
        </w:rPr>
        <w:t>2</w:t>
      </w:r>
      <w:r>
        <w:rPr>
          <w:rFonts w:hint="eastAsia" w:ascii="仿宋_GB2312" w:eastAsia="仿宋_GB2312"/>
          <w:sz w:val="28"/>
        </w:rPr>
        <w:t>、负责管理全县社会团体和民办非企业单位的登记和年度检查工作，监督社会团体和民办非企业单位活动，查处社会团体和民办非企业单位的违法行为和未经登记以社会团体和民办非企业单位名义开展活动的非法组织。</w:t>
      </w:r>
    </w:p>
    <w:p>
      <w:pPr>
        <w:spacing w:line="500" w:lineRule="exact"/>
        <w:ind w:firstLine="560"/>
        <w:rPr>
          <w:rFonts w:ascii="仿宋_GB2312" w:eastAsia="仿宋_GB2312"/>
          <w:sz w:val="28"/>
        </w:rPr>
      </w:pPr>
      <w:r>
        <w:rPr>
          <w:rFonts w:ascii="仿宋_GB2312" w:eastAsia="仿宋_GB2312"/>
          <w:sz w:val="28"/>
        </w:rPr>
        <w:t>3</w:t>
      </w:r>
      <w:r>
        <w:rPr>
          <w:rFonts w:hint="eastAsia" w:ascii="仿宋_GB2312" w:eastAsia="仿宋_GB2312"/>
          <w:sz w:val="28"/>
        </w:rPr>
        <w:t>、组织、指导全县拥军优属活动；负责办理全县优抚对象优待、抚恤工作；承办革命烈士、因公伤亡人员的审核、报批和褒扬工作；负责全县烈士纪念建筑物的管理工作。</w:t>
      </w:r>
    </w:p>
    <w:p>
      <w:pPr>
        <w:spacing w:line="500" w:lineRule="exact"/>
        <w:ind w:firstLine="560"/>
        <w:rPr>
          <w:rFonts w:ascii="仿宋_GB2312" w:eastAsia="仿宋_GB2312"/>
          <w:sz w:val="28"/>
        </w:rPr>
      </w:pPr>
      <w:r>
        <w:rPr>
          <w:rFonts w:ascii="仿宋_GB2312" w:eastAsia="仿宋_GB2312"/>
          <w:sz w:val="28"/>
        </w:rPr>
        <w:t>4</w:t>
      </w:r>
      <w:r>
        <w:rPr>
          <w:rFonts w:hint="eastAsia" w:ascii="仿宋_GB2312" w:eastAsia="仿宋_GB2312"/>
          <w:sz w:val="28"/>
        </w:rPr>
        <w:t>、负责退伍义务兵，转业志愿兵的接收安置工作，配合参与义务兵的征招工作。</w:t>
      </w:r>
    </w:p>
    <w:p>
      <w:pPr>
        <w:spacing w:line="500" w:lineRule="exact"/>
        <w:ind w:firstLine="560"/>
        <w:rPr>
          <w:rFonts w:ascii="仿宋_GB2312" w:eastAsia="仿宋_GB2312"/>
          <w:sz w:val="28"/>
        </w:rPr>
      </w:pPr>
      <w:r>
        <w:rPr>
          <w:rFonts w:ascii="仿宋_GB2312" w:eastAsia="仿宋_GB2312"/>
          <w:sz w:val="28"/>
        </w:rPr>
        <w:t>5</w:t>
      </w:r>
      <w:r>
        <w:rPr>
          <w:rFonts w:hint="eastAsia" w:ascii="仿宋_GB2312" w:eastAsia="仿宋_GB2312"/>
          <w:sz w:val="28"/>
        </w:rPr>
        <w:t>、组织全县救济救灾工作，及时组织核查灾情，拨发救灾救济款物，指导灾区生产自救；组织指导全县救灾捐赠活动，负责接收分配县内外救灾捐赠和上级主管部门分配的救灾款物，监督、检查救灾款物的管理使用情况。</w:t>
      </w:r>
    </w:p>
    <w:p>
      <w:pPr>
        <w:spacing w:line="500" w:lineRule="exact"/>
        <w:ind w:firstLine="560"/>
        <w:rPr>
          <w:rFonts w:ascii="仿宋_GB2312" w:eastAsia="仿宋_GB2312"/>
          <w:sz w:val="28"/>
        </w:rPr>
      </w:pPr>
      <w:r>
        <w:rPr>
          <w:rFonts w:ascii="仿宋_GB2312" w:eastAsia="仿宋_GB2312"/>
          <w:sz w:val="28"/>
        </w:rPr>
        <w:t>6</w:t>
      </w:r>
      <w:r>
        <w:rPr>
          <w:rFonts w:hint="eastAsia" w:ascii="仿宋_GB2312" w:eastAsia="仿宋_GB2312"/>
          <w:sz w:val="28"/>
        </w:rPr>
        <w:t>、建立和完善城乡居民最低生活保障体系，调查核准保障对象，拟定各类保障对象的保障标准及措施，并监督实施；开展城乡医疗救助工作。</w:t>
      </w:r>
    </w:p>
    <w:p>
      <w:pPr>
        <w:spacing w:line="500" w:lineRule="exact"/>
        <w:ind w:firstLine="560"/>
        <w:rPr>
          <w:rFonts w:ascii="仿宋_GB2312" w:eastAsia="仿宋_GB2312"/>
          <w:sz w:val="28"/>
        </w:rPr>
      </w:pPr>
      <w:r>
        <w:rPr>
          <w:rFonts w:ascii="仿宋_GB2312" w:eastAsia="仿宋_GB2312"/>
          <w:sz w:val="28"/>
        </w:rPr>
        <w:t>7</w:t>
      </w:r>
      <w:r>
        <w:rPr>
          <w:rFonts w:hint="eastAsia" w:ascii="仿宋_GB2312" w:eastAsia="仿宋_GB2312"/>
          <w:sz w:val="28"/>
        </w:rPr>
        <w:t>、贯彻实施村（居）委会组织法，调研、提出加强和改进基层组织建设的意见和建议；指导村（居）委会民主选举、民主决策、民主管理和民主监督工作，推动村（居）务公开和基层民主政治建设；指导城镇社区居委会建设，负责村（居）民委员会主任培训工作；制定社区工作和社区服务管理办法，推动社区建设。</w:t>
      </w:r>
    </w:p>
    <w:p>
      <w:pPr>
        <w:spacing w:line="500" w:lineRule="exact"/>
        <w:ind w:firstLine="560"/>
        <w:rPr>
          <w:rFonts w:ascii="仿宋_GB2312" w:eastAsia="仿宋_GB2312"/>
          <w:sz w:val="28"/>
        </w:rPr>
      </w:pPr>
      <w:r>
        <w:rPr>
          <w:rFonts w:ascii="仿宋_GB2312" w:eastAsia="仿宋_GB2312"/>
          <w:sz w:val="28"/>
        </w:rPr>
        <w:t>8</w:t>
      </w:r>
      <w:r>
        <w:rPr>
          <w:rFonts w:hint="eastAsia" w:ascii="仿宋_GB2312" w:eastAsia="仿宋_GB2312"/>
          <w:sz w:val="28"/>
        </w:rPr>
        <w:t>、做好婚姻登记服务工作。及时办理符合婚姻登记规定的当事人的登记服务工作。</w:t>
      </w:r>
    </w:p>
    <w:p>
      <w:pPr>
        <w:spacing w:line="500" w:lineRule="exact"/>
        <w:ind w:firstLine="560"/>
        <w:rPr>
          <w:rFonts w:ascii="仿宋_GB2312" w:eastAsia="仿宋_GB2312"/>
          <w:sz w:val="28"/>
        </w:rPr>
      </w:pPr>
      <w:r>
        <w:rPr>
          <w:rFonts w:ascii="仿宋_GB2312" w:eastAsia="仿宋_GB2312"/>
          <w:sz w:val="28"/>
        </w:rPr>
        <w:t>9</w:t>
      </w:r>
      <w:r>
        <w:rPr>
          <w:rFonts w:hint="eastAsia" w:ascii="仿宋_GB2312" w:eastAsia="仿宋_GB2312"/>
          <w:sz w:val="28"/>
        </w:rPr>
        <w:t>、贯彻有关收养的法律法规，管理全县收养工作。</w:t>
      </w:r>
    </w:p>
    <w:p>
      <w:pPr>
        <w:spacing w:line="500" w:lineRule="exact"/>
        <w:ind w:firstLine="560"/>
        <w:rPr>
          <w:rFonts w:ascii="仿宋_GB2312" w:eastAsia="仿宋_GB2312"/>
          <w:sz w:val="28"/>
        </w:rPr>
      </w:pPr>
      <w:r>
        <w:rPr>
          <w:rFonts w:ascii="仿宋_GB2312" w:eastAsia="仿宋_GB2312"/>
          <w:sz w:val="28"/>
        </w:rPr>
        <w:t>10</w:t>
      </w:r>
      <w:r>
        <w:rPr>
          <w:rFonts w:hint="eastAsia" w:ascii="仿宋_GB2312" w:eastAsia="仿宋_GB2312"/>
          <w:sz w:val="28"/>
        </w:rPr>
        <w:t>、负责全县行政区划工作。承办县、乡（镇）、村的设立、撤销、更名和界线变更的调查和报批工作，县、乡（镇）政府驻地迁移的审核，报批工作；组织本辖区内行政区域界线勘定及相邻周边省、市的界线勘定和争议调处工作；指导乡（镇）之间的边界争议调处工作；主管地名工作，颁发地名使用证和发布标准地名公告并监督检查，推行城乡地名标牌国家标准、规范管理全县地名（即：街、路、巷、楼、门）标志的设置，组织地名调查及规范管理工作。</w:t>
      </w:r>
    </w:p>
    <w:p>
      <w:pPr>
        <w:spacing w:line="500" w:lineRule="exact"/>
        <w:ind w:firstLine="560"/>
        <w:rPr>
          <w:rFonts w:ascii="仿宋_GB2312" w:eastAsia="仿宋_GB2312"/>
          <w:sz w:val="28"/>
        </w:rPr>
      </w:pPr>
      <w:r>
        <w:rPr>
          <w:rFonts w:ascii="仿宋_GB2312" w:eastAsia="仿宋_GB2312"/>
          <w:sz w:val="28"/>
        </w:rPr>
        <w:t>11</w:t>
      </w:r>
      <w:r>
        <w:rPr>
          <w:rFonts w:hint="eastAsia" w:ascii="仿宋_GB2312" w:eastAsia="仿宋_GB2312"/>
          <w:sz w:val="28"/>
        </w:rPr>
        <w:t>、承担老龄工作管理、服务职能，宣传贯彻《</w:t>
      </w:r>
      <w:bookmarkStart w:id="4" w:name="_GoBack"/>
      <w:bookmarkEnd w:id="4"/>
      <w:r>
        <w:rPr>
          <w:rFonts w:hint="eastAsia" w:ascii="仿宋_GB2312" w:eastAsia="仿宋_GB2312"/>
          <w:sz w:val="28"/>
          <w:lang w:eastAsia="zh-CN"/>
        </w:rPr>
        <w:t>老年人权益保障法</w:t>
      </w:r>
      <w:r>
        <w:rPr>
          <w:rFonts w:hint="eastAsia" w:ascii="仿宋_GB2312" w:eastAsia="仿宋_GB2312"/>
          <w:sz w:val="28"/>
        </w:rPr>
        <w:t>》，督促落实有关政策法规，研究全县老龄工作发展规划，并拟定实施方案。</w:t>
      </w:r>
    </w:p>
    <w:p>
      <w:pPr>
        <w:spacing w:line="500" w:lineRule="exact"/>
        <w:ind w:firstLine="560"/>
        <w:rPr>
          <w:rFonts w:ascii="仿宋_GB2312" w:eastAsia="仿宋_GB2312"/>
          <w:sz w:val="28"/>
        </w:rPr>
      </w:pPr>
      <w:r>
        <w:rPr>
          <w:rFonts w:ascii="仿宋_GB2312" w:eastAsia="仿宋_GB2312"/>
          <w:sz w:val="28"/>
        </w:rPr>
        <w:t>12</w:t>
      </w:r>
      <w:r>
        <w:rPr>
          <w:rFonts w:hint="eastAsia" w:ascii="仿宋_GB2312" w:eastAsia="仿宋_GB2312"/>
          <w:sz w:val="28"/>
        </w:rPr>
        <w:t>、负责殡葬管理工作。宣传贯彻殡葬法规，推动殡葬改革，查处违法丧葬活动。</w:t>
      </w:r>
    </w:p>
    <w:p>
      <w:pPr>
        <w:spacing w:line="500" w:lineRule="exact"/>
        <w:ind w:firstLine="560"/>
        <w:rPr>
          <w:rFonts w:ascii="仿宋_GB2312" w:eastAsia="仿宋_GB2312"/>
          <w:sz w:val="28"/>
        </w:rPr>
      </w:pPr>
      <w:r>
        <w:rPr>
          <w:rFonts w:ascii="仿宋_GB2312" w:eastAsia="仿宋_GB2312"/>
          <w:sz w:val="28"/>
        </w:rPr>
        <w:t>13</w:t>
      </w:r>
      <w:r>
        <w:rPr>
          <w:rFonts w:hint="eastAsia" w:ascii="仿宋_GB2312" w:eastAsia="仿宋_GB2312"/>
          <w:sz w:val="28"/>
        </w:rPr>
        <w:t>、贯彻城市生活无着的流浪乞讨人员救助管理办法，指导协助搞好救助工作。</w:t>
      </w:r>
    </w:p>
    <w:p>
      <w:pPr>
        <w:spacing w:line="500" w:lineRule="exact"/>
        <w:ind w:firstLine="560"/>
        <w:rPr>
          <w:rFonts w:ascii="仿宋_GB2312" w:eastAsia="仿宋_GB2312"/>
          <w:sz w:val="28"/>
        </w:rPr>
      </w:pPr>
      <w:r>
        <w:rPr>
          <w:rFonts w:ascii="仿宋_GB2312" w:eastAsia="仿宋_GB2312"/>
          <w:sz w:val="28"/>
        </w:rPr>
        <w:t>14</w:t>
      </w:r>
      <w:r>
        <w:rPr>
          <w:rFonts w:hint="eastAsia" w:ascii="仿宋_GB2312" w:eastAsia="仿宋_GB2312"/>
          <w:sz w:val="28"/>
        </w:rPr>
        <w:t>、负责民政事业计划财务和统计工作，负责全县民政经费的拨付、核销工作，指导监督检查乡镇民政事业经费的管理与使用。</w:t>
      </w:r>
    </w:p>
    <w:p>
      <w:pPr>
        <w:spacing w:line="500" w:lineRule="exact"/>
        <w:ind w:firstLine="560"/>
        <w:rPr>
          <w:rFonts w:ascii="仿宋_GB2312" w:eastAsia="仿宋_GB2312"/>
          <w:sz w:val="28"/>
        </w:rPr>
      </w:pPr>
      <w:r>
        <w:rPr>
          <w:rFonts w:ascii="仿宋_GB2312" w:eastAsia="仿宋_GB2312"/>
          <w:sz w:val="28"/>
        </w:rPr>
        <w:t>15</w:t>
      </w:r>
      <w:r>
        <w:rPr>
          <w:rFonts w:hint="eastAsia" w:ascii="仿宋_GB2312" w:eastAsia="仿宋_GB2312"/>
          <w:sz w:val="28"/>
        </w:rPr>
        <w:t>、对社会福利企业进行管理、指导、协调，负责福利企业的审批和年检工作；拟定全县性社会福利事业发展规划，管理好全县社会福利工作。</w:t>
      </w:r>
    </w:p>
    <w:p>
      <w:pPr>
        <w:spacing w:line="500" w:lineRule="exact"/>
        <w:ind w:firstLine="560"/>
        <w:rPr>
          <w:rFonts w:ascii="仿宋_GB2312" w:eastAsia="仿宋_GB2312"/>
          <w:sz w:val="28"/>
        </w:rPr>
      </w:pPr>
      <w:r>
        <w:rPr>
          <w:rFonts w:ascii="仿宋_GB2312" w:eastAsia="仿宋_GB2312"/>
          <w:sz w:val="28"/>
        </w:rPr>
        <w:t>16</w:t>
      </w:r>
      <w:r>
        <w:rPr>
          <w:rFonts w:hint="eastAsia" w:ascii="仿宋_GB2312" w:eastAsia="仿宋_GB2312"/>
          <w:sz w:val="28"/>
        </w:rPr>
        <w:t>、对社会进行有关募捐、慈善工作的政策法规宣传，并组织实施开展此项工作。</w:t>
      </w:r>
    </w:p>
    <w:p>
      <w:pPr>
        <w:spacing w:line="500" w:lineRule="exact"/>
        <w:ind w:firstLine="560"/>
        <w:rPr>
          <w:rFonts w:ascii="仿宋_GB2312" w:eastAsia="仿宋_GB2312"/>
          <w:sz w:val="28"/>
        </w:rPr>
      </w:pPr>
      <w:r>
        <w:rPr>
          <w:rFonts w:ascii="仿宋_GB2312" w:eastAsia="仿宋_GB2312"/>
          <w:sz w:val="28"/>
        </w:rPr>
        <w:t>17</w:t>
      </w:r>
      <w:r>
        <w:rPr>
          <w:rFonts w:hint="eastAsia" w:ascii="仿宋_GB2312" w:eastAsia="仿宋_GB2312"/>
          <w:sz w:val="28"/>
        </w:rPr>
        <w:t>、承办县政府交办的其它工作。</w:t>
      </w:r>
    </w:p>
    <w:p>
      <w:pPr>
        <w:autoSpaceDE w:val="0"/>
        <w:autoSpaceDN w:val="0"/>
        <w:adjustRightInd w:val="0"/>
        <w:spacing w:line="584" w:lineRule="exact"/>
        <w:ind w:firstLine="629" w:firstLineChars="196"/>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8"/>
        <w:tblW w:w="116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99"/>
        <w:gridCol w:w="1878"/>
        <w:gridCol w:w="1276"/>
        <w:gridCol w:w="4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699" w:type="dxa"/>
            <w:vMerge w:val="restart"/>
            <w:vAlign w:val="center"/>
          </w:tcPr>
          <w:p>
            <w:pPr>
              <w:spacing w:line="584" w:lineRule="exact"/>
              <w:jc w:val="center"/>
              <w:rPr>
                <w:rFonts w:ascii="仿宋_GB2312" w:hAnsi="Times New Roman" w:eastAsia="仿宋_GB2312"/>
                <w:b/>
                <w:sz w:val="24"/>
                <w:szCs w:val="24"/>
              </w:rPr>
            </w:pPr>
            <w:r>
              <w:rPr>
                <w:rFonts w:hint="eastAsia" w:ascii="仿宋_GB2312" w:hAnsi="Times New Roman" w:eastAsia="仿宋_GB2312"/>
                <w:b/>
                <w:sz w:val="24"/>
                <w:szCs w:val="24"/>
              </w:rPr>
              <w:t>单位名称</w:t>
            </w:r>
          </w:p>
        </w:tc>
        <w:tc>
          <w:tcPr>
            <w:tcW w:w="1878" w:type="dxa"/>
            <w:vMerge w:val="restart"/>
            <w:vAlign w:val="center"/>
          </w:tcPr>
          <w:p>
            <w:pPr>
              <w:spacing w:line="584" w:lineRule="exact"/>
              <w:jc w:val="center"/>
              <w:rPr>
                <w:rFonts w:ascii="仿宋_GB2312" w:hAnsi="Times New Roman" w:eastAsia="仿宋_GB2312"/>
                <w:b/>
                <w:sz w:val="24"/>
                <w:szCs w:val="24"/>
              </w:rPr>
            </w:pPr>
            <w:r>
              <w:rPr>
                <w:rFonts w:hint="eastAsia" w:ascii="仿宋_GB2312" w:hAnsi="Times New Roman" w:eastAsia="仿宋_GB2312"/>
                <w:b/>
                <w:sz w:val="24"/>
                <w:szCs w:val="24"/>
              </w:rPr>
              <w:t>单位性质</w:t>
            </w:r>
          </w:p>
        </w:tc>
        <w:tc>
          <w:tcPr>
            <w:tcW w:w="1276" w:type="dxa"/>
            <w:vMerge w:val="restart"/>
            <w:vAlign w:val="center"/>
          </w:tcPr>
          <w:p>
            <w:pPr>
              <w:spacing w:line="584" w:lineRule="exact"/>
              <w:jc w:val="center"/>
              <w:rPr>
                <w:rFonts w:ascii="仿宋_GB2312" w:hAnsi="Times New Roman" w:eastAsia="仿宋_GB2312"/>
                <w:b/>
                <w:sz w:val="24"/>
                <w:szCs w:val="24"/>
              </w:rPr>
            </w:pPr>
            <w:r>
              <w:rPr>
                <w:rFonts w:hint="eastAsia" w:ascii="仿宋_GB2312" w:hAnsi="Times New Roman" w:eastAsia="仿宋_GB2312"/>
                <w:b/>
                <w:sz w:val="24"/>
                <w:szCs w:val="24"/>
              </w:rPr>
              <w:t>单位规格</w:t>
            </w:r>
          </w:p>
        </w:tc>
        <w:tc>
          <w:tcPr>
            <w:tcW w:w="4826" w:type="dxa"/>
            <w:vMerge w:val="restart"/>
            <w:vAlign w:val="center"/>
          </w:tcPr>
          <w:p>
            <w:pPr>
              <w:spacing w:line="584" w:lineRule="exact"/>
              <w:jc w:val="center"/>
              <w:rPr>
                <w:rFonts w:ascii="仿宋_GB2312" w:hAnsi="Times New Roman" w:eastAsia="仿宋_GB2312"/>
                <w:b/>
                <w:sz w:val="24"/>
                <w:szCs w:val="24"/>
              </w:rPr>
            </w:pPr>
            <w:r>
              <w:rPr>
                <w:rFonts w:hint="eastAsia" w:ascii="仿宋_GB2312" w:hAnsi="Times New Roman" w:eastAsia="仿宋_GB2312"/>
                <w:b/>
                <w:sz w:val="24"/>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699" w:type="dxa"/>
            <w:vMerge w:val="continue"/>
            <w:vAlign w:val="center"/>
          </w:tcPr>
          <w:p>
            <w:pPr>
              <w:spacing w:line="584" w:lineRule="exact"/>
              <w:jc w:val="left"/>
              <w:outlineLvl w:val="0"/>
              <w:rPr>
                <w:rFonts w:ascii="仿宋_GB2312" w:hAnsi="Times New Roman" w:eastAsia="仿宋_GB2312"/>
                <w:sz w:val="24"/>
                <w:szCs w:val="24"/>
              </w:rPr>
            </w:pPr>
          </w:p>
        </w:tc>
        <w:tc>
          <w:tcPr>
            <w:tcW w:w="1878" w:type="dxa"/>
            <w:vMerge w:val="continue"/>
            <w:vAlign w:val="center"/>
          </w:tcPr>
          <w:p>
            <w:pPr>
              <w:spacing w:line="584" w:lineRule="exact"/>
              <w:jc w:val="left"/>
              <w:outlineLvl w:val="0"/>
              <w:rPr>
                <w:rFonts w:ascii="仿宋_GB2312" w:hAnsi="Times New Roman" w:eastAsia="仿宋_GB2312"/>
                <w:sz w:val="24"/>
                <w:szCs w:val="24"/>
              </w:rPr>
            </w:pPr>
          </w:p>
        </w:tc>
        <w:tc>
          <w:tcPr>
            <w:tcW w:w="1276" w:type="dxa"/>
            <w:vMerge w:val="continue"/>
            <w:vAlign w:val="center"/>
          </w:tcPr>
          <w:p>
            <w:pPr>
              <w:spacing w:line="584" w:lineRule="exact"/>
              <w:jc w:val="left"/>
              <w:outlineLvl w:val="0"/>
              <w:rPr>
                <w:rFonts w:ascii="仿宋_GB2312" w:hAnsi="Times New Roman" w:eastAsia="仿宋_GB2312"/>
                <w:sz w:val="24"/>
                <w:szCs w:val="24"/>
              </w:rPr>
            </w:pPr>
          </w:p>
        </w:tc>
        <w:tc>
          <w:tcPr>
            <w:tcW w:w="4826" w:type="dxa"/>
            <w:vMerge w:val="continue"/>
            <w:vAlign w:val="center"/>
          </w:tcPr>
          <w:p>
            <w:pPr>
              <w:spacing w:line="584" w:lineRule="exact"/>
              <w:jc w:val="left"/>
              <w:outlineLvl w:val="0"/>
              <w:rPr>
                <w:rFonts w:ascii="仿宋_GB2312" w:hAnsi="Times New Roman"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699" w:type="dxa"/>
            <w:vAlign w:val="center"/>
          </w:tcPr>
          <w:p>
            <w:pPr>
              <w:spacing w:line="584" w:lineRule="exact"/>
              <w:jc w:val="center"/>
              <w:rPr>
                <w:rFonts w:ascii="仿宋_GB2312" w:hAnsi="Times New Roman" w:eastAsia="仿宋_GB2312"/>
                <w:b/>
                <w:sz w:val="24"/>
                <w:szCs w:val="24"/>
              </w:rPr>
            </w:pPr>
            <w:r>
              <w:rPr>
                <w:rFonts w:hint="eastAsia" w:ascii="仿宋_GB2312" w:hAnsi="Times New Roman" w:eastAsia="仿宋_GB2312"/>
                <w:b/>
                <w:sz w:val="24"/>
                <w:szCs w:val="24"/>
              </w:rPr>
              <w:t>合计</w:t>
            </w:r>
          </w:p>
        </w:tc>
        <w:tc>
          <w:tcPr>
            <w:tcW w:w="1878" w:type="dxa"/>
            <w:vAlign w:val="center"/>
          </w:tcPr>
          <w:p>
            <w:pPr>
              <w:spacing w:line="584" w:lineRule="exact"/>
              <w:jc w:val="center"/>
              <w:rPr>
                <w:rFonts w:ascii="仿宋_GB2312" w:hAnsi="Times New Roman" w:eastAsia="仿宋_GB2312"/>
                <w:b/>
                <w:sz w:val="24"/>
                <w:szCs w:val="24"/>
              </w:rPr>
            </w:pPr>
          </w:p>
        </w:tc>
        <w:tc>
          <w:tcPr>
            <w:tcW w:w="1276" w:type="dxa"/>
            <w:vAlign w:val="center"/>
          </w:tcPr>
          <w:p>
            <w:pPr>
              <w:spacing w:line="584" w:lineRule="exact"/>
              <w:jc w:val="center"/>
              <w:rPr>
                <w:rFonts w:ascii="仿宋_GB2312" w:hAnsi="Times New Roman" w:eastAsia="仿宋_GB2312"/>
                <w:b/>
                <w:sz w:val="24"/>
                <w:szCs w:val="24"/>
              </w:rPr>
            </w:pPr>
          </w:p>
        </w:tc>
        <w:tc>
          <w:tcPr>
            <w:tcW w:w="4826" w:type="dxa"/>
            <w:vAlign w:val="center"/>
          </w:tcPr>
          <w:p>
            <w:pPr>
              <w:spacing w:line="584" w:lineRule="exact"/>
              <w:jc w:val="center"/>
              <w:rPr>
                <w:rFonts w:ascii="仿宋_GB2312" w:hAnsi="Times New Roman" w:eastAsia="仿宋_GB2312"/>
                <w:b/>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8" w:hRule="atLeast"/>
          <w:jc w:val="center"/>
        </w:trPr>
        <w:tc>
          <w:tcPr>
            <w:tcW w:w="3699" w:type="dxa"/>
            <w:vAlign w:val="center"/>
          </w:tcPr>
          <w:p>
            <w:pPr>
              <w:spacing w:line="300" w:lineRule="exact"/>
              <w:jc w:val="left"/>
              <w:rPr>
                <w:rFonts w:ascii="仿宋_GB2312" w:hAnsi="仿宋" w:eastAsia="仿宋_GB2312"/>
                <w:sz w:val="32"/>
                <w:szCs w:val="32"/>
              </w:rPr>
            </w:pPr>
            <w:r>
              <w:rPr>
                <w:rFonts w:hint="eastAsia" w:ascii="仿宋_GB2312" w:hAnsi="仿宋" w:eastAsia="仿宋_GB2312"/>
                <w:sz w:val="32"/>
                <w:szCs w:val="32"/>
              </w:rPr>
              <w:t>大城县民政局</w:t>
            </w:r>
          </w:p>
        </w:tc>
        <w:tc>
          <w:tcPr>
            <w:tcW w:w="1878" w:type="dxa"/>
            <w:vAlign w:val="center"/>
          </w:tcPr>
          <w:p>
            <w:pPr>
              <w:spacing w:line="300" w:lineRule="exact"/>
              <w:jc w:val="left"/>
              <w:rPr>
                <w:rFonts w:ascii="仿宋_GB2312" w:hAnsi="仿宋" w:eastAsia="仿宋_GB2312"/>
                <w:sz w:val="32"/>
                <w:szCs w:val="32"/>
              </w:rPr>
            </w:pPr>
            <w:r>
              <w:rPr>
                <w:rFonts w:hint="eastAsia" w:ascii="仿宋_GB2312" w:hAnsi="仿宋" w:eastAsia="仿宋_GB2312"/>
                <w:sz w:val="32"/>
                <w:szCs w:val="32"/>
              </w:rPr>
              <w:t>事业</w:t>
            </w:r>
          </w:p>
        </w:tc>
        <w:tc>
          <w:tcPr>
            <w:tcW w:w="1276" w:type="dxa"/>
            <w:vAlign w:val="center"/>
          </w:tcPr>
          <w:p>
            <w:pPr>
              <w:spacing w:line="300" w:lineRule="exact"/>
              <w:jc w:val="left"/>
              <w:rPr>
                <w:rFonts w:ascii="仿宋_GB2312" w:hAnsi="仿宋" w:eastAsia="仿宋_GB2312"/>
                <w:sz w:val="32"/>
                <w:szCs w:val="32"/>
              </w:rPr>
            </w:pPr>
            <w:r>
              <w:rPr>
                <w:rFonts w:hint="eastAsia" w:ascii="仿宋_GB2312" w:hAnsi="仿宋" w:eastAsia="仿宋_GB2312"/>
                <w:sz w:val="32"/>
                <w:szCs w:val="32"/>
              </w:rPr>
              <w:t>正科级</w:t>
            </w:r>
          </w:p>
        </w:tc>
        <w:tc>
          <w:tcPr>
            <w:tcW w:w="4826" w:type="dxa"/>
            <w:vAlign w:val="center"/>
          </w:tcPr>
          <w:p>
            <w:pPr>
              <w:spacing w:line="300" w:lineRule="exact"/>
              <w:jc w:val="left"/>
              <w:rPr>
                <w:rFonts w:ascii="仿宋_GB2312" w:hAnsi="仿宋" w:eastAsia="仿宋_GB2312"/>
                <w:sz w:val="32"/>
                <w:szCs w:val="32"/>
              </w:rPr>
            </w:pPr>
            <w:r>
              <w:rPr>
                <w:rFonts w:hint="eastAsia" w:ascii="仿宋_GB2312" w:eastAsia="仿宋_GB2312"/>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8" w:hRule="atLeast"/>
          <w:jc w:val="center"/>
        </w:trPr>
        <w:tc>
          <w:tcPr>
            <w:tcW w:w="3699" w:type="dxa"/>
            <w:vAlign w:val="center"/>
          </w:tcPr>
          <w:p>
            <w:pPr>
              <w:spacing w:line="300" w:lineRule="exact"/>
              <w:jc w:val="left"/>
              <w:rPr>
                <w:rFonts w:ascii="仿宋_GB2312" w:hAnsi="仿宋" w:eastAsia="仿宋_GB2312"/>
                <w:sz w:val="32"/>
                <w:szCs w:val="32"/>
              </w:rPr>
            </w:pPr>
            <w:r>
              <w:rPr>
                <w:rFonts w:hint="eastAsia" w:ascii="仿宋_GB2312" w:hAnsi="仿宋" w:eastAsia="仿宋_GB2312"/>
                <w:sz w:val="32"/>
                <w:szCs w:val="32"/>
              </w:rPr>
              <w:t>大城县殡仪馆</w:t>
            </w:r>
          </w:p>
        </w:tc>
        <w:tc>
          <w:tcPr>
            <w:tcW w:w="1878" w:type="dxa"/>
            <w:vAlign w:val="center"/>
          </w:tcPr>
          <w:p>
            <w:pPr>
              <w:spacing w:line="300" w:lineRule="exact"/>
              <w:jc w:val="left"/>
              <w:rPr>
                <w:rFonts w:ascii="仿宋_GB2312" w:hAnsi="仿宋" w:eastAsia="仿宋_GB2312"/>
                <w:sz w:val="32"/>
                <w:szCs w:val="32"/>
              </w:rPr>
            </w:pPr>
            <w:r>
              <w:rPr>
                <w:rFonts w:hint="eastAsia" w:ascii="仿宋_GB2312" w:eastAsia="仿宋_GB2312"/>
                <w:sz w:val="32"/>
                <w:szCs w:val="32"/>
              </w:rPr>
              <w:t>差额事业</w:t>
            </w:r>
          </w:p>
        </w:tc>
        <w:tc>
          <w:tcPr>
            <w:tcW w:w="1276" w:type="dxa"/>
            <w:vAlign w:val="center"/>
          </w:tcPr>
          <w:p>
            <w:pPr>
              <w:spacing w:line="300" w:lineRule="exact"/>
              <w:jc w:val="left"/>
              <w:rPr>
                <w:rFonts w:ascii="仿宋_GB2312" w:hAnsi="仿宋" w:eastAsia="仿宋_GB2312"/>
                <w:sz w:val="32"/>
                <w:szCs w:val="32"/>
              </w:rPr>
            </w:pPr>
            <w:r>
              <w:rPr>
                <w:rFonts w:hint="eastAsia" w:ascii="仿宋_GB2312" w:hAnsi="仿宋" w:eastAsia="仿宋_GB2312"/>
                <w:sz w:val="32"/>
                <w:szCs w:val="32"/>
              </w:rPr>
              <w:t>正股级</w:t>
            </w:r>
          </w:p>
        </w:tc>
        <w:tc>
          <w:tcPr>
            <w:tcW w:w="4826" w:type="dxa"/>
            <w:vAlign w:val="center"/>
          </w:tcPr>
          <w:p>
            <w:pPr>
              <w:spacing w:line="300" w:lineRule="exact"/>
              <w:jc w:val="left"/>
              <w:rPr>
                <w:rFonts w:ascii="仿宋_GB2312" w:hAnsi="仿宋" w:eastAsia="仿宋_GB2312"/>
                <w:sz w:val="32"/>
                <w:szCs w:val="32"/>
              </w:rPr>
            </w:pPr>
            <w:r>
              <w:rPr>
                <w:rFonts w:hint="eastAsia" w:ascii="仿宋_GB2312" w:eastAsia="仿宋_GB2312"/>
                <w:sz w:val="32"/>
                <w:szCs w:val="32"/>
              </w:rPr>
              <w:t>财政性资金定额或定向补助</w:t>
            </w: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二、部门预算安排的总体情况</w:t>
      </w:r>
    </w:p>
    <w:p>
      <w:pPr>
        <w:spacing w:line="584"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按照预算管理有关规定，目前我市部门预算的编制实行综合预算制度，即全部收入和支出都反映在预算中。</w:t>
      </w:r>
      <w:r>
        <w:rPr>
          <w:rFonts w:hint="eastAsia" w:ascii="仿宋_GB2312" w:hAnsi="仿宋" w:eastAsia="仿宋_GB2312" w:cs="宋体"/>
          <w:sz w:val="32"/>
          <w:szCs w:val="32"/>
        </w:rPr>
        <w:t>大城县民政局</w:t>
      </w:r>
      <w:r>
        <w:rPr>
          <w:rFonts w:hint="eastAsia" w:ascii="仿宋_GB2312" w:hAnsi="Times New Roman" w:eastAsia="仿宋_GB2312"/>
          <w:sz w:val="32"/>
          <w:szCs w:val="32"/>
        </w:rPr>
        <w:t>机关及所属事业单位的收支包含在部门预算中。</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、收入说明</w:t>
      </w:r>
    </w:p>
    <w:p>
      <w:pPr>
        <w:ind w:firstLine="640" w:firstLineChars="200"/>
        <w:rPr>
          <w:rFonts w:ascii="仿宋_GB2312" w:eastAsia="仿宋_GB2312" w:cs="宋体"/>
          <w:sz w:val="18"/>
          <w:szCs w:val="18"/>
        </w:rPr>
      </w:pPr>
      <w:r>
        <w:rPr>
          <w:rFonts w:hint="eastAsia" w:ascii="仿宋_GB2312" w:hAnsi="Times New Roman" w:eastAsia="仿宋_GB2312"/>
          <w:sz w:val="32"/>
          <w:szCs w:val="32"/>
        </w:rPr>
        <w:t>反映本部门当年全部收入。</w:t>
      </w:r>
      <w:r>
        <w:rPr>
          <w:rFonts w:ascii="仿宋_GB2312" w:hAnsi="Times New Roman" w:eastAsia="仿宋_GB2312"/>
          <w:sz w:val="32"/>
          <w:szCs w:val="32"/>
        </w:rPr>
        <w:t>2019</w:t>
      </w:r>
      <w:r>
        <w:rPr>
          <w:rFonts w:hint="eastAsia" w:ascii="仿宋_GB2312" w:hAnsi="Times New Roman" w:eastAsia="仿宋_GB2312"/>
          <w:sz w:val="32"/>
          <w:szCs w:val="32"/>
        </w:rPr>
        <w:t>年预算收入</w:t>
      </w:r>
      <w:r>
        <w:rPr>
          <w:rFonts w:ascii="仿宋_GB2312" w:eastAsia="仿宋_GB2312"/>
          <w:sz w:val="32"/>
          <w:szCs w:val="32"/>
        </w:rPr>
        <w:t>18333.21</w:t>
      </w:r>
      <w:r>
        <w:rPr>
          <w:rFonts w:hint="eastAsia" w:ascii="仿宋_GB2312" w:hAnsi="Times New Roman" w:eastAsia="仿宋_GB2312"/>
          <w:sz w:val="32"/>
          <w:szCs w:val="32"/>
        </w:rPr>
        <w:t>万元，其中：一般公共预算收入</w:t>
      </w:r>
      <w:r>
        <w:rPr>
          <w:rFonts w:ascii="仿宋_GB2312" w:hAnsi="Times New Roman" w:eastAsia="仿宋_GB2312"/>
          <w:sz w:val="32"/>
          <w:szCs w:val="32"/>
        </w:rPr>
        <w:t>17847.2</w:t>
      </w:r>
      <w:r>
        <w:rPr>
          <w:rFonts w:hint="eastAsia" w:ascii="仿宋_GB2312" w:hAnsi="Times New Roman" w:eastAsia="仿宋_GB2312"/>
          <w:sz w:val="32"/>
          <w:szCs w:val="32"/>
        </w:rPr>
        <w:t>万元，基金预算收入</w:t>
      </w:r>
      <w:r>
        <w:rPr>
          <w:rFonts w:ascii="仿宋_GB2312" w:hAnsi="Times New Roman" w:eastAsia="仿宋_GB2312"/>
          <w:sz w:val="32"/>
          <w:szCs w:val="32"/>
        </w:rPr>
        <w:t>486</w:t>
      </w:r>
      <w:r>
        <w:rPr>
          <w:rFonts w:hint="eastAsia" w:ascii="仿宋_GB2312" w:hAnsi="Times New Roman" w:eastAsia="仿宋_GB2312"/>
          <w:sz w:val="32"/>
          <w:szCs w:val="32"/>
        </w:rPr>
        <w:t>万元，财政专户核拨收入</w:t>
      </w:r>
      <w:r>
        <w:rPr>
          <w:rFonts w:ascii="仿宋_GB2312" w:hAnsi="Times New Roman" w:eastAsia="仿宋_GB2312"/>
          <w:sz w:val="32"/>
          <w:szCs w:val="32"/>
        </w:rPr>
        <w:t>0</w:t>
      </w:r>
      <w:r>
        <w:rPr>
          <w:rFonts w:hint="eastAsia" w:ascii="仿宋_GB2312" w:hAnsi="Times New Roman" w:eastAsia="仿宋_GB2312"/>
          <w:sz w:val="32"/>
          <w:szCs w:val="32"/>
        </w:rPr>
        <w:t>万元，其他来源收入</w:t>
      </w:r>
      <w:r>
        <w:rPr>
          <w:rFonts w:ascii="仿宋_GB2312" w:hAnsi="Times New Roman" w:eastAsia="仿宋_GB2312"/>
          <w:sz w:val="32"/>
          <w:szCs w:val="32"/>
        </w:rPr>
        <w:t>0</w:t>
      </w:r>
      <w:r>
        <w:rPr>
          <w:rFonts w:hint="eastAsia" w:ascii="仿宋_GB2312" w:hAnsi="Times New Roman" w:eastAsia="仿宋_GB2312"/>
          <w:sz w:val="32"/>
          <w:szCs w:val="32"/>
        </w:rPr>
        <w:t>万元。</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、支出说明</w:t>
      </w:r>
    </w:p>
    <w:p>
      <w:pPr>
        <w:spacing w:line="584" w:lineRule="exact"/>
        <w:ind w:firstLine="640"/>
        <w:rPr>
          <w:rFonts w:ascii="仿宋_GB2312" w:hAnsi="Times New Roman" w:eastAsia="仿宋_GB2312"/>
          <w:sz w:val="32"/>
          <w:szCs w:val="32"/>
        </w:rPr>
      </w:pPr>
      <w:r>
        <w:rPr>
          <w:rFonts w:hint="eastAsia" w:ascii="仿宋_GB2312" w:hAnsi="Times New Roman" w:eastAsia="仿宋_GB2312"/>
          <w:sz w:val="32"/>
          <w:szCs w:val="32"/>
        </w:rPr>
        <w:t>收支预算总表支出栏、基本支出表、项目支出表按经济分类和支出功能分类科目编制，反映大城县民政局年度部门预算中支出预算的总体情况。</w:t>
      </w:r>
      <w:r>
        <w:rPr>
          <w:rFonts w:ascii="仿宋_GB2312" w:hAnsi="Times New Roman" w:eastAsia="仿宋_GB2312"/>
          <w:sz w:val="32"/>
          <w:szCs w:val="32"/>
        </w:rPr>
        <w:t>2019</w:t>
      </w:r>
      <w:r>
        <w:rPr>
          <w:rFonts w:hint="eastAsia" w:ascii="仿宋_GB2312" w:hAnsi="Times New Roman" w:eastAsia="仿宋_GB2312"/>
          <w:sz w:val="32"/>
          <w:szCs w:val="32"/>
        </w:rPr>
        <w:t>年支出预算</w:t>
      </w:r>
      <w:r>
        <w:rPr>
          <w:rFonts w:ascii="仿宋_GB2312" w:eastAsia="仿宋_GB2312"/>
          <w:sz w:val="32"/>
          <w:szCs w:val="32"/>
        </w:rPr>
        <w:t>18333.21</w:t>
      </w:r>
      <w:r>
        <w:rPr>
          <w:rFonts w:hint="eastAsia" w:ascii="仿宋_GB2312" w:hAnsi="Times New Roman" w:eastAsia="仿宋_GB2312"/>
          <w:sz w:val="32"/>
          <w:szCs w:val="32"/>
        </w:rPr>
        <w:t>万元，其中基本支出</w:t>
      </w:r>
      <w:r>
        <w:rPr>
          <w:rFonts w:ascii="仿宋_GB2312" w:hAnsi="Times New Roman" w:eastAsia="仿宋_GB2312"/>
          <w:sz w:val="32"/>
          <w:szCs w:val="32"/>
        </w:rPr>
        <w:t>1366.73</w:t>
      </w:r>
      <w:r>
        <w:rPr>
          <w:rFonts w:hint="eastAsia" w:ascii="仿宋_GB2312" w:hAnsi="Times New Roman" w:eastAsia="仿宋_GB2312"/>
          <w:sz w:val="32"/>
          <w:szCs w:val="32"/>
        </w:rPr>
        <w:t>万元，包括人员经费</w:t>
      </w:r>
      <w:r>
        <w:rPr>
          <w:rFonts w:ascii="仿宋_GB2312" w:hAnsi="Times New Roman" w:eastAsia="仿宋_GB2312"/>
          <w:sz w:val="32"/>
          <w:szCs w:val="32"/>
        </w:rPr>
        <w:t>1255.35</w:t>
      </w:r>
      <w:r>
        <w:rPr>
          <w:rFonts w:hint="eastAsia" w:ascii="仿宋_GB2312" w:hAnsi="Times New Roman" w:eastAsia="仿宋_GB2312"/>
          <w:sz w:val="32"/>
          <w:szCs w:val="32"/>
        </w:rPr>
        <w:t>万元和日常公用经费</w:t>
      </w:r>
      <w:r>
        <w:rPr>
          <w:rFonts w:ascii="仿宋_GB2312" w:hAnsi="Times New Roman" w:eastAsia="仿宋_GB2312"/>
          <w:sz w:val="32"/>
          <w:szCs w:val="32"/>
        </w:rPr>
        <w:t>111.38</w:t>
      </w:r>
      <w:r>
        <w:rPr>
          <w:rFonts w:hint="eastAsia" w:ascii="仿宋_GB2312" w:hAnsi="Times New Roman" w:eastAsia="仿宋_GB2312"/>
          <w:sz w:val="32"/>
          <w:szCs w:val="32"/>
        </w:rPr>
        <w:t>万元；项目支出</w:t>
      </w:r>
      <w:r>
        <w:rPr>
          <w:rFonts w:ascii="仿宋_GB2312" w:hAnsi="Times New Roman" w:eastAsia="仿宋_GB2312"/>
          <w:sz w:val="32"/>
          <w:szCs w:val="32"/>
        </w:rPr>
        <w:t>16966.48</w:t>
      </w:r>
      <w:r>
        <w:rPr>
          <w:rFonts w:hint="eastAsia" w:ascii="仿宋_GB2312" w:hAnsi="Times New Roman" w:eastAsia="仿宋_GB2312"/>
          <w:sz w:val="32"/>
          <w:szCs w:val="32"/>
        </w:rPr>
        <w:t>万元，</w:t>
      </w:r>
      <w:r>
        <w:rPr>
          <w:rFonts w:hint="eastAsia" w:ascii="仿宋_GB2312" w:hAnsi="仿宋" w:eastAsia="仿宋_GB2312" w:cs="仿宋_GB2312"/>
          <w:sz w:val="32"/>
          <w:szCs w:val="32"/>
        </w:rPr>
        <w:t>全部为</w:t>
      </w:r>
      <w:r>
        <w:rPr>
          <w:rFonts w:hint="eastAsia" w:ascii="仿宋_GB2312" w:hAnsi="Times New Roman" w:eastAsia="仿宋_GB2312"/>
          <w:sz w:val="32"/>
          <w:szCs w:val="32"/>
        </w:rPr>
        <w:t>本级支出</w:t>
      </w:r>
      <w:r>
        <w:rPr>
          <w:rFonts w:ascii="仿宋_GB2312" w:hAnsi="Times New Roman" w:eastAsia="仿宋_GB2312"/>
          <w:sz w:val="32"/>
          <w:szCs w:val="32"/>
        </w:rPr>
        <w:t>16966.48</w:t>
      </w:r>
      <w:r>
        <w:rPr>
          <w:rFonts w:hint="eastAsia" w:ascii="仿宋_GB2312" w:hAnsi="Times New Roman" w:eastAsia="仿宋_GB2312"/>
          <w:sz w:val="32"/>
          <w:szCs w:val="32"/>
        </w:rPr>
        <w:t>万元，主要为</w:t>
      </w:r>
      <w:r>
        <w:rPr>
          <w:rFonts w:hint="eastAsia" w:ascii="仿宋_GB2312" w:hAnsi="仿宋" w:eastAsia="仿宋_GB2312" w:cs="宋体"/>
          <w:sz w:val="32"/>
          <w:szCs w:val="32"/>
        </w:rPr>
        <w:t>城乡居民最低生活保障、优待抚恤、医疗救助、临时生活救助、老年福利、儿童福利、农村五保供养等。</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、比上年增减情况</w:t>
      </w:r>
    </w:p>
    <w:p>
      <w:pPr>
        <w:spacing w:line="584" w:lineRule="exact"/>
        <w:ind w:firstLine="640"/>
        <w:rPr>
          <w:rFonts w:ascii="仿宋_GB2312" w:hAnsi="Times New Roman" w:eastAsia="仿宋_GB2312"/>
          <w:sz w:val="32"/>
          <w:szCs w:val="32"/>
        </w:rPr>
      </w:pPr>
      <w:r>
        <w:rPr>
          <w:rFonts w:ascii="仿宋_GB2312" w:hAnsi="Times New Roman" w:eastAsia="仿宋_GB2312"/>
          <w:sz w:val="32"/>
          <w:szCs w:val="32"/>
        </w:rPr>
        <w:t>2019</w:t>
      </w:r>
      <w:r>
        <w:rPr>
          <w:rFonts w:hint="eastAsia" w:ascii="仿宋_GB2312" w:hAnsi="Times New Roman" w:eastAsia="仿宋_GB2312"/>
          <w:sz w:val="32"/>
          <w:szCs w:val="32"/>
        </w:rPr>
        <w:t>年预算收支安排</w:t>
      </w:r>
      <w:r>
        <w:rPr>
          <w:rFonts w:ascii="仿宋_GB2312" w:eastAsia="仿宋_GB2312"/>
          <w:sz w:val="32"/>
          <w:szCs w:val="32"/>
        </w:rPr>
        <w:t>18333.21</w:t>
      </w:r>
      <w:r>
        <w:rPr>
          <w:rFonts w:hint="eastAsia" w:ascii="仿宋_GB2312" w:hAnsi="Times New Roman" w:eastAsia="仿宋_GB2312"/>
          <w:sz w:val="32"/>
          <w:szCs w:val="32"/>
        </w:rPr>
        <w:t>万元，较</w:t>
      </w:r>
      <w:r>
        <w:rPr>
          <w:rFonts w:ascii="仿宋_GB2312" w:hAnsi="Times New Roman" w:eastAsia="仿宋_GB2312"/>
          <w:sz w:val="32"/>
          <w:szCs w:val="32"/>
        </w:rPr>
        <w:t>2018</w:t>
      </w:r>
      <w:r>
        <w:rPr>
          <w:rFonts w:hint="eastAsia" w:ascii="仿宋_GB2312" w:hAnsi="Times New Roman" w:eastAsia="仿宋_GB2312"/>
          <w:sz w:val="32"/>
          <w:szCs w:val="32"/>
        </w:rPr>
        <w:t>年预算增加</w:t>
      </w:r>
      <w:r>
        <w:rPr>
          <w:rFonts w:ascii="仿宋_GB2312" w:hAnsi="Times New Roman" w:eastAsia="仿宋_GB2312"/>
          <w:sz w:val="32"/>
          <w:szCs w:val="32"/>
        </w:rPr>
        <w:t>2984.29</w:t>
      </w:r>
      <w:r>
        <w:rPr>
          <w:rFonts w:hint="eastAsia" w:ascii="仿宋_GB2312" w:hAnsi="Times New Roman" w:eastAsia="仿宋_GB2312"/>
          <w:sz w:val="32"/>
          <w:szCs w:val="32"/>
        </w:rPr>
        <w:t>万元，其中：基本支出增加</w:t>
      </w:r>
      <w:r>
        <w:rPr>
          <w:rFonts w:ascii="仿宋_GB2312" w:hAnsi="Times New Roman" w:eastAsia="仿宋_GB2312"/>
          <w:sz w:val="32"/>
          <w:szCs w:val="32"/>
        </w:rPr>
        <w:t>107.62</w:t>
      </w:r>
      <w:r>
        <w:rPr>
          <w:rFonts w:hint="eastAsia" w:ascii="仿宋_GB2312" w:hAnsi="Times New Roman" w:eastAsia="仿宋_GB2312"/>
          <w:sz w:val="32"/>
          <w:szCs w:val="32"/>
        </w:rPr>
        <w:t>万元，主要为</w:t>
      </w:r>
      <w:r>
        <w:rPr>
          <w:rFonts w:hint="eastAsia" w:ascii="仿宋_GB2312" w:hAnsi="仿宋" w:eastAsia="仿宋_GB2312" w:cs="宋体"/>
          <w:sz w:val="32"/>
          <w:szCs w:val="32"/>
        </w:rPr>
        <w:t>增加人员经费、</w:t>
      </w:r>
      <w:r>
        <w:rPr>
          <w:rFonts w:hint="eastAsia" w:ascii="仿宋_GB2312" w:hAnsi="仿宋_GB2312" w:eastAsia="仿宋_GB2312"/>
          <w:sz w:val="32"/>
          <w:szCs w:val="32"/>
        </w:rPr>
        <w:t>日常公用经费</w:t>
      </w:r>
      <w:r>
        <w:rPr>
          <w:rFonts w:hint="eastAsia" w:ascii="仿宋_GB2312" w:hAnsi="Times New Roman" w:eastAsia="仿宋_GB2312"/>
          <w:sz w:val="32"/>
          <w:szCs w:val="32"/>
        </w:rPr>
        <w:t>支出；项目支出增加</w:t>
      </w:r>
      <w:r>
        <w:rPr>
          <w:rFonts w:ascii="仿宋_GB2312" w:hAnsi="Times New Roman" w:eastAsia="仿宋_GB2312"/>
          <w:sz w:val="32"/>
          <w:szCs w:val="32"/>
        </w:rPr>
        <w:t>3091.91</w:t>
      </w:r>
      <w:r>
        <w:rPr>
          <w:rFonts w:hint="eastAsia" w:ascii="仿宋_GB2312" w:hAnsi="Times New Roman" w:eastAsia="仿宋_GB2312"/>
          <w:sz w:val="32"/>
          <w:szCs w:val="32"/>
        </w:rPr>
        <w:t>万元，主要为抚恤、退役安置、最低生活保障项目支出。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spacing w:line="584" w:lineRule="exact"/>
        <w:ind w:left="197" w:leftChars="94" w:firstLine="480" w:firstLineChars="150"/>
        <w:jc w:val="left"/>
        <w:rPr>
          <w:rFonts w:ascii="仿宋_GB2312" w:hAnsi="Times New Roman" w:eastAsia="仿宋_GB2312"/>
          <w:sz w:val="32"/>
          <w:szCs w:val="32"/>
        </w:rPr>
      </w:pPr>
      <w:r>
        <w:rPr>
          <w:rFonts w:ascii="仿宋_GB2312" w:hAnsi="Times New Roman" w:eastAsia="仿宋_GB2312"/>
          <w:sz w:val="32"/>
          <w:szCs w:val="32"/>
        </w:rPr>
        <w:t>2019</w:t>
      </w:r>
      <w:r>
        <w:rPr>
          <w:rFonts w:hint="eastAsia" w:ascii="仿宋_GB2312" w:hAnsi="Times New Roman" w:eastAsia="仿宋_GB2312"/>
          <w:sz w:val="32"/>
          <w:szCs w:val="32"/>
        </w:rPr>
        <w:t>年，我部门机关运行经费共计安排</w:t>
      </w:r>
      <w:r>
        <w:rPr>
          <w:rFonts w:ascii="仿宋_GB2312" w:hAnsi="Times New Roman" w:eastAsia="仿宋_GB2312"/>
          <w:sz w:val="32"/>
          <w:szCs w:val="32"/>
        </w:rPr>
        <w:t>111.38</w:t>
      </w:r>
      <w:r>
        <w:rPr>
          <w:rFonts w:hint="eastAsia" w:ascii="仿宋_GB2312" w:hAnsi="Times New Roman" w:eastAsia="仿宋_GB2312"/>
          <w:sz w:val="32"/>
          <w:szCs w:val="32"/>
        </w:rPr>
        <w:t>万元，主要用于我部门的日常维修、办公用房水电费、办公用房取暖费、办公用房物业管理费等日常运行支出。</w:t>
      </w:r>
    </w:p>
    <w:p>
      <w:pPr>
        <w:autoSpaceDE w:val="0"/>
        <w:autoSpaceDN w:val="0"/>
        <w:adjustRightInd w:val="0"/>
        <w:spacing w:line="584" w:lineRule="exact"/>
        <w:ind w:firstLine="629" w:firstLineChars="196"/>
        <w:jc w:val="left"/>
        <w:rPr>
          <w:rFonts w:ascii="Times New Roman" w:hAnsi="Times New Roman" w:eastAsia="仿宋_GB2312"/>
          <w:b/>
          <w:sz w:val="32"/>
          <w:szCs w:val="32"/>
        </w:rPr>
      </w:pPr>
      <w:r>
        <w:rPr>
          <w:rFonts w:hint="eastAsia" w:ascii="Times New Roman" w:hAnsi="Times New Roman" w:eastAsia="仿宋_GB2312"/>
          <w:b/>
          <w:sz w:val="32"/>
          <w:szCs w:val="32"/>
        </w:rPr>
        <w:t>四、财政拨款</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经费预算情况及增减变化原因</w:t>
      </w:r>
    </w:p>
    <w:p>
      <w:pPr>
        <w:spacing w:line="584" w:lineRule="exact"/>
        <w:ind w:firstLine="640" w:firstLineChars="200"/>
        <w:rPr>
          <w:rFonts w:ascii="仿宋_GB2312" w:hAnsi="Times New Roman" w:eastAsia="仿宋_GB2312"/>
          <w:sz w:val="32"/>
          <w:szCs w:val="32"/>
        </w:rPr>
      </w:pPr>
      <w:r>
        <w:rPr>
          <w:rFonts w:ascii="仿宋_GB2312" w:hAnsi="Times New Roman" w:eastAsia="仿宋_GB2312"/>
          <w:sz w:val="32"/>
          <w:szCs w:val="32"/>
        </w:rPr>
        <w:t>2019</w:t>
      </w:r>
      <w:r>
        <w:rPr>
          <w:rFonts w:hint="eastAsia" w:ascii="仿宋_GB2312" w:hAnsi="Times New Roman" w:eastAsia="仿宋_GB2312"/>
          <w:sz w:val="32"/>
          <w:szCs w:val="32"/>
        </w:rPr>
        <w:t>年，我部门财政拨款“三公”经费预算安排</w:t>
      </w:r>
      <w:r>
        <w:rPr>
          <w:rFonts w:ascii="仿宋_GB2312" w:hAnsi="Times New Roman" w:eastAsia="仿宋_GB2312"/>
          <w:sz w:val="32"/>
          <w:szCs w:val="32"/>
        </w:rPr>
        <w:t>7.8</w:t>
      </w:r>
      <w:r>
        <w:rPr>
          <w:rFonts w:hint="eastAsia" w:ascii="仿宋_GB2312" w:hAnsi="Times New Roman" w:eastAsia="仿宋_GB2312"/>
          <w:sz w:val="32"/>
          <w:szCs w:val="32"/>
        </w:rPr>
        <w:t>万元。其中，因公出国（境）费</w:t>
      </w:r>
      <w:r>
        <w:rPr>
          <w:rFonts w:ascii="仿宋_GB2312" w:hAnsi="Times New Roman" w:eastAsia="仿宋_GB2312"/>
          <w:sz w:val="32"/>
          <w:szCs w:val="32"/>
        </w:rPr>
        <w:t>0</w:t>
      </w:r>
      <w:r>
        <w:rPr>
          <w:rFonts w:hint="eastAsia" w:ascii="仿宋_GB2312" w:hAnsi="Times New Roman" w:eastAsia="仿宋_GB2312"/>
          <w:sz w:val="32"/>
          <w:szCs w:val="32"/>
        </w:rPr>
        <w:t>万元；公务用车购置及运维费</w:t>
      </w:r>
      <w:r>
        <w:rPr>
          <w:rFonts w:ascii="仿宋_GB2312" w:hAnsi="Times New Roman" w:eastAsia="仿宋_GB2312"/>
          <w:sz w:val="32"/>
          <w:szCs w:val="32"/>
        </w:rPr>
        <w:t>7</w:t>
      </w:r>
      <w:r>
        <w:rPr>
          <w:rFonts w:hint="eastAsia" w:ascii="仿宋_GB2312" w:hAnsi="Times New Roman" w:eastAsia="仿宋_GB2312"/>
          <w:sz w:val="32"/>
          <w:szCs w:val="32"/>
        </w:rPr>
        <w:t>万元（其中：公务用车购置费为</w:t>
      </w:r>
      <w:r>
        <w:rPr>
          <w:rFonts w:ascii="仿宋_GB2312" w:hAnsi="Times New Roman" w:eastAsia="仿宋_GB2312"/>
          <w:sz w:val="32"/>
          <w:szCs w:val="32"/>
        </w:rPr>
        <w:t>0</w:t>
      </w:r>
      <w:r>
        <w:rPr>
          <w:rFonts w:hint="eastAsia" w:ascii="仿宋_GB2312" w:hAnsi="Times New Roman" w:eastAsia="仿宋_GB2312"/>
          <w:sz w:val="32"/>
          <w:szCs w:val="32"/>
        </w:rPr>
        <w:t>万元，公务用车运维费</w:t>
      </w:r>
      <w:r>
        <w:rPr>
          <w:rFonts w:ascii="仿宋_GB2312" w:hAnsi="Times New Roman" w:eastAsia="仿宋_GB2312"/>
          <w:sz w:val="32"/>
          <w:szCs w:val="32"/>
        </w:rPr>
        <w:t>7</w:t>
      </w:r>
      <w:r>
        <w:rPr>
          <w:rFonts w:hint="eastAsia" w:ascii="仿宋_GB2312" w:hAnsi="Times New Roman" w:eastAsia="仿宋_GB2312"/>
          <w:sz w:val="32"/>
          <w:szCs w:val="32"/>
        </w:rPr>
        <w:t>万元</w:t>
      </w:r>
      <w:r>
        <w:rPr>
          <w:rFonts w:ascii="仿宋_GB2312" w:hAnsi="Times New Roman" w:eastAsia="仿宋_GB2312"/>
          <w:sz w:val="32"/>
          <w:szCs w:val="32"/>
        </w:rPr>
        <w:t>)</w:t>
      </w:r>
      <w:r>
        <w:rPr>
          <w:rFonts w:hint="eastAsia" w:ascii="仿宋_GB2312" w:hAnsi="Times New Roman" w:eastAsia="仿宋_GB2312"/>
          <w:sz w:val="32"/>
          <w:szCs w:val="32"/>
        </w:rPr>
        <w:t>；公务接待费</w:t>
      </w:r>
      <w:r>
        <w:rPr>
          <w:rFonts w:ascii="仿宋_GB2312" w:hAnsi="Times New Roman" w:eastAsia="仿宋_GB2312"/>
          <w:sz w:val="32"/>
          <w:szCs w:val="32"/>
        </w:rPr>
        <w:t>0.8</w:t>
      </w:r>
      <w:r>
        <w:rPr>
          <w:rFonts w:hint="eastAsia" w:ascii="仿宋_GB2312" w:hAnsi="Times New Roman" w:eastAsia="仿宋_GB2312"/>
          <w:sz w:val="32"/>
          <w:szCs w:val="32"/>
        </w:rPr>
        <w:t>万元。</w:t>
      </w:r>
      <w:r>
        <w:t>，</w:t>
      </w:r>
      <w:r>
        <w:rPr>
          <w:rFonts w:hint="eastAsia" w:ascii="仿宋_GB2312" w:hAnsi="Times New Roman" w:eastAsia="仿宋_GB2312"/>
          <w:sz w:val="32"/>
          <w:szCs w:val="32"/>
        </w:rPr>
        <w:t>与2018年相比</w:t>
      </w:r>
      <w:r>
        <w:rPr>
          <w:rFonts w:hint="eastAsia" w:ascii="仿宋_GB2312" w:eastAsia="仿宋_GB2312"/>
          <w:sz w:val="32"/>
          <w:szCs w:val="32"/>
        </w:rPr>
        <w:t>减少 0.2 万元</w:t>
      </w:r>
      <w:r>
        <w:rPr>
          <w:rFonts w:hint="eastAsia" w:ascii="仿宋_GB2312" w:hAnsi="Times New Roman" w:eastAsia="仿宋_GB2312"/>
          <w:sz w:val="32"/>
          <w:szCs w:val="32"/>
        </w:rPr>
        <w:t>；</w:t>
      </w:r>
      <w:r>
        <w:rPr>
          <w:rFonts w:hint="eastAsia" w:ascii="仿宋_GB2312" w:eastAsia="仿宋_GB2312"/>
          <w:sz w:val="32"/>
          <w:szCs w:val="32"/>
        </w:rPr>
        <w:t>其中，公务用车购置及运维费持平（其中：公务 用车购置费持平，公务用车运维费持平)，</w:t>
      </w:r>
      <w:r>
        <w:rPr>
          <w:rFonts w:hint="eastAsia" w:ascii="仿宋_GB2312" w:hAnsi="Times New Roman" w:eastAsia="仿宋_GB2312"/>
          <w:sz w:val="32"/>
          <w:szCs w:val="32"/>
        </w:rPr>
        <w:t>公务接待费减少0.2万元，主要原因是我部门切实落实勤俭节约各项规定，严格控制公务接待费支出。</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五、绩效预算信息</w:t>
      </w:r>
    </w:p>
    <w:p>
      <w:pPr>
        <w:ind w:firstLine="560"/>
        <w:rPr>
          <w:rFonts w:ascii="仿宋_GB2312" w:hAnsi="仿宋" w:eastAsia="仿宋_GB2312" w:cs="仿宋"/>
          <w:sz w:val="32"/>
          <w:szCs w:val="32"/>
        </w:rPr>
      </w:pPr>
      <w:bookmarkStart w:id="0" w:name="_Toc471398463"/>
      <w:r>
        <w:rPr>
          <w:rFonts w:hint="eastAsia" w:ascii="Times New Roman" w:hAnsi="Times New Roman" w:eastAsia="楷体_GB2312"/>
          <w:b/>
          <w:sz w:val="32"/>
          <w:szCs w:val="32"/>
        </w:rPr>
        <w:t>总体绩效目标：</w:t>
      </w:r>
      <w:r>
        <w:rPr>
          <w:rFonts w:hint="eastAsia" w:ascii="仿宋_GB2312" w:hAnsi="仿宋" w:eastAsia="仿宋_GB2312" w:cs="仿宋"/>
          <w:sz w:val="32"/>
          <w:szCs w:val="32"/>
        </w:rPr>
        <w:t>按照“以民为本、为民解困”的服务宗旨，认真履行维护民利、解决民生、落实民权的基本职责；坚持依法行政、文明行政，进一步提高服务和管理水平，发挥民政部门在社会建设和管理中职能作用；坚持和落实科学的发展观，进一步处理好改革与发展的关系，推动民政事业全面协调发展，为构建社会主义和谐社会做出新的贡献。</w:t>
      </w:r>
    </w:p>
    <w:p>
      <w:pPr>
        <w:spacing w:line="584" w:lineRule="exact"/>
        <w:ind w:firstLine="640" w:firstLineChars="200"/>
        <w:jc w:val="left"/>
        <w:rPr>
          <w:rFonts w:ascii="Times New Roman" w:hAnsi="Times New Roman" w:eastAsia="楷体_GB2312"/>
          <w:b/>
          <w:color w:val="FF0000"/>
          <w:sz w:val="32"/>
          <w:szCs w:val="32"/>
        </w:rPr>
      </w:pPr>
      <w:r>
        <w:rPr>
          <w:rFonts w:hint="eastAsia" w:ascii="仿宋_GB2312" w:hAnsi="仿宋" w:eastAsia="仿宋_GB2312" w:cs="仿宋"/>
          <w:sz w:val="32"/>
          <w:szCs w:val="32"/>
        </w:rPr>
        <w:t>主要目标任务是：</w:t>
      </w:r>
      <w:r>
        <w:rPr>
          <w:rFonts w:ascii="仿宋_GB2312" w:hAnsi="仿宋" w:eastAsia="仿宋_GB2312" w:cs="仿宋"/>
          <w:sz w:val="32"/>
          <w:szCs w:val="32"/>
        </w:rPr>
        <w:t>1</w:t>
      </w:r>
      <w:r>
        <w:rPr>
          <w:rFonts w:hint="eastAsia" w:ascii="仿宋_GB2312" w:hAnsi="仿宋" w:eastAsia="仿宋_GB2312" w:cs="仿宋"/>
          <w:sz w:val="32"/>
          <w:szCs w:val="32"/>
        </w:rPr>
        <w:t>、继续完善城乡社会救助体系，做好为民解困各项工作。</w:t>
      </w:r>
      <w:r>
        <w:rPr>
          <w:rFonts w:ascii="仿宋_GB2312" w:hAnsi="仿宋" w:eastAsia="仿宋_GB2312" w:cs="仿宋"/>
          <w:sz w:val="32"/>
          <w:szCs w:val="32"/>
        </w:rPr>
        <w:t>2</w:t>
      </w:r>
      <w:r>
        <w:rPr>
          <w:rFonts w:hint="eastAsia" w:ascii="仿宋_GB2312" w:hAnsi="仿宋" w:eastAsia="仿宋_GB2312" w:cs="仿宋"/>
          <w:sz w:val="32"/>
          <w:szCs w:val="32"/>
        </w:rPr>
        <w:t>、发挥社会化服务与管理作用，为构建和谐社会作贡献。</w:t>
      </w:r>
      <w:r>
        <w:rPr>
          <w:rFonts w:ascii="仿宋_GB2312" w:hAnsi="仿宋" w:eastAsia="仿宋_GB2312" w:cs="仿宋"/>
          <w:sz w:val="32"/>
          <w:szCs w:val="32"/>
        </w:rPr>
        <w:t xml:space="preserve"> 3</w:t>
      </w:r>
      <w:r>
        <w:rPr>
          <w:rFonts w:hint="eastAsia" w:ascii="仿宋_GB2312" w:hAnsi="仿宋" w:eastAsia="仿宋_GB2312" w:cs="仿宋"/>
          <w:sz w:val="32"/>
          <w:szCs w:val="32"/>
        </w:rPr>
        <w:t>、深化拥军优抚安置工作，服务于国防和军队现代化建设。</w:t>
      </w:r>
      <w:r>
        <w:rPr>
          <w:rFonts w:ascii="仿宋_GB2312" w:hAnsi="仿宋" w:eastAsia="仿宋_GB2312" w:cs="仿宋"/>
          <w:sz w:val="32"/>
          <w:szCs w:val="32"/>
        </w:rPr>
        <w:t>4</w:t>
      </w:r>
      <w:r>
        <w:rPr>
          <w:rFonts w:hint="eastAsia" w:ascii="仿宋_GB2312" w:hAnsi="仿宋" w:eastAsia="仿宋_GB2312" w:cs="仿宋"/>
          <w:sz w:val="32"/>
          <w:szCs w:val="32"/>
        </w:rPr>
        <w:t>、积极推进“老龄”工作稳定发展。</w:t>
      </w:r>
      <w:r>
        <w:rPr>
          <w:rFonts w:ascii="仿宋_GB2312" w:hAnsi="仿宋" w:eastAsia="仿宋_GB2312" w:cs="仿宋"/>
          <w:sz w:val="32"/>
          <w:szCs w:val="32"/>
        </w:rPr>
        <w:t>5</w:t>
      </w:r>
      <w:r>
        <w:rPr>
          <w:rFonts w:hint="eastAsia" w:ascii="仿宋_GB2312" w:hAnsi="仿宋" w:eastAsia="仿宋_GB2312" w:cs="仿宋"/>
          <w:sz w:val="32"/>
          <w:szCs w:val="32"/>
        </w:rPr>
        <w:t>、围绕提高依法文明行政的能力，加强民政系统自身建设。</w:t>
      </w:r>
    </w:p>
    <w:p>
      <w:pPr>
        <w:spacing w:line="584" w:lineRule="exact"/>
        <w:ind w:firstLine="560"/>
        <w:rPr>
          <w:rFonts w:ascii="Times New Roman" w:hAnsi="Times New Roman" w:eastAsia="楷体_GB2312"/>
          <w:b/>
          <w:sz w:val="32"/>
          <w:szCs w:val="24"/>
        </w:rPr>
      </w:pPr>
      <w:r>
        <w:rPr>
          <w:rFonts w:hint="eastAsia" w:ascii="Times New Roman" w:hAnsi="Times New Roman" w:eastAsia="楷体_GB2312"/>
          <w:b/>
          <w:sz w:val="32"/>
          <w:szCs w:val="32"/>
        </w:rPr>
        <w:t>部门职责及工作活动绩效目标指标：</w:t>
      </w:r>
    </w:p>
    <w:bookmarkEnd w:id="0"/>
    <w:p>
      <w:pPr>
        <w:spacing w:line="584" w:lineRule="exact"/>
        <w:jc w:val="center"/>
        <w:outlineLvl w:val="0"/>
        <w:rPr>
          <w:rFonts w:ascii="Times New Roman" w:hAnsi="Times New Roman" w:eastAsia="仿宋_GB2312"/>
          <w:b/>
          <w:sz w:val="32"/>
        </w:rPr>
      </w:pPr>
      <w:bookmarkStart w:id="1" w:name="_Toc504489147"/>
      <w:r>
        <w:rPr>
          <w:rFonts w:hint="eastAsia" w:ascii="Times New Roman" w:hAnsi="Times New Roman" w:eastAsia="仿宋_GB2312"/>
          <w:b/>
          <w:sz w:val="32"/>
        </w:rPr>
        <w:t>部门职责</w:t>
      </w:r>
      <w:r>
        <w:rPr>
          <w:rFonts w:ascii="Times New Roman" w:hAnsi="Times New Roman" w:eastAsia="仿宋_GB2312"/>
          <w:b/>
          <w:sz w:val="32"/>
        </w:rPr>
        <w:t>-</w:t>
      </w:r>
      <w:r>
        <w:rPr>
          <w:rFonts w:hint="eastAsia" w:ascii="Times New Roman" w:hAnsi="Times New Roman" w:eastAsia="仿宋_GB2312"/>
          <w:b/>
          <w:sz w:val="32"/>
        </w:rPr>
        <w:t>工作活动绩效目标</w:t>
      </w:r>
      <w:bookmarkEnd w:id="1"/>
    </w:p>
    <w:p>
      <w:pPr>
        <w:spacing w:line="584" w:lineRule="exact"/>
        <w:jc w:val="left"/>
        <w:outlineLvl w:val="0"/>
        <w:rPr>
          <w:rFonts w:ascii="Times New Roman" w:hAnsi="Times New Roman" w:eastAsia="仿宋_GB2312"/>
        </w:rPr>
      </w:pPr>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仿宋_GB2312" w:eastAsia="仿宋_GB2312"/>
                <w:sz w:val="24"/>
              </w:rPr>
            </w:pPr>
            <w:r>
              <w:rPr>
                <w:rFonts w:ascii="仿宋_GB2312" w:eastAsia="仿宋_GB2312"/>
                <w:sz w:val="24"/>
              </w:rPr>
              <w:t>314</w:t>
            </w:r>
            <w:r>
              <w:rPr>
                <w:rFonts w:hint="eastAsia" w:ascii="仿宋_GB2312" w:eastAsia="仿宋_GB2312"/>
                <w:sz w:val="24"/>
              </w:rPr>
              <w:t>大城县民政局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仿宋_GB2312" w:eastAsia="仿宋_GB2312"/>
              </w:rPr>
            </w:pPr>
          </w:p>
        </w:tc>
        <w:tc>
          <w:tcPr>
            <w:tcW w:w="1276" w:type="dxa"/>
            <w:vMerge w:val="continue"/>
            <w:vAlign w:val="center"/>
          </w:tcPr>
          <w:p>
            <w:pPr>
              <w:spacing w:line="300" w:lineRule="exact"/>
              <w:jc w:val="left"/>
              <w:outlineLvl w:val="0"/>
              <w:rPr>
                <w:rFonts w:ascii="仿宋_GB2312" w:eastAsia="仿宋_GB2312"/>
              </w:rPr>
            </w:pPr>
          </w:p>
        </w:tc>
        <w:tc>
          <w:tcPr>
            <w:tcW w:w="2976" w:type="dxa"/>
            <w:vMerge w:val="continue"/>
            <w:vAlign w:val="center"/>
          </w:tcPr>
          <w:p>
            <w:pPr>
              <w:spacing w:line="300" w:lineRule="exact"/>
              <w:jc w:val="left"/>
              <w:outlineLvl w:val="0"/>
              <w:rPr>
                <w:rFonts w:ascii="仿宋_GB2312" w:eastAsia="仿宋_GB2312"/>
              </w:rPr>
            </w:pPr>
          </w:p>
        </w:tc>
        <w:tc>
          <w:tcPr>
            <w:tcW w:w="2976" w:type="dxa"/>
            <w:vMerge w:val="continue"/>
            <w:vAlign w:val="center"/>
          </w:tcPr>
          <w:p>
            <w:pPr>
              <w:spacing w:line="300" w:lineRule="exact"/>
              <w:jc w:val="left"/>
              <w:outlineLvl w:val="0"/>
              <w:rPr>
                <w:rFonts w:ascii="仿宋_GB2312" w:eastAsia="仿宋_GB2312"/>
              </w:rPr>
            </w:pPr>
          </w:p>
        </w:tc>
        <w:tc>
          <w:tcPr>
            <w:tcW w:w="1417" w:type="dxa"/>
            <w:vMerge w:val="continue"/>
            <w:vAlign w:val="center"/>
          </w:tcPr>
          <w:p>
            <w:pPr>
              <w:spacing w:line="300" w:lineRule="exact"/>
              <w:jc w:val="left"/>
              <w:outlineLvl w:val="0"/>
              <w:rPr>
                <w:rFonts w:ascii="仿宋_GB2312" w:eastAsia="仿宋_GB2312"/>
              </w:rPr>
            </w:pPr>
          </w:p>
        </w:tc>
        <w:tc>
          <w:tcPr>
            <w:tcW w:w="737" w:type="dxa"/>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b/>
              </w:rPr>
            </w:pPr>
            <w:r>
              <w:rPr>
                <w:rFonts w:hint="eastAsia" w:ascii="仿宋_GB2312" w:eastAsia="仿宋_GB2312"/>
                <w:b/>
              </w:rPr>
              <w:t>一、社会救助、救灾管理</w:t>
            </w:r>
          </w:p>
        </w:tc>
        <w:tc>
          <w:tcPr>
            <w:tcW w:w="1276" w:type="dxa"/>
            <w:vAlign w:val="center"/>
          </w:tcPr>
          <w:p>
            <w:pPr>
              <w:spacing w:line="300" w:lineRule="exact"/>
              <w:jc w:val="left"/>
              <w:rPr>
                <w:rFonts w:ascii="仿宋_GB2312" w:eastAsia="仿宋_GB2312"/>
              </w:rPr>
            </w:pPr>
            <w:r>
              <w:rPr>
                <w:rFonts w:ascii="仿宋_GB2312" w:eastAsia="仿宋_GB2312"/>
              </w:rPr>
              <w:t>10231.40</w:t>
            </w:r>
          </w:p>
        </w:tc>
        <w:tc>
          <w:tcPr>
            <w:tcW w:w="2976" w:type="dxa"/>
            <w:vAlign w:val="center"/>
          </w:tcPr>
          <w:p>
            <w:pPr>
              <w:spacing w:line="300" w:lineRule="exact"/>
              <w:jc w:val="left"/>
              <w:rPr>
                <w:rFonts w:ascii="仿宋_GB2312" w:eastAsia="仿宋_GB2312"/>
              </w:rPr>
            </w:pPr>
            <w:r>
              <w:rPr>
                <w:rFonts w:hint="eastAsia" w:ascii="仿宋_GB2312" w:eastAsia="仿宋_GB2312"/>
              </w:rPr>
              <w:t>负责城乡居民最低生活保障、五保供养、医疗救助。组织协调全县防灾减灾救灾工作。组织核查并统一发布灾情。组织指导救灾捐赠工作，负责国内外救灾捐赠款物的接收管理和分配使用。</w:t>
            </w:r>
          </w:p>
        </w:tc>
        <w:tc>
          <w:tcPr>
            <w:tcW w:w="2976" w:type="dxa"/>
            <w:vAlign w:val="center"/>
          </w:tcPr>
          <w:p>
            <w:pPr>
              <w:spacing w:line="300" w:lineRule="exact"/>
              <w:jc w:val="left"/>
              <w:rPr>
                <w:rFonts w:ascii="仿宋_GB2312" w:eastAsia="仿宋_GB2312"/>
              </w:rPr>
            </w:pPr>
            <w:r>
              <w:rPr>
                <w:rFonts w:hint="eastAsia" w:ascii="仿宋_GB2312" w:eastAsia="仿宋_GB2312"/>
              </w:rPr>
              <w:t>完善城乡社会救助制度，实施分类救助，应保尽保</w:t>
            </w:r>
            <w:r>
              <w:rPr>
                <w:rFonts w:ascii="仿宋_GB2312" w:eastAsia="仿宋_GB2312"/>
              </w:rPr>
              <w:t>,</w:t>
            </w:r>
            <w:r>
              <w:rPr>
                <w:rFonts w:hint="eastAsia" w:ascii="仿宋_GB2312" w:eastAsia="仿宋_GB2312"/>
              </w:rPr>
              <w:t>动态管理。完善全县自然灾害救助应急体系。实施分类救助，保障受灾群众基本生活。</w:t>
            </w:r>
          </w:p>
        </w:tc>
        <w:tc>
          <w:tcPr>
            <w:tcW w:w="1417" w:type="dxa"/>
            <w:vAlign w:val="center"/>
          </w:tcPr>
          <w:p>
            <w:pPr>
              <w:spacing w:line="300" w:lineRule="exact"/>
              <w:jc w:val="left"/>
              <w:rPr>
                <w:rFonts w:ascii="仿宋_GB2312" w:eastAsia="仿宋_GB2312"/>
              </w:rPr>
            </w:pPr>
          </w:p>
        </w:tc>
        <w:tc>
          <w:tcPr>
            <w:tcW w:w="737" w:type="dxa"/>
            <w:vAlign w:val="center"/>
          </w:tcPr>
          <w:p>
            <w:pPr>
              <w:spacing w:line="300" w:lineRule="exact"/>
              <w:jc w:val="center"/>
              <w:rPr>
                <w:rFonts w:ascii="仿宋_GB2312" w:eastAsia="仿宋_GB2312"/>
              </w:rPr>
            </w:pPr>
          </w:p>
        </w:tc>
        <w:tc>
          <w:tcPr>
            <w:tcW w:w="737" w:type="dxa"/>
            <w:vAlign w:val="center"/>
          </w:tcPr>
          <w:p>
            <w:pPr>
              <w:spacing w:line="300" w:lineRule="exact"/>
              <w:jc w:val="center"/>
              <w:rPr>
                <w:rFonts w:ascii="仿宋_GB2312" w:eastAsia="仿宋_GB2312"/>
              </w:rPr>
            </w:pPr>
          </w:p>
        </w:tc>
        <w:tc>
          <w:tcPr>
            <w:tcW w:w="737" w:type="dxa"/>
            <w:vAlign w:val="center"/>
          </w:tcPr>
          <w:p>
            <w:pPr>
              <w:spacing w:line="300" w:lineRule="exact"/>
              <w:jc w:val="center"/>
              <w:rPr>
                <w:rFonts w:ascii="仿宋_GB2312" w:eastAsia="仿宋_GB2312"/>
              </w:rPr>
            </w:pPr>
          </w:p>
        </w:tc>
        <w:tc>
          <w:tcPr>
            <w:tcW w:w="737" w:type="dxa"/>
            <w:vAlign w:val="center"/>
          </w:tcPr>
          <w:p>
            <w:pPr>
              <w:spacing w:line="3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b/>
              </w:rPr>
            </w:pPr>
            <w:r>
              <w:rPr>
                <w:rFonts w:hint="eastAsia" w:ascii="仿宋_GB2312" w:eastAsia="仿宋_GB2312"/>
                <w:b/>
              </w:rPr>
              <w:t>　　</w:t>
            </w:r>
            <w:r>
              <w:rPr>
                <w:rFonts w:ascii="仿宋_GB2312" w:eastAsia="仿宋_GB2312"/>
                <w:b/>
              </w:rPr>
              <w:t>1</w:t>
            </w:r>
            <w:r>
              <w:rPr>
                <w:rFonts w:hint="eastAsia" w:ascii="仿宋_GB2312" w:eastAsia="仿宋_GB2312"/>
                <w:b/>
              </w:rPr>
              <w:t>、困难群众基本生活保障</w:t>
            </w:r>
          </w:p>
        </w:tc>
        <w:tc>
          <w:tcPr>
            <w:tcW w:w="1276" w:type="dxa"/>
            <w:vMerge w:val="restart"/>
            <w:vAlign w:val="center"/>
          </w:tcPr>
          <w:p>
            <w:pPr>
              <w:spacing w:line="300" w:lineRule="exact"/>
              <w:jc w:val="left"/>
              <w:rPr>
                <w:rFonts w:ascii="仿宋_GB2312" w:eastAsia="仿宋_GB2312"/>
              </w:rPr>
            </w:pPr>
            <w:r>
              <w:rPr>
                <w:rFonts w:ascii="仿宋_GB2312" w:eastAsia="仿宋_GB2312"/>
              </w:rPr>
              <w:t>9312.90</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负责符合条件的城乡居民最低生活保障、五保户的集中供养和分散供养、临时生活救助工作、全县城镇低收入家庭收入核定管理工作、保障孤儿基本生活，加强流浪乞讨人员救助管理，做好留守老人、妇女、儿童和残疾人护理保障工作。保障孤儿基本生活，组织开展全县孤残儿童手术康复，推进儿童福利机构基础设施建设。加快流浪乞讨人员、流浪未成年人救助场所的设施建设。开展未成年人社会保护试点工作。</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实行动态管理，做到应保尽保、应退尽退。农村五保供养标准、集中供养能力逐步提高。缓解意外事件对特殊困难家庭造成的生活困难。准确核查认定低保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tc>
        <w:tc>
          <w:tcPr>
            <w:tcW w:w="1417" w:type="dxa"/>
            <w:vAlign w:val="center"/>
          </w:tcPr>
          <w:p>
            <w:pPr>
              <w:spacing w:line="300" w:lineRule="exact"/>
              <w:jc w:val="left"/>
              <w:rPr>
                <w:rFonts w:ascii="仿宋_GB2312" w:eastAsia="仿宋_GB2312"/>
              </w:rPr>
            </w:pPr>
            <w:r>
              <w:rPr>
                <w:rFonts w:hint="eastAsia" w:ascii="仿宋_GB2312" w:eastAsia="仿宋_GB2312"/>
              </w:rPr>
              <w:t>申请低保人员核实率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流浪救助设施完好率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80%</w:t>
            </w:r>
          </w:p>
        </w:tc>
        <w:tc>
          <w:tcPr>
            <w:tcW w:w="737" w:type="dxa"/>
            <w:vAlign w:val="center"/>
          </w:tcPr>
          <w:p>
            <w:pPr>
              <w:spacing w:line="300" w:lineRule="exact"/>
              <w:jc w:val="center"/>
              <w:rPr>
                <w:rFonts w:ascii="仿宋_GB2312" w:eastAsia="仿宋_GB2312"/>
              </w:rPr>
            </w:pPr>
            <w:r>
              <w:rPr>
                <w:rFonts w:ascii="仿宋_GB2312" w:eastAsia="仿宋_GB2312"/>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申请低保人员核实率</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50%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45%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40%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患病孤残儿童救助治愈率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99%</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95%</w:t>
            </w:r>
          </w:p>
        </w:tc>
        <w:tc>
          <w:tcPr>
            <w:tcW w:w="737" w:type="dxa"/>
            <w:vAlign w:val="center"/>
          </w:tcPr>
          <w:p>
            <w:pPr>
              <w:spacing w:line="300" w:lineRule="exact"/>
              <w:jc w:val="center"/>
              <w:rPr>
                <w:rFonts w:ascii="仿宋_GB2312" w:eastAsia="仿宋_GB2312"/>
              </w:rPr>
            </w:pPr>
            <w:r>
              <w:rPr>
                <w:rFonts w:ascii="仿宋_GB2312" w:eastAsia="仿宋_GB2312"/>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申请低保人员核实率</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30%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25%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20%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五保供养保障率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ascii="仿宋_GB2312" w:eastAsia="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城乡居民低保保障率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ascii="仿宋_GB2312" w:eastAsia="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孤儿基本生活保障率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99%</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95%</w:t>
            </w:r>
          </w:p>
        </w:tc>
        <w:tc>
          <w:tcPr>
            <w:tcW w:w="737" w:type="dxa"/>
            <w:vAlign w:val="center"/>
          </w:tcPr>
          <w:p>
            <w:pPr>
              <w:spacing w:line="300" w:lineRule="exact"/>
              <w:jc w:val="center"/>
              <w:rPr>
                <w:rFonts w:ascii="仿宋_GB2312" w:eastAsia="仿宋_GB2312"/>
              </w:rPr>
            </w:pPr>
            <w:r>
              <w:rPr>
                <w:rFonts w:ascii="仿宋_GB2312" w:eastAsia="仿宋_GB2312"/>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儿童福利机构建设按时建成率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80%</w:t>
            </w:r>
          </w:p>
        </w:tc>
        <w:tc>
          <w:tcPr>
            <w:tcW w:w="737" w:type="dxa"/>
            <w:vAlign w:val="center"/>
          </w:tcPr>
          <w:p>
            <w:pPr>
              <w:spacing w:line="300" w:lineRule="exact"/>
              <w:jc w:val="center"/>
              <w:rPr>
                <w:rFonts w:ascii="仿宋_GB2312" w:eastAsia="仿宋_GB2312"/>
              </w:rPr>
            </w:pPr>
            <w:r>
              <w:rPr>
                <w:rFonts w:ascii="仿宋_GB2312" w:eastAsia="仿宋_GB2312"/>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流浪应救人员的救助率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98%</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95%</w:t>
            </w:r>
          </w:p>
        </w:tc>
        <w:tc>
          <w:tcPr>
            <w:tcW w:w="737" w:type="dxa"/>
            <w:vAlign w:val="center"/>
          </w:tcPr>
          <w:p>
            <w:pPr>
              <w:spacing w:line="300" w:lineRule="exact"/>
              <w:jc w:val="center"/>
              <w:rPr>
                <w:rFonts w:ascii="仿宋_GB2312" w:eastAsia="仿宋_GB2312"/>
              </w:rPr>
            </w:pPr>
            <w:r>
              <w:rPr>
                <w:rFonts w:ascii="仿宋_GB2312" w:eastAsia="仿宋_GB2312"/>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b/>
              </w:rPr>
            </w:pPr>
            <w:r>
              <w:rPr>
                <w:rFonts w:hint="eastAsia" w:ascii="仿宋_GB2312" w:eastAsia="仿宋_GB2312"/>
                <w:b/>
              </w:rPr>
              <w:t>　　</w:t>
            </w:r>
            <w:r>
              <w:rPr>
                <w:rFonts w:ascii="仿宋_GB2312" w:eastAsia="仿宋_GB2312"/>
                <w:b/>
              </w:rPr>
              <w:t>2</w:t>
            </w:r>
            <w:r>
              <w:rPr>
                <w:rFonts w:hint="eastAsia" w:ascii="仿宋_GB2312" w:eastAsia="仿宋_GB2312"/>
                <w:b/>
              </w:rPr>
              <w:t>、医疗救助</w:t>
            </w:r>
          </w:p>
        </w:tc>
        <w:tc>
          <w:tcPr>
            <w:tcW w:w="1276" w:type="dxa"/>
            <w:vMerge w:val="restart"/>
            <w:vAlign w:val="center"/>
          </w:tcPr>
          <w:p>
            <w:pPr>
              <w:spacing w:line="300" w:lineRule="exact"/>
              <w:jc w:val="left"/>
              <w:rPr>
                <w:rFonts w:ascii="仿宋_GB2312" w:eastAsia="仿宋_GB2312"/>
              </w:rPr>
            </w:pPr>
            <w:r>
              <w:rPr>
                <w:rFonts w:ascii="仿宋_GB2312" w:eastAsia="仿宋_GB2312"/>
              </w:rPr>
              <w:t>812.40</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负责城乡居民、优抚对象医疗救助、重特大疾病救助工作。</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保障困难群众获得医疗救助，降低困难居民医疗负担。优抚对象的医疗困难得到有效解决。</w:t>
            </w:r>
          </w:p>
        </w:tc>
        <w:tc>
          <w:tcPr>
            <w:tcW w:w="1417" w:type="dxa"/>
            <w:vAlign w:val="center"/>
          </w:tcPr>
          <w:p>
            <w:pPr>
              <w:spacing w:line="300" w:lineRule="exact"/>
              <w:jc w:val="left"/>
              <w:rPr>
                <w:rFonts w:ascii="仿宋_GB2312" w:eastAsia="仿宋_GB2312"/>
              </w:rPr>
            </w:pPr>
            <w:r>
              <w:rPr>
                <w:rFonts w:hint="eastAsia" w:ascii="仿宋_GB2312" w:eastAsia="仿宋_GB2312"/>
              </w:rPr>
              <w:t>优抚对象医疗补助到位率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99%</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98%</w:t>
            </w:r>
          </w:p>
        </w:tc>
        <w:tc>
          <w:tcPr>
            <w:tcW w:w="737" w:type="dxa"/>
            <w:vAlign w:val="center"/>
          </w:tcPr>
          <w:p>
            <w:pPr>
              <w:spacing w:line="300" w:lineRule="exact"/>
              <w:jc w:val="center"/>
              <w:rPr>
                <w:rFonts w:ascii="仿宋_GB2312" w:eastAsia="仿宋_GB2312"/>
              </w:rPr>
            </w:pPr>
            <w:r>
              <w:rPr>
                <w:rFonts w:ascii="仿宋_GB2312" w:eastAsia="仿宋_GB2312"/>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参保资助率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80%</w:t>
            </w:r>
          </w:p>
        </w:tc>
        <w:tc>
          <w:tcPr>
            <w:tcW w:w="737" w:type="dxa"/>
            <w:vAlign w:val="center"/>
          </w:tcPr>
          <w:p>
            <w:pPr>
              <w:spacing w:line="300" w:lineRule="exact"/>
              <w:jc w:val="center"/>
              <w:rPr>
                <w:rFonts w:ascii="仿宋_GB2312" w:eastAsia="仿宋_GB2312"/>
              </w:rPr>
            </w:pPr>
            <w:r>
              <w:rPr>
                <w:rFonts w:ascii="仿宋_GB2312" w:eastAsia="仿宋_GB2312"/>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救助比例</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70%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55%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50%</w:t>
            </w:r>
          </w:p>
        </w:tc>
        <w:tc>
          <w:tcPr>
            <w:tcW w:w="737" w:type="dxa"/>
            <w:vAlign w:val="center"/>
          </w:tcPr>
          <w:p>
            <w:pPr>
              <w:spacing w:line="300" w:lineRule="exact"/>
              <w:jc w:val="center"/>
              <w:rPr>
                <w:rFonts w:ascii="仿宋_GB2312" w:eastAsia="仿宋_GB2312"/>
              </w:rPr>
            </w:pPr>
            <w:r>
              <w:rPr>
                <w:rFonts w:ascii="仿宋_GB2312" w:eastAsia="仿宋_GB2312"/>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b/>
              </w:rPr>
            </w:pPr>
            <w:r>
              <w:rPr>
                <w:rFonts w:hint="eastAsia" w:ascii="仿宋_GB2312" w:eastAsia="仿宋_GB2312"/>
                <w:b/>
              </w:rPr>
              <w:t>　　</w:t>
            </w:r>
            <w:r>
              <w:rPr>
                <w:rFonts w:ascii="仿宋_GB2312" w:eastAsia="仿宋_GB2312"/>
                <w:b/>
              </w:rPr>
              <w:t>3</w:t>
            </w:r>
            <w:r>
              <w:rPr>
                <w:rFonts w:hint="eastAsia" w:ascii="仿宋_GB2312" w:eastAsia="仿宋_GB2312"/>
                <w:b/>
              </w:rPr>
              <w:t>、自然灾害救助</w:t>
            </w:r>
          </w:p>
        </w:tc>
        <w:tc>
          <w:tcPr>
            <w:tcW w:w="1276" w:type="dxa"/>
            <w:vMerge w:val="restart"/>
            <w:vAlign w:val="center"/>
          </w:tcPr>
          <w:p>
            <w:pPr>
              <w:spacing w:line="300" w:lineRule="exact"/>
              <w:jc w:val="left"/>
              <w:rPr>
                <w:rFonts w:ascii="仿宋_GB2312" w:eastAsia="仿宋_GB2312"/>
              </w:rPr>
            </w:pPr>
            <w:r>
              <w:rPr>
                <w:rFonts w:ascii="仿宋_GB2312" w:eastAsia="仿宋_GB2312"/>
              </w:rPr>
              <w:t>106.10</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负责全县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县救灾捐赠工作。</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提高公民避灾自救能力和防灾减灾意识，提升全县重大自然灾害防御能力；完善县、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vAlign w:val="center"/>
          </w:tcPr>
          <w:p>
            <w:pPr>
              <w:spacing w:line="300" w:lineRule="exact"/>
              <w:jc w:val="left"/>
              <w:rPr>
                <w:rFonts w:ascii="仿宋_GB2312" w:eastAsia="仿宋_GB2312"/>
              </w:rPr>
            </w:pPr>
            <w:r>
              <w:rPr>
                <w:rFonts w:hint="eastAsia" w:ascii="仿宋_GB2312" w:eastAsia="仿宋_GB2312"/>
              </w:rPr>
              <w:t>突发灾害报灾时效性和准确性</w:t>
            </w:r>
          </w:p>
        </w:tc>
        <w:tc>
          <w:tcPr>
            <w:tcW w:w="737" w:type="dxa"/>
            <w:vAlign w:val="center"/>
          </w:tcPr>
          <w:p>
            <w:pPr>
              <w:spacing w:line="300" w:lineRule="exact"/>
              <w:jc w:val="center"/>
              <w:rPr>
                <w:rFonts w:ascii="仿宋_GB2312" w:eastAsia="仿宋_GB2312"/>
              </w:rPr>
            </w:pPr>
            <w:r>
              <w:rPr>
                <w:rFonts w:ascii="仿宋_GB2312" w:eastAsia="仿宋_GB2312"/>
              </w:rPr>
              <w:t>12</w:t>
            </w:r>
            <w:r>
              <w:rPr>
                <w:rFonts w:hint="eastAsia" w:ascii="仿宋_GB2312" w:eastAsia="仿宋_GB2312"/>
              </w:rPr>
              <w:t>小时内，准确度</w:t>
            </w:r>
            <w:r>
              <w:rPr>
                <w:rFonts w:ascii="仿宋_GB2312" w:eastAsia="仿宋_GB2312"/>
              </w:rPr>
              <w:t>98%</w:t>
            </w:r>
            <w:r>
              <w:rPr>
                <w:rFonts w:hint="eastAsia" w:ascii="仿宋_GB2312" w:eastAsia="仿宋_GB2312"/>
              </w:rPr>
              <w:t>及以上</w:t>
            </w:r>
          </w:p>
        </w:tc>
        <w:tc>
          <w:tcPr>
            <w:tcW w:w="737" w:type="dxa"/>
            <w:vAlign w:val="center"/>
          </w:tcPr>
          <w:p>
            <w:pPr>
              <w:spacing w:line="300" w:lineRule="exact"/>
              <w:jc w:val="center"/>
              <w:rPr>
                <w:rFonts w:ascii="仿宋_GB2312" w:eastAsia="仿宋_GB2312"/>
              </w:rPr>
            </w:pPr>
            <w:r>
              <w:rPr>
                <w:rFonts w:ascii="仿宋_GB2312" w:eastAsia="仿宋_GB2312"/>
              </w:rPr>
              <w:t>24</w:t>
            </w:r>
            <w:r>
              <w:rPr>
                <w:rFonts w:hint="eastAsia" w:ascii="仿宋_GB2312" w:eastAsia="仿宋_GB2312"/>
              </w:rPr>
              <w:t>小时内，准确度</w:t>
            </w:r>
            <w:r>
              <w:rPr>
                <w:rFonts w:ascii="仿宋_GB2312" w:eastAsia="仿宋_GB2312"/>
              </w:rPr>
              <w:t>95%</w:t>
            </w:r>
            <w:r>
              <w:rPr>
                <w:rFonts w:hint="eastAsia" w:ascii="仿宋_GB2312" w:eastAsia="仿宋_GB2312"/>
              </w:rPr>
              <w:t>及以上</w:t>
            </w:r>
          </w:p>
        </w:tc>
        <w:tc>
          <w:tcPr>
            <w:tcW w:w="737" w:type="dxa"/>
            <w:vAlign w:val="center"/>
          </w:tcPr>
          <w:p>
            <w:pPr>
              <w:spacing w:line="300" w:lineRule="exact"/>
              <w:jc w:val="center"/>
              <w:rPr>
                <w:rFonts w:ascii="仿宋_GB2312" w:eastAsia="仿宋_GB2312"/>
              </w:rPr>
            </w:pPr>
            <w:r>
              <w:rPr>
                <w:rFonts w:ascii="仿宋_GB2312" w:eastAsia="仿宋_GB2312"/>
              </w:rPr>
              <w:t>24</w:t>
            </w:r>
            <w:r>
              <w:rPr>
                <w:rFonts w:hint="eastAsia" w:ascii="仿宋_GB2312" w:eastAsia="仿宋_GB2312"/>
              </w:rPr>
              <w:t>小时内，准确度</w:t>
            </w:r>
            <w:r>
              <w:rPr>
                <w:rFonts w:ascii="仿宋_GB2312" w:eastAsia="仿宋_GB2312"/>
              </w:rPr>
              <w:t>90%</w:t>
            </w:r>
            <w:r>
              <w:rPr>
                <w:rFonts w:hint="eastAsia" w:ascii="仿宋_GB2312" w:eastAsia="仿宋_GB2312"/>
              </w:rPr>
              <w:t>及以上</w:t>
            </w:r>
          </w:p>
        </w:tc>
        <w:tc>
          <w:tcPr>
            <w:tcW w:w="737" w:type="dxa"/>
            <w:vAlign w:val="center"/>
          </w:tcPr>
          <w:p>
            <w:pPr>
              <w:spacing w:line="300" w:lineRule="exact"/>
              <w:jc w:val="center"/>
              <w:rPr>
                <w:rFonts w:ascii="仿宋_GB2312" w:eastAsia="仿宋_GB2312"/>
              </w:rPr>
            </w:pPr>
            <w:r>
              <w:rPr>
                <w:rFonts w:hint="eastAsia" w:ascii="仿宋_GB2312" w:eastAsia="仿宋_GB2312"/>
              </w:rPr>
              <w:t>超出</w:t>
            </w:r>
            <w:r>
              <w:rPr>
                <w:rFonts w:ascii="仿宋_GB2312" w:eastAsia="仿宋_GB2312"/>
              </w:rPr>
              <w:t>24</w:t>
            </w:r>
            <w:r>
              <w:rPr>
                <w:rFonts w:hint="eastAsia" w:ascii="仿宋_GB2312" w:eastAsia="仿宋_GB2312"/>
              </w:rPr>
              <w:t>小时，准确度低于</w:t>
            </w:r>
            <w:r>
              <w:rPr>
                <w:rFonts w:ascii="仿宋_GB2312" w:eastAsia="仿宋_GB2312"/>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县级救灾物资运达灾区时间</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12</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18</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24</w:t>
            </w:r>
          </w:p>
        </w:tc>
        <w:tc>
          <w:tcPr>
            <w:tcW w:w="737" w:type="dxa"/>
            <w:vAlign w:val="center"/>
          </w:tcPr>
          <w:p>
            <w:pPr>
              <w:spacing w:line="300" w:lineRule="exact"/>
              <w:jc w:val="center"/>
              <w:rPr>
                <w:rFonts w:ascii="仿宋_GB2312" w:eastAsia="仿宋_GB2312"/>
              </w:rPr>
            </w:pPr>
            <w:r>
              <w:rPr>
                <w:rFonts w:ascii="仿宋_GB2312" w:eastAsia="仿宋_GB2312"/>
              </w:rPr>
              <w:t>&gt;24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物资保障受灾群众人数覆盖率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85%</w:t>
            </w:r>
          </w:p>
        </w:tc>
        <w:tc>
          <w:tcPr>
            <w:tcW w:w="737" w:type="dxa"/>
            <w:vAlign w:val="center"/>
          </w:tcPr>
          <w:p>
            <w:pPr>
              <w:spacing w:line="300" w:lineRule="exact"/>
              <w:jc w:val="center"/>
              <w:rPr>
                <w:rFonts w:ascii="仿宋_GB2312" w:eastAsia="仿宋_GB2312"/>
              </w:rPr>
            </w:pPr>
            <w:r>
              <w:rPr>
                <w:rFonts w:ascii="仿宋_GB2312" w:eastAsia="仿宋_GB2312"/>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救灾捐赠资金到位率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80%</w:t>
            </w:r>
          </w:p>
        </w:tc>
        <w:tc>
          <w:tcPr>
            <w:tcW w:w="737" w:type="dxa"/>
            <w:vAlign w:val="center"/>
          </w:tcPr>
          <w:p>
            <w:pPr>
              <w:spacing w:line="300" w:lineRule="exact"/>
              <w:jc w:val="center"/>
              <w:rPr>
                <w:rFonts w:ascii="仿宋_GB2312" w:eastAsia="仿宋_GB2312"/>
              </w:rPr>
            </w:pPr>
            <w:r>
              <w:rPr>
                <w:rFonts w:ascii="仿宋_GB2312" w:eastAsia="仿宋_GB2312"/>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农村住房保险理赔率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80%</w:t>
            </w:r>
          </w:p>
        </w:tc>
        <w:tc>
          <w:tcPr>
            <w:tcW w:w="737" w:type="dxa"/>
            <w:vAlign w:val="center"/>
          </w:tcPr>
          <w:p>
            <w:pPr>
              <w:spacing w:line="300" w:lineRule="exact"/>
              <w:jc w:val="center"/>
              <w:rPr>
                <w:rFonts w:ascii="仿宋_GB2312" w:eastAsia="仿宋_GB2312"/>
              </w:rPr>
            </w:pPr>
            <w:r>
              <w:rPr>
                <w:rFonts w:ascii="仿宋_GB2312" w:eastAsia="仿宋_GB2312"/>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自然灾害救助应急预案演练次数</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2</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2</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1</w:t>
            </w:r>
          </w:p>
        </w:tc>
        <w:tc>
          <w:tcPr>
            <w:tcW w:w="737" w:type="dxa"/>
            <w:vAlign w:val="center"/>
          </w:tcPr>
          <w:p>
            <w:pPr>
              <w:spacing w:line="300" w:lineRule="exact"/>
              <w:jc w:val="center"/>
              <w:rPr>
                <w:rFonts w:ascii="仿宋_GB2312" w:eastAsia="仿宋_GB2312"/>
              </w:rPr>
            </w:pPr>
            <w:r>
              <w:rPr>
                <w:rFonts w:ascii="仿宋_GB2312" w:eastAsia="仿宋_GB2312"/>
              </w:rPr>
              <w:t>&lt;1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b/>
              </w:rPr>
            </w:pPr>
            <w:r>
              <w:rPr>
                <w:rFonts w:hint="eastAsia" w:ascii="仿宋_GB2312" w:eastAsia="仿宋_GB2312"/>
                <w:b/>
              </w:rPr>
              <w:t>二、社会福利管理</w:t>
            </w:r>
          </w:p>
        </w:tc>
        <w:tc>
          <w:tcPr>
            <w:tcW w:w="1276" w:type="dxa"/>
            <w:vAlign w:val="center"/>
          </w:tcPr>
          <w:p>
            <w:pPr>
              <w:spacing w:line="300" w:lineRule="exact"/>
              <w:jc w:val="left"/>
              <w:rPr>
                <w:rFonts w:ascii="仿宋_GB2312" w:eastAsia="仿宋_GB2312"/>
              </w:rPr>
            </w:pPr>
            <w:r>
              <w:rPr>
                <w:rFonts w:ascii="仿宋_GB2312" w:eastAsia="仿宋_GB2312"/>
              </w:rPr>
              <w:t>1085.30</w:t>
            </w:r>
          </w:p>
        </w:tc>
        <w:tc>
          <w:tcPr>
            <w:tcW w:w="2976" w:type="dxa"/>
            <w:vAlign w:val="center"/>
          </w:tcPr>
          <w:p>
            <w:pPr>
              <w:spacing w:line="300" w:lineRule="exact"/>
              <w:jc w:val="left"/>
              <w:rPr>
                <w:rFonts w:ascii="仿宋_GB2312" w:eastAsia="仿宋_GB2312"/>
              </w:rPr>
            </w:pPr>
            <w:r>
              <w:rPr>
                <w:rFonts w:hint="eastAsia" w:ascii="仿宋_GB2312" w:eastAsia="仿宋_GB2312"/>
              </w:rPr>
              <w:t>对残疾人、孤儿、流浪乞讨人员、未成年人等特殊群体权益保护，发展慈善事业，推进殡葬改革，发行福利彩票，促进老龄事业发展。</w:t>
            </w:r>
          </w:p>
        </w:tc>
        <w:tc>
          <w:tcPr>
            <w:tcW w:w="2976" w:type="dxa"/>
            <w:vAlign w:val="center"/>
          </w:tcPr>
          <w:p>
            <w:pPr>
              <w:spacing w:line="300" w:lineRule="exact"/>
              <w:jc w:val="left"/>
              <w:rPr>
                <w:rFonts w:ascii="仿宋_GB2312" w:eastAsia="仿宋_GB2312"/>
              </w:rPr>
            </w:pPr>
            <w:r>
              <w:rPr>
                <w:rFonts w:hint="eastAsia" w:ascii="仿宋_GB2312" w:eastAsia="仿宋_GB2312"/>
              </w:rPr>
              <w:t>提高孤残儿童护理员专业化水平；建立起县乡村三级儿童服务网络。流浪乞讨人员、流浪未成年人救助设施齐全、功能污水完善，对未成年人社会保护提供必要的保护场所。殡葬设施和设备现代、节能、节地、环保，惠民殡葬政策普及全县特殊困难群体，群众办理丧事文明节俭。维护老年人合法权益。</w:t>
            </w:r>
          </w:p>
        </w:tc>
        <w:tc>
          <w:tcPr>
            <w:tcW w:w="1417" w:type="dxa"/>
            <w:vAlign w:val="center"/>
          </w:tcPr>
          <w:p>
            <w:pPr>
              <w:spacing w:line="300" w:lineRule="exact"/>
              <w:jc w:val="left"/>
              <w:rPr>
                <w:rFonts w:ascii="仿宋_GB2312" w:eastAsia="仿宋_GB2312"/>
              </w:rPr>
            </w:pPr>
          </w:p>
        </w:tc>
        <w:tc>
          <w:tcPr>
            <w:tcW w:w="737" w:type="dxa"/>
            <w:vAlign w:val="center"/>
          </w:tcPr>
          <w:p>
            <w:pPr>
              <w:spacing w:line="300" w:lineRule="exact"/>
              <w:jc w:val="center"/>
              <w:rPr>
                <w:rFonts w:ascii="仿宋_GB2312" w:eastAsia="仿宋_GB2312"/>
              </w:rPr>
            </w:pPr>
          </w:p>
        </w:tc>
        <w:tc>
          <w:tcPr>
            <w:tcW w:w="737" w:type="dxa"/>
            <w:vAlign w:val="center"/>
          </w:tcPr>
          <w:p>
            <w:pPr>
              <w:spacing w:line="300" w:lineRule="exact"/>
              <w:jc w:val="center"/>
              <w:rPr>
                <w:rFonts w:ascii="仿宋_GB2312" w:eastAsia="仿宋_GB2312"/>
              </w:rPr>
            </w:pPr>
          </w:p>
        </w:tc>
        <w:tc>
          <w:tcPr>
            <w:tcW w:w="737" w:type="dxa"/>
            <w:vAlign w:val="center"/>
          </w:tcPr>
          <w:p>
            <w:pPr>
              <w:spacing w:line="300" w:lineRule="exact"/>
              <w:jc w:val="center"/>
              <w:rPr>
                <w:rFonts w:ascii="仿宋_GB2312" w:eastAsia="仿宋_GB2312"/>
              </w:rPr>
            </w:pPr>
          </w:p>
        </w:tc>
        <w:tc>
          <w:tcPr>
            <w:tcW w:w="737" w:type="dxa"/>
            <w:vAlign w:val="center"/>
          </w:tcPr>
          <w:p>
            <w:pPr>
              <w:spacing w:line="3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b/>
              </w:rPr>
            </w:pPr>
            <w:r>
              <w:rPr>
                <w:rFonts w:hint="eastAsia" w:ascii="仿宋_GB2312" w:eastAsia="仿宋_GB2312"/>
                <w:b/>
              </w:rPr>
              <w:t>　　</w:t>
            </w:r>
            <w:r>
              <w:rPr>
                <w:rFonts w:ascii="仿宋_GB2312" w:eastAsia="仿宋_GB2312"/>
                <w:b/>
              </w:rPr>
              <w:t>1</w:t>
            </w:r>
            <w:r>
              <w:rPr>
                <w:rFonts w:hint="eastAsia" w:ascii="仿宋_GB2312" w:eastAsia="仿宋_GB2312"/>
                <w:b/>
              </w:rPr>
              <w:t>、养老服务体系建设</w:t>
            </w:r>
          </w:p>
        </w:tc>
        <w:tc>
          <w:tcPr>
            <w:tcW w:w="1276" w:type="dxa"/>
            <w:vMerge w:val="restart"/>
            <w:vAlign w:val="center"/>
          </w:tcPr>
          <w:p>
            <w:pPr>
              <w:spacing w:line="300" w:lineRule="exact"/>
              <w:jc w:val="left"/>
              <w:rPr>
                <w:rFonts w:ascii="仿宋_GB2312" w:eastAsia="仿宋_GB2312"/>
              </w:rPr>
            </w:pPr>
            <w:r>
              <w:rPr>
                <w:rFonts w:ascii="仿宋_GB2312" w:eastAsia="仿宋_GB2312"/>
              </w:rPr>
              <w:t>850.58</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落实国家和县老龄事业发展规划，加快养老服务设施建设，落实全县养老机构设立和管理工作；加快养老服务业发展，推进老年人福利健康快速发展。建立全县贫困失能老人护理补贴制度，实施爱心护理工程。</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全面建成以居家为基础、社区为依托、机构为支撑，功能完善、规模适度、覆盖城乡的养老服务体系，实现我县老人老有所养，老有所依，老有所乐，老有所为的目标。</w:t>
            </w:r>
          </w:p>
        </w:tc>
        <w:tc>
          <w:tcPr>
            <w:tcW w:w="1417" w:type="dxa"/>
            <w:vAlign w:val="center"/>
          </w:tcPr>
          <w:p>
            <w:pPr>
              <w:spacing w:line="300" w:lineRule="exact"/>
              <w:jc w:val="left"/>
              <w:rPr>
                <w:rFonts w:ascii="仿宋_GB2312" w:eastAsia="仿宋_GB2312"/>
              </w:rPr>
            </w:pPr>
            <w:r>
              <w:rPr>
                <w:rFonts w:hint="eastAsia" w:ascii="仿宋_GB2312" w:eastAsia="仿宋_GB2312"/>
              </w:rPr>
              <w:t>养老机构一次性建设和运营奖补率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70%</w:t>
            </w:r>
          </w:p>
        </w:tc>
        <w:tc>
          <w:tcPr>
            <w:tcW w:w="737" w:type="dxa"/>
            <w:vAlign w:val="center"/>
          </w:tcPr>
          <w:p>
            <w:pPr>
              <w:spacing w:line="300" w:lineRule="exact"/>
              <w:jc w:val="center"/>
              <w:rPr>
                <w:rFonts w:ascii="仿宋_GB2312" w:eastAsia="仿宋_GB2312"/>
              </w:rPr>
            </w:pPr>
            <w:r>
              <w:rPr>
                <w:rFonts w:ascii="仿宋_GB2312" w:eastAsia="仿宋_GB2312"/>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入住养老机构的老年人满意度</w:t>
            </w:r>
          </w:p>
        </w:tc>
        <w:tc>
          <w:tcPr>
            <w:tcW w:w="737" w:type="dxa"/>
            <w:vAlign w:val="center"/>
          </w:tcPr>
          <w:p>
            <w:pPr>
              <w:spacing w:line="300" w:lineRule="exact"/>
              <w:jc w:val="center"/>
              <w:rPr>
                <w:rFonts w:ascii="仿宋_GB2312" w:eastAsia="仿宋_GB2312"/>
              </w:rPr>
            </w:pPr>
            <w:r>
              <w:rPr>
                <w:rFonts w:hint="eastAsia" w:ascii="仿宋_GB2312" w:eastAsia="仿宋_GB2312"/>
              </w:rPr>
              <w:t>非常满意</w:t>
            </w:r>
          </w:p>
        </w:tc>
        <w:tc>
          <w:tcPr>
            <w:tcW w:w="737" w:type="dxa"/>
            <w:vAlign w:val="center"/>
          </w:tcPr>
          <w:p>
            <w:pPr>
              <w:spacing w:line="300" w:lineRule="exact"/>
              <w:jc w:val="center"/>
              <w:rPr>
                <w:rFonts w:ascii="仿宋_GB2312" w:eastAsia="仿宋_GB2312"/>
              </w:rPr>
            </w:pPr>
            <w:r>
              <w:rPr>
                <w:rFonts w:hint="eastAsia" w:ascii="仿宋_GB2312" w:eastAsia="仿宋_GB2312"/>
              </w:rPr>
              <w:t>满意</w:t>
            </w:r>
          </w:p>
        </w:tc>
        <w:tc>
          <w:tcPr>
            <w:tcW w:w="737" w:type="dxa"/>
            <w:vAlign w:val="center"/>
          </w:tcPr>
          <w:p>
            <w:pPr>
              <w:spacing w:line="300" w:lineRule="exact"/>
              <w:jc w:val="center"/>
              <w:rPr>
                <w:rFonts w:ascii="仿宋_GB2312" w:eastAsia="仿宋_GB2312"/>
              </w:rPr>
            </w:pPr>
            <w:r>
              <w:rPr>
                <w:rFonts w:hint="eastAsia" w:ascii="仿宋_GB2312" w:eastAsia="仿宋_GB2312"/>
              </w:rPr>
              <w:t>一般</w:t>
            </w:r>
          </w:p>
        </w:tc>
        <w:tc>
          <w:tcPr>
            <w:tcW w:w="737" w:type="dxa"/>
            <w:vAlign w:val="center"/>
          </w:tcPr>
          <w:p>
            <w:pPr>
              <w:spacing w:line="300" w:lineRule="exact"/>
              <w:jc w:val="center"/>
              <w:rPr>
                <w:rFonts w:ascii="仿宋_GB2312" w:eastAsia="仿宋_GB2312"/>
              </w:rPr>
            </w:pPr>
            <w:r>
              <w:rPr>
                <w:rFonts w:hint="eastAsia" w:ascii="仿宋_GB2312" w:eastAsia="仿宋_GB2312"/>
              </w:rPr>
              <w:t>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农村互助幸福院建设奖补率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70%</w:t>
            </w:r>
          </w:p>
        </w:tc>
        <w:tc>
          <w:tcPr>
            <w:tcW w:w="737" w:type="dxa"/>
            <w:vAlign w:val="center"/>
          </w:tcPr>
          <w:p>
            <w:pPr>
              <w:spacing w:line="300" w:lineRule="exact"/>
              <w:jc w:val="center"/>
              <w:rPr>
                <w:rFonts w:ascii="仿宋_GB2312" w:eastAsia="仿宋_GB2312"/>
              </w:rPr>
            </w:pPr>
            <w:r>
              <w:rPr>
                <w:rFonts w:ascii="仿宋_GB2312" w:eastAsia="仿宋_GB2312"/>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城乡居家养老服务中心建设奖补率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70%</w:t>
            </w:r>
          </w:p>
        </w:tc>
        <w:tc>
          <w:tcPr>
            <w:tcW w:w="737" w:type="dxa"/>
            <w:vAlign w:val="center"/>
          </w:tcPr>
          <w:p>
            <w:pPr>
              <w:spacing w:line="300" w:lineRule="exact"/>
              <w:jc w:val="center"/>
              <w:rPr>
                <w:rFonts w:ascii="仿宋_GB2312" w:eastAsia="仿宋_GB2312"/>
              </w:rPr>
            </w:pPr>
            <w:r>
              <w:rPr>
                <w:rFonts w:ascii="仿宋_GB2312" w:eastAsia="仿宋_GB2312"/>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b/>
              </w:rPr>
            </w:pPr>
            <w:r>
              <w:rPr>
                <w:rFonts w:hint="eastAsia" w:ascii="仿宋_GB2312" w:eastAsia="仿宋_GB2312"/>
                <w:b/>
              </w:rPr>
              <w:t>　　</w:t>
            </w:r>
            <w:r>
              <w:rPr>
                <w:rFonts w:ascii="仿宋_GB2312" w:eastAsia="仿宋_GB2312"/>
                <w:b/>
              </w:rPr>
              <w:t>2</w:t>
            </w:r>
            <w:r>
              <w:rPr>
                <w:rFonts w:hint="eastAsia" w:ascii="仿宋_GB2312" w:eastAsia="仿宋_GB2312"/>
                <w:b/>
              </w:rPr>
              <w:t>、福利和慈善事业</w:t>
            </w:r>
          </w:p>
        </w:tc>
        <w:tc>
          <w:tcPr>
            <w:tcW w:w="1276" w:type="dxa"/>
            <w:vMerge w:val="restart"/>
            <w:vAlign w:val="center"/>
          </w:tcPr>
          <w:p>
            <w:pPr>
              <w:spacing w:line="300" w:lineRule="exact"/>
              <w:jc w:val="left"/>
              <w:rPr>
                <w:rFonts w:ascii="仿宋_GB2312" w:eastAsia="仿宋_GB2312"/>
              </w:rPr>
            </w:pPr>
            <w:r>
              <w:rPr>
                <w:rFonts w:ascii="仿宋_GB2312" w:eastAsia="仿宋_GB2312"/>
              </w:rPr>
              <w:t>104.18</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推进全县慈善事业发展；负责全县福利企业认定初审、上报工作；指导全县开展精神病福利机构建设。</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切实保障福利企业残疾职工基本权益，为残障人提供优质矫形器。</w:t>
            </w:r>
          </w:p>
        </w:tc>
        <w:tc>
          <w:tcPr>
            <w:tcW w:w="1417" w:type="dxa"/>
            <w:vAlign w:val="center"/>
          </w:tcPr>
          <w:p>
            <w:pPr>
              <w:spacing w:line="300" w:lineRule="exact"/>
              <w:jc w:val="left"/>
              <w:rPr>
                <w:rFonts w:ascii="仿宋_GB2312" w:eastAsia="仿宋_GB2312"/>
              </w:rPr>
            </w:pPr>
            <w:r>
              <w:rPr>
                <w:rFonts w:hint="eastAsia" w:ascii="仿宋_GB2312" w:eastAsia="仿宋_GB2312"/>
              </w:rPr>
              <w:t>假肢假矫形器生产装配企业资格认定合格率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99%</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98%</w:t>
            </w:r>
          </w:p>
        </w:tc>
        <w:tc>
          <w:tcPr>
            <w:tcW w:w="737" w:type="dxa"/>
            <w:vAlign w:val="center"/>
          </w:tcPr>
          <w:p>
            <w:pPr>
              <w:spacing w:line="300" w:lineRule="exact"/>
              <w:jc w:val="center"/>
              <w:rPr>
                <w:rFonts w:ascii="仿宋_GB2312" w:eastAsia="仿宋_GB2312"/>
              </w:rPr>
            </w:pPr>
            <w:r>
              <w:rPr>
                <w:rFonts w:ascii="仿宋_GB2312" w:eastAsia="仿宋_GB2312"/>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福利企业认定数量</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70%</w:t>
            </w:r>
          </w:p>
        </w:tc>
        <w:tc>
          <w:tcPr>
            <w:tcW w:w="737" w:type="dxa"/>
            <w:vAlign w:val="center"/>
          </w:tcPr>
          <w:p>
            <w:pPr>
              <w:spacing w:line="300" w:lineRule="exact"/>
              <w:jc w:val="center"/>
              <w:rPr>
                <w:rFonts w:ascii="仿宋_GB2312" w:eastAsia="仿宋_GB2312"/>
              </w:rPr>
            </w:pPr>
            <w:r>
              <w:rPr>
                <w:rFonts w:ascii="仿宋_GB2312" w:eastAsia="仿宋_GB2312"/>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b/>
              </w:rPr>
            </w:pPr>
            <w:r>
              <w:rPr>
                <w:rFonts w:hint="eastAsia" w:ascii="仿宋_GB2312" w:eastAsia="仿宋_GB2312"/>
                <w:b/>
              </w:rPr>
              <w:t>　　</w:t>
            </w:r>
            <w:r>
              <w:rPr>
                <w:rFonts w:ascii="仿宋_GB2312" w:eastAsia="仿宋_GB2312"/>
                <w:b/>
              </w:rPr>
              <w:t>3</w:t>
            </w:r>
            <w:r>
              <w:rPr>
                <w:rFonts w:hint="eastAsia" w:ascii="仿宋_GB2312" w:eastAsia="仿宋_GB2312"/>
                <w:b/>
              </w:rPr>
              <w:t>、殡葬服务</w:t>
            </w:r>
          </w:p>
        </w:tc>
        <w:tc>
          <w:tcPr>
            <w:tcW w:w="1276" w:type="dxa"/>
            <w:vMerge w:val="restart"/>
            <w:vAlign w:val="center"/>
          </w:tcPr>
          <w:p>
            <w:pPr>
              <w:spacing w:line="300" w:lineRule="exact"/>
              <w:jc w:val="left"/>
              <w:rPr>
                <w:rFonts w:ascii="仿宋_GB2312" w:eastAsia="仿宋_GB2312"/>
              </w:rPr>
            </w:pPr>
            <w:r>
              <w:rPr>
                <w:rFonts w:ascii="仿宋_GB2312" w:eastAsia="仿宋_GB2312"/>
              </w:rPr>
              <w:t>130.54</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推进殡葬设施更新改造；推进殡葬设备环保更新；推进惠民殡葬政策实施；推行生态安葬形式；规范殡仪服务管理；推进丧事简办；推行火化和丧俗改革；统一规范火化证和骨灰安放证。</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殡葬设施和设备现代、节能、节地、环保，能够满足群众需求，改善生态环境；惠民殡葬政策普及全县特殊困难群体；生态安葬形式逐步提高；群众办理丧事文明节俭；全县使用统一规范的火化证和骨灰安放证。</w:t>
            </w:r>
          </w:p>
        </w:tc>
        <w:tc>
          <w:tcPr>
            <w:tcW w:w="1417" w:type="dxa"/>
            <w:vAlign w:val="center"/>
          </w:tcPr>
          <w:p>
            <w:pPr>
              <w:spacing w:line="300" w:lineRule="exact"/>
              <w:jc w:val="left"/>
              <w:rPr>
                <w:rFonts w:ascii="仿宋_GB2312" w:eastAsia="仿宋_GB2312"/>
              </w:rPr>
            </w:pPr>
            <w:r>
              <w:rPr>
                <w:rFonts w:hint="eastAsia" w:ascii="仿宋_GB2312" w:eastAsia="仿宋_GB2312"/>
              </w:rPr>
              <w:t>火化率</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70%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65%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60%</w:t>
            </w:r>
          </w:p>
        </w:tc>
        <w:tc>
          <w:tcPr>
            <w:tcW w:w="737" w:type="dxa"/>
            <w:vAlign w:val="center"/>
          </w:tcPr>
          <w:p>
            <w:pPr>
              <w:spacing w:line="300" w:lineRule="exact"/>
              <w:jc w:val="center"/>
              <w:rPr>
                <w:rFonts w:ascii="仿宋_GB2312" w:eastAsia="仿宋_GB2312"/>
              </w:rPr>
            </w:pPr>
            <w:r>
              <w:rPr>
                <w:rFonts w:ascii="仿宋_GB2312" w:eastAsia="仿宋_GB2312"/>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惠民殡葬政策覆盖特殊困难群体百分比</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98%</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95%</w:t>
            </w:r>
          </w:p>
        </w:tc>
        <w:tc>
          <w:tcPr>
            <w:tcW w:w="737" w:type="dxa"/>
            <w:vAlign w:val="center"/>
          </w:tcPr>
          <w:p>
            <w:pPr>
              <w:spacing w:line="300" w:lineRule="exact"/>
              <w:jc w:val="center"/>
              <w:rPr>
                <w:rFonts w:ascii="仿宋_GB2312" w:eastAsia="仿宋_GB2312"/>
              </w:rPr>
            </w:pPr>
            <w:r>
              <w:rPr>
                <w:rFonts w:ascii="仿宋_GB2312" w:eastAsia="仿宋_GB2312"/>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火化证及骨灰安放证统一规范率</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70%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65%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60%</w:t>
            </w:r>
          </w:p>
        </w:tc>
        <w:tc>
          <w:tcPr>
            <w:tcW w:w="737" w:type="dxa"/>
            <w:vAlign w:val="center"/>
          </w:tcPr>
          <w:p>
            <w:pPr>
              <w:spacing w:line="300" w:lineRule="exact"/>
              <w:jc w:val="center"/>
              <w:rPr>
                <w:rFonts w:ascii="仿宋_GB2312" w:eastAsia="仿宋_GB2312"/>
              </w:rPr>
            </w:pPr>
            <w:r>
              <w:rPr>
                <w:rFonts w:ascii="仿宋_GB2312" w:eastAsia="仿宋_GB2312"/>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殡葬设施设备年更新改造率</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30%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25%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20%</w:t>
            </w:r>
          </w:p>
        </w:tc>
        <w:tc>
          <w:tcPr>
            <w:tcW w:w="737" w:type="dxa"/>
            <w:vAlign w:val="center"/>
          </w:tcPr>
          <w:p>
            <w:pPr>
              <w:spacing w:line="300" w:lineRule="exact"/>
              <w:jc w:val="center"/>
              <w:rPr>
                <w:rFonts w:ascii="仿宋_GB2312" w:eastAsia="仿宋_GB2312"/>
              </w:rPr>
            </w:pPr>
            <w:r>
              <w:rPr>
                <w:rFonts w:ascii="仿宋_GB2312" w:eastAsia="仿宋_GB2312"/>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殡葬设备环保更新率</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30%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25%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20%</w:t>
            </w:r>
          </w:p>
        </w:tc>
        <w:tc>
          <w:tcPr>
            <w:tcW w:w="737" w:type="dxa"/>
            <w:vAlign w:val="center"/>
          </w:tcPr>
          <w:p>
            <w:pPr>
              <w:spacing w:line="300" w:lineRule="exact"/>
              <w:jc w:val="center"/>
              <w:rPr>
                <w:rFonts w:ascii="仿宋_GB2312" w:eastAsia="仿宋_GB2312"/>
              </w:rPr>
            </w:pPr>
            <w:r>
              <w:rPr>
                <w:rFonts w:ascii="仿宋_GB2312" w:eastAsia="仿宋_GB2312"/>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b/>
              </w:rPr>
            </w:pPr>
            <w:r>
              <w:rPr>
                <w:rFonts w:hint="eastAsia" w:ascii="仿宋_GB2312" w:eastAsia="仿宋_GB2312"/>
                <w:b/>
              </w:rPr>
              <w:t>三、双拥优抚安置管理</w:t>
            </w:r>
          </w:p>
        </w:tc>
        <w:tc>
          <w:tcPr>
            <w:tcW w:w="1276" w:type="dxa"/>
            <w:vAlign w:val="center"/>
          </w:tcPr>
          <w:p>
            <w:pPr>
              <w:spacing w:line="300" w:lineRule="exact"/>
              <w:jc w:val="left"/>
              <w:rPr>
                <w:rFonts w:ascii="仿宋_GB2312" w:eastAsia="仿宋_GB2312"/>
              </w:rPr>
            </w:pPr>
            <w:r>
              <w:rPr>
                <w:rFonts w:ascii="仿宋_GB2312" w:eastAsia="仿宋_GB2312"/>
              </w:rPr>
              <w:t>5496.48</w:t>
            </w:r>
          </w:p>
        </w:tc>
        <w:tc>
          <w:tcPr>
            <w:tcW w:w="2976" w:type="dxa"/>
            <w:vAlign w:val="center"/>
          </w:tcPr>
          <w:p>
            <w:pPr>
              <w:spacing w:line="300" w:lineRule="exact"/>
              <w:jc w:val="left"/>
              <w:rPr>
                <w:rFonts w:ascii="仿宋_GB2312" w:eastAsia="仿宋_GB2312"/>
              </w:rPr>
            </w:pPr>
            <w:r>
              <w:rPr>
                <w:rFonts w:hint="eastAsia" w:ascii="仿宋_GB2312" w:eastAsia="仿宋_GB2312"/>
              </w:rPr>
              <w:t>指导全县拥军优属活动。组织对优抚对象的优待、抚恤的政策落实，负责全县转业士官、退役士兵及军队离退休干部、退休士官和军队无军籍退休退职职工接收工作。</w:t>
            </w:r>
          </w:p>
        </w:tc>
        <w:tc>
          <w:tcPr>
            <w:tcW w:w="2976" w:type="dxa"/>
            <w:vAlign w:val="center"/>
          </w:tcPr>
          <w:p>
            <w:pPr>
              <w:spacing w:line="300" w:lineRule="exact"/>
              <w:jc w:val="left"/>
              <w:rPr>
                <w:rFonts w:ascii="仿宋_GB2312" w:eastAsia="仿宋_GB2312"/>
              </w:rPr>
            </w:pPr>
            <w:r>
              <w:rPr>
                <w:rFonts w:hint="eastAsia" w:ascii="仿宋_GB2312" w:eastAsia="仿宋_GB2312"/>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w:t>
            </w:r>
          </w:p>
        </w:tc>
        <w:tc>
          <w:tcPr>
            <w:tcW w:w="1417" w:type="dxa"/>
            <w:vAlign w:val="center"/>
          </w:tcPr>
          <w:p>
            <w:pPr>
              <w:spacing w:line="300" w:lineRule="exact"/>
              <w:jc w:val="left"/>
              <w:rPr>
                <w:rFonts w:ascii="仿宋_GB2312" w:eastAsia="仿宋_GB2312"/>
              </w:rPr>
            </w:pPr>
          </w:p>
        </w:tc>
        <w:tc>
          <w:tcPr>
            <w:tcW w:w="737" w:type="dxa"/>
            <w:vAlign w:val="center"/>
          </w:tcPr>
          <w:p>
            <w:pPr>
              <w:spacing w:line="300" w:lineRule="exact"/>
              <w:jc w:val="center"/>
              <w:rPr>
                <w:rFonts w:ascii="仿宋_GB2312" w:eastAsia="仿宋_GB2312"/>
              </w:rPr>
            </w:pPr>
          </w:p>
        </w:tc>
        <w:tc>
          <w:tcPr>
            <w:tcW w:w="737" w:type="dxa"/>
            <w:vAlign w:val="center"/>
          </w:tcPr>
          <w:p>
            <w:pPr>
              <w:spacing w:line="300" w:lineRule="exact"/>
              <w:jc w:val="center"/>
              <w:rPr>
                <w:rFonts w:ascii="仿宋_GB2312" w:eastAsia="仿宋_GB2312"/>
              </w:rPr>
            </w:pPr>
          </w:p>
        </w:tc>
        <w:tc>
          <w:tcPr>
            <w:tcW w:w="737" w:type="dxa"/>
            <w:vAlign w:val="center"/>
          </w:tcPr>
          <w:p>
            <w:pPr>
              <w:spacing w:line="300" w:lineRule="exact"/>
              <w:jc w:val="center"/>
              <w:rPr>
                <w:rFonts w:ascii="仿宋_GB2312" w:eastAsia="仿宋_GB2312"/>
              </w:rPr>
            </w:pPr>
          </w:p>
        </w:tc>
        <w:tc>
          <w:tcPr>
            <w:tcW w:w="737" w:type="dxa"/>
            <w:vAlign w:val="center"/>
          </w:tcPr>
          <w:p>
            <w:pPr>
              <w:spacing w:line="3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b/>
              </w:rPr>
            </w:pPr>
            <w:r>
              <w:rPr>
                <w:rFonts w:hint="eastAsia" w:ascii="仿宋_GB2312" w:eastAsia="仿宋_GB2312"/>
                <w:b/>
              </w:rPr>
              <w:t>　　</w:t>
            </w:r>
            <w:r>
              <w:rPr>
                <w:rFonts w:ascii="仿宋_GB2312" w:eastAsia="仿宋_GB2312"/>
                <w:b/>
              </w:rPr>
              <w:t>1</w:t>
            </w:r>
            <w:r>
              <w:rPr>
                <w:rFonts w:hint="eastAsia" w:ascii="仿宋_GB2312" w:eastAsia="仿宋_GB2312"/>
                <w:b/>
              </w:rPr>
              <w:t>、优待抚恤</w:t>
            </w:r>
          </w:p>
        </w:tc>
        <w:tc>
          <w:tcPr>
            <w:tcW w:w="1276" w:type="dxa"/>
            <w:vMerge w:val="restart"/>
            <w:vAlign w:val="center"/>
          </w:tcPr>
          <w:p>
            <w:pPr>
              <w:spacing w:line="300" w:lineRule="exact"/>
              <w:jc w:val="left"/>
              <w:rPr>
                <w:rFonts w:ascii="仿宋_GB2312" w:eastAsia="仿宋_GB2312"/>
              </w:rPr>
            </w:pPr>
            <w:r>
              <w:rPr>
                <w:rFonts w:ascii="仿宋_GB2312" w:eastAsia="仿宋_GB2312"/>
              </w:rPr>
              <w:t>2503.83</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负责全县优抚对象优待、抚恤工作；负责优抚对象数据更新管理；承担优抚对象巡诊、残疾军人康复辅助器械配备工作。</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确保优抚对象的生活水平不低于当地军民居民平均生活水平，义务兵家庭优待金及时足额兑现。</w:t>
            </w:r>
          </w:p>
        </w:tc>
        <w:tc>
          <w:tcPr>
            <w:tcW w:w="1417" w:type="dxa"/>
            <w:vAlign w:val="center"/>
          </w:tcPr>
          <w:p>
            <w:pPr>
              <w:spacing w:line="300" w:lineRule="exact"/>
              <w:jc w:val="left"/>
              <w:rPr>
                <w:rFonts w:ascii="仿宋_GB2312" w:eastAsia="仿宋_GB2312"/>
              </w:rPr>
            </w:pPr>
            <w:r>
              <w:rPr>
                <w:rFonts w:hint="eastAsia" w:ascii="仿宋_GB2312" w:eastAsia="仿宋_GB2312"/>
              </w:rPr>
              <w:t>优抚对象对优抚工作的满意度</w:t>
            </w:r>
          </w:p>
        </w:tc>
        <w:tc>
          <w:tcPr>
            <w:tcW w:w="737" w:type="dxa"/>
            <w:vAlign w:val="center"/>
          </w:tcPr>
          <w:p>
            <w:pPr>
              <w:spacing w:line="300" w:lineRule="exact"/>
              <w:jc w:val="center"/>
              <w:rPr>
                <w:rFonts w:ascii="仿宋_GB2312" w:eastAsia="仿宋_GB2312"/>
              </w:rPr>
            </w:pPr>
            <w:r>
              <w:rPr>
                <w:rFonts w:hint="eastAsia" w:ascii="仿宋_GB2312" w:eastAsia="仿宋_GB2312"/>
              </w:rPr>
              <w:t>非常满意</w:t>
            </w:r>
          </w:p>
        </w:tc>
        <w:tc>
          <w:tcPr>
            <w:tcW w:w="737" w:type="dxa"/>
            <w:vAlign w:val="center"/>
          </w:tcPr>
          <w:p>
            <w:pPr>
              <w:spacing w:line="300" w:lineRule="exact"/>
              <w:jc w:val="center"/>
              <w:rPr>
                <w:rFonts w:ascii="仿宋_GB2312" w:eastAsia="仿宋_GB2312"/>
              </w:rPr>
            </w:pPr>
            <w:r>
              <w:rPr>
                <w:rFonts w:hint="eastAsia" w:ascii="仿宋_GB2312" w:eastAsia="仿宋_GB2312"/>
              </w:rPr>
              <w:t>满意</w:t>
            </w:r>
          </w:p>
        </w:tc>
        <w:tc>
          <w:tcPr>
            <w:tcW w:w="737" w:type="dxa"/>
            <w:vAlign w:val="center"/>
          </w:tcPr>
          <w:p>
            <w:pPr>
              <w:spacing w:line="300" w:lineRule="exact"/>
              <w:jc w:val="center"/>
              <w:rPr>
                <w:rFonts w:ascii="仿宋_GB2312" w:eastAsia="仿宋_GB2312"/>
              </w:rPr>
            </w:pPr>
            <w:r>
              <w:rPr>
                <w:rFonts w:hint="eastAsia" w:ascii="仿宋_GB2312" w:eastAsia="仿宋_GB2312"/>
              </w:rPr>
              <w:t>一般</w:t>
            </w:r>
          </w:p>
        </w:tc>
        <w:tc>
          <w:tcPr>
            <w:tcW w:w="737" w:type="dxa"/>
            <w:vAlign w:val="center"/>
          </w:tcPr>
          <w:p>
            <w:pPr>
              <w:spacing w:line="300" w:lineRule="exact"/>
              <w:jc w:val="center"/>
              <w:rPr>
                <w:rFonts w:ascii="仿宋_GB2312" w:eastAsia="仿宋_GB2312"/>
              </w:rPr>
            </w:pPr>
            <w:r>
              <w:rPr>
                <w:rFonts w:hint="eastAsia" w:ascii="仿宋_GB2312" w:eastAsia="仿宋_GB2312"/>
              </w:rPr>
              <w:t>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优抚对象抚恤和生活补助足额兑现率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99%</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98%</w:t>
            </w:r>
          </w:p>
        </w:tc>
        <w:tc>
          <w:tcPr>
            <w:tcW w:w="737" w:type="dxa"/>
            <w:vAlign w:val="center"/>
          </w:tcPr>
          <w:p>
            <w:pPr>
              <w:spacing w:line="300" w:lineRule="exact"/>
              <w:jc w:val="center"/>
              <w:rPr>
                <w:rFonts w:ascii="仿宋_GB2312" w:eastAsia="仿宋_GB2312"/>
              </w:rPr>
            </w:pPr>
            <w:r>
              <w:rPr>
                <w:rFonts w:ascii="仿宋_GB2312" w:eastAsia="仿宋_GB2312"/>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残疾军人假肢等器具配备率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p>
        </w:tc>
        <w:tc>
          <w:tcPr>
            <w:tcW w:w="737" w:type="dxa"/>
            <w:vAlign w:val="center"/>
          </w:tcPr>
          <w:p>
            <w:pPr>
              <w:spacing w:line="300" w:lineRule="exact"/>
              <w:jc w:val="center"/>
              <w:rPr>
                <w:rFonts w:ascii="仿宋_GB2312" w:eastAsia="仿宋_GB2312"/>
              </w:rPr>
            </w:pPr>
          </w:p>
        </w:tc>
        <w:tc>
          <w:tcPr>
            <w:tcW w:w="737" w:type="dxa"/>
            <w:vAlign w:val="center"/>
          </w:tcPr>
          <w:p>
            <w:pPr>
              <w:spacing w:line="300" w:lineRule="exact"/>
              <w:jc w:val="center"/>
              <w:rPr>
                <w:rFonts w:ascii="仿宋_GB2312" w:eastAsia="仿宋_GB2312"/>
              </w:rPr>
            </w:pPr>
            <w:r>
              <w:rPr>
                <w:rFonts w:ascii="仿宋_GB2312" w:eastAsia="仿宋_GB2312"/>
              </w:rP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b/>
              </w:rPr>
            </w:pPr>
            <w:r>
              <w:rPr>
                <w:rFonts w:hint="eastAsia" w:ascii="仿宋_GB2312" w:eastAsia="仿宋_GB2312"/>
                <w:b/>
              </w:rPr>
              <w:t>　　</w:t>
            </w:r>
            <w:r>
              <w:rPr>
                <w:rFonts w:ascii="仿宋_GB2312" w:eastAsia="仿宋_GB2312"/>
                <w:b/>
              </w:rPr>
              <w:t>2</w:t>
            </w:r>
            <w:r>
              <w:rPr>
                <w:rFonts w:hint="eastAsia" w:ascii="仿宋_GB2312" w:eastAsia="仿宋_GB2312"/>
                <w:b/>
              </w:rPr>
              <w:t>、复员退伍军人及军休安置</w:t>
            </w:r>
          </w:p>
        </w:tc>
        <w:tc>
          <w:tcPr>
            <w:tcW w:w="1276" w:type="dxa"/>
            <w:vMerge w:val="restart"/>
            <w:vAlign w:val="center"/>
          </w:tcPr>
          <w:p>
            <w:pPr>
              <w:spacing w:line="300" w:lineRule="exact"/>
              <w:jc w:val="left"/>
              <w:rPr>
                <w:rFonts w:ascii="仿宋_GB2312" w:eastAsia="仿宋_GB2312"/>
              </w:rPr>
            </w:pPr>
            <w:r>
              <w:rPr>
                <w:rFonts w:ascii="仿宋_GB2312" w:eastAsia="仿宋_GB2312"/>
              </w:rPr>
              <w:t>2429.67</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负责城镇退役士兵、转业士官安置工作；组织、指导全县退役士兵管理教育、职业技能培训、就业服务和法律援助工作；负责军队离退休干部、退休士官和军队无军籍退休退职职工接收安置和服务管理工作；负责军队离退休干部服务管理机构的建设和管理工作。</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阳光安置，保障退役士兵合法权益；加强职业教育和技能培训；按时足额发放各类经济补助。全面落实军队离退休干部、退休士官和军队无军籍退休退职职工的政治和生活待遇。</w:t>
            </w:r>
          </w:p>
        </w:tc>
        <w:tc>
          <w:tcPr>
            <w:tcW w:w="1417" w:type="dxa"/>
            <w:vAlign w:val="center"/>
          </w:tcPr>
          <w:p>
            <w:pPr>
              <w:spacing w:line="300" w:lineRule="exact"/>
              <w:jc w:val="left"/>
              <w:rPr>
                <w:rFonts w:ascii="仿宋_GB2312" w:eastAsia="仿宋_GB2312"/>
              </w:rPr>
            </w:pPr>
            <w:r>
              <w:rPr>
                <w:rFonts w:hint="eastAsia" w:ascii="仿宋_GB2312" w:eastAsia="仿宋_GB2312"/>
              </w:rPr>
              <w:t>县级军休干部医疗补助落实率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ascii="仿宋_GB2312" w:eastAsia="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教育培训补助率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ascii="仿宋_GB2312" w:eastAsia="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军休干部家属遗属医疗生活补助到位率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60%</w:t>
            </w:r>
          </w:p>
        </w:tc>
        <w:tc>
          <w:tcPr>
            <w:tcW w:w="737" w:type="dxa"/>
            <w:vAlign w:val="center"/>
          </w:tcPr>
          <w:p>
            <w:pPr>
              <w:spacing w:line="300" w:lineRule="exact"/>
              <w:jc w:val="center"/>
              <w:rPr>
                <w:rFonts w:ascii="仿宋_GB2312" w:eastAsia="仿宋_GB2312"/>
              </w:rPr>
            </w:pPr>
            <w:r>
              <w:rPr>
                <w:rFonts w:ascii="仿宋_GB2312" w:eastAsia="仿宋_GB2312"/>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ascii="仿宋_GB2312" w:eastAsia="仿宋_GB2312"/>
              </w:rPr>
              <w:t>1-4</w:t>
            </w:r>
            <w:r>
              <w:rPr>
                <w:rFonts w:hint="eastAsia" w:ascii="仿宋_GB2312" w:eastAsia="仿宋_GB2312"/>
              </w:rPr>
              <w:t>级伤病残购建房补助率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ascii="仿宋_GB2312" w:eastAsia="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城镇退役士兵自谋职业补助率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ascii="仿宋_GB2312" w:eastAsia="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军队无军籍退休职工地方性津补贴到位率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80%</w:t>
            </w:r>
          </w:p>
        </w:tc>
        <w:tc>
          <w:tcPr>
            <w:tcW w:w="737" w:type="dxa"/>
            <w:vAlign w:val="center"/>
          </w:tcPr>
          <w:p>
            <w:pPr>
              <w:spacing w:line="300" w:lineRule="exact"/>
              <w:jc w:val="center"/>
              <w:rPr>
                <w:rFonts w:ascii="仿宋_GB2312" w:eastAsia="仿宋_GB2312"/>
              </w:rPr>
            </w:pPr>
            <w:r>
              <w:rPr>
                <w:rFonts w:ascii="仿宋_GB2312" w:eastAsia="仿宋_GB2312"/>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待分配期间的生活补助率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ascii="仿宋_GB2312" w:eastAsia="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自主就业退役士兵补助率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ascii="仿宋_GB2312" w:eastAsia="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b/>
              </w:rPr>
            </w:pPr>
            <w:r>
              <w:rPr>
                <w:rFonts w:hint="eastAsia" w:ascii="仿宋_GB2312" w:eastAsia="仿宋_GB2312"/>
                <w:b/>
              </w:rPr>
              <w:t>　　</w:t>
            </w:r>
            <w:r>
              <w:rPr>
                <w:rFonts w:ascii="仿宋_GB2312" w:eastAsia="仿宋_GB2312"/>
                <w:b/>
              </w:rPr>
              <w:t>3</w:t>
            </w:r>
            <w:r>
              <w:rPr>
                <w:rFonts w:hint="eastAsia" w:ascii="仿宋_GB2312" w:eastAsia="仿宋_GB2312"/>
                <w:b/>
              </w:rPr>
              <w:t>、优抚事业单位能力建设</w:t>
            </w:r>
          </w:p>
        </w:tc>
        <w:tc>
          <w:tcPr>
            <w:tcW w:w="1276" w:type="dxa"/>
            <w:vMerge w:val="restart"/>
            <w:vAlign w:val="center"/>
          </w:tcPr>
          <w:p>
            <w:pPr>
              <w:spacing w:line="300" w:lineRule="exact"/>
              <w:jc w:val="left"/>
              <w:rPr>
                <w:rFonts w:ascii="仿宋_GB2312" w:eastAsia="仿宋_GB2312"/>
              </w:rPr>
            </w:pPr>
            <w:r>
              <w:rPr>
                <w:rFonts w:ascii="仿宋_GB2312" w:eastAsia="仿宋_GB2312"/>
              </w:rPr>
              <w:t>29.98</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加快全省优抚医院、光荣院建设和维修改造，提高服务保障水平，确保优抚对象基本生活和医疗；承担国家级、省级烈士纪念设施的审核报批工作，负责烈士纪念设施的保护和管理；负责全省军供站的建设与管理工作。</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优抚医院、光荣院、军供站达到国家建设标准；在院休病</w:t>
            </w:r>
            <w:r>
              <w:rPr>
                <w:rFonts w:ascii="仿宋_GB2312" w:eastAsia="仿宋_GB2312"/>
              </w:rPr>
              <w:t>(</w:t>
            </w:r>
            <w:r>
              <w:rPr>
                <w:rFonts w:hint="eastAsia" w:ascii="仿宋_GB2312" w:eastAsia="仿宋_GB2312"/>
              </w:rPr>
              <w:t>养）员医疗和生活补助标准不低于全国平均水平；确保为过往军队人员提供生活保障；烈士纪念设施爱国主义教育功能日益完善，烈士褒扬系统信息完整。</w:t>
            </w:r>
          </w:p>
        </w:tc>
        <w:tc>
          <w:tcPr>
            <w:tcW w:w="1417" w:type="dxa"/>
            <w:vAlign w:val="center"/>
          </w:tcPr>
          <w:p>
            <w:pPr>
              <w:spacing w:line="300" w:lineRule="exact"/>
              <w:jc w:val="left"/>
              <w:rPr>
                <w:rFonts w:ascii="仿宋_GB2312" w:eastAsia="仿宋_GB2312"/>
              </w:rPr>
            </w:pPr>
            <w:r>
              <w:rPr>
                <w:rFonts w:hint="eastAsia" w:ascii="仿宋_GB2312" w:eastAsia="仿宋_GB2312"/>
              </w:rPr>
              <w:t>优抚院、光荣院、军供站建设标准</w:t>
            </w:r>
          </w:p>
        </w:tc>
        <w:tc>
          <w:tcPr>
            <w:tcW w:w="737" w:type="dxa"/>
            <w:vAlign w:val="center"/>
          </w:tcPr>
          <w:p>
            <w:pPr>
              <w:spacing w:line="300" w:lineRule="exact"/>
              <w:jc w:val="center"/>
              <w:rPr>
                <w:rFonts w:ascii="仿宋_GB2312" w:eastAsia="仿宋_GB2312"/>
              </w:rPr>
            </w:pPr>
            <w:r>
              <w:rPr>
                <w:rFonts w:hint="eastAsia" w:ascii="仿宋_GB2312" w:eastAsia="仿宋_GB2312"/>
              </w:rPr>
              <w:t>达到标准</w:t>
            </w:r>
          </w:p>
        </w:tc>
        <w:tc>
          <w:tcPr>
            <w:tcW w:w="737" w:type="dxa"/>
            <w:vAlign w:val="center"/>
          </w:tcPr>
          <w:p>
            <w:pPr>
              <w:spacing w:line="300" w:lineRule="exact"/>
              <w:jc w:val="center"/>
              <w:rPr>
                <w:rFonts w:ascii="仿宋_GB2312" w:eastAsia="仿宋_GB2312"/>
              </w:rPr>
            </w:pPr>
          </w:p>
        </w:tc>
        <w:tc>
          <w:tcPr>
            <w:tcW w:w="737" w:type="dxa"/>
            <w:vAlign w:val="center"/>
          </w:tcPr>
          <w:p>
            <w:pPr>
              <w:spacing w:line="300" w:lineRule="exact"/>
              <w:jc w:val="center"/>
              <w:rPr>
                <w:rFonts w:ascii="仿宋_GB2312" w:eastAsia="仿宋_GB2312"/>
              </w:rPr>
            </w:pPr>
          </w:p>
        </w:tc>
        <w:tc>
          <w:tcPr>
            <w:tcW w:w="737" w:type="dxa"/>
            <w:vAlign w:val="center"/>
          </w:tcPr>
          <w:p>
            <w:pPr>
              <w:spacing w:line="300" w:lineRule="exact"/>
              <w:jc w:val="center"/>
              <w:rPr>
                <w:rFonts w:ascii="仿宋_GB2312" w:eastAsia="仿宋_GB2312"/>
              </w:rPr>
            </w:pPr>
            <w:r>
              <w:rPr>
                <w:rFonts w:hint="eastAsia" w:ascii="仿宋_GB2312" w:eastAsia="仿宋_GB2312"/>
              </w:rPr>
              <w:t>未达到标准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烈士陵园基础设施及配套设施完好率</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70%</w:t>
            </w:r>
          </w:p>
        </w:tc>
        <w:tc>
          <w:tcPr>
            <w:tcW w:w="737" w:type="dxa"/>
            <w:vAlign w:val="center"/>
          </w:tcPr>
          <w:p>
            <w:pPr>
              <w:spacing w:line="300" w:lineRule="exact"/>
              <w:jc w:val="center"/>
              <w:rPr>
                <w:rFonts w:ascii="仿宋_GB2312" w:eastAsia="仿宋_GB2312"/>
              </w:rPr>
            </w:pPr>
            <w:r>
              <w:rPr>
                <w:rFonts w:ascii="仿宋_GB2312" w:eastAsia="仿宋_GB2312"/>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军供站设施设备完好率</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85%</w:t>
            </w:r>
          </w:p>
        </w:tc>
        <w:tc>
          <w:tcPr>
            <w:tcW w:w="737" w:type="dxa"/>
            <w:vAlign w:val="center"/>
          </w:tcPr>
          <w:p>
            <w:pPr>
              <w:spacing w:line="300" w:lineRule="exact"/>
              <w:jc w:val="center"/>
              <w:rPr>
                <w:rFonts w:ascii="仿宋_GB2312" w:eastAsia="仿宋_GB2312"/>
              </w:rPr>
            </w:pPr>
            <w:r>
              <w:rPr>
                <w:rFonts w:ascii="仿宋_GB2312" w:eastAsia="仿宋_GB2312"/>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b/>
              </w:rPr>
            </w:pPr>
            <w:r>
              <w:rPr>
                <w:rFonts w:hint="eastAsia" w:ascii="仿宋_GB2312" w:eastAsia="仿宋_GB2312"/>
                <w:b/>
              </w:rPr>
              <w:t>　　</w:t>
            </w:r>
            <w:r>
              <w:rPr>
                <w:rFonts w:ascii="仿宋_GB2312" w:eastAsia="仿宋_GB2312"/>
                <w:b/>
              </w:rPr>
              <w:t>4</w:t>
            </w:r>
            <w:r>
              <w:rPr>
                <w:rFonts w:hint="eastAsia" w:ascii="仿宋_GB2312" w:eastAsia="仿宋_GB2312"/>
                <w:b/>
              </w:rPr>
              <w:t>、拥军优属慰问及双拥活动</w:t>
            </w:r>
          </w:p>
        </w:tc>
        <w:tc>
          <w:tcPr>
            <w:tcW w:w="1276" w:type="dxa"/>
            <w:vMerge w:val="restart"/>
            <w:vAlign w:val="center"/>
          </w:tcPr>
          <w:p>
            <w:pPr>
              <w:spacing w:line="300" w:lineRule="exact"/>
              <w:jc w:val="left"/>
              <w:rPr>
                <w:rFonts w:ascii="仿宋_GB2312" w:eastAsia="仿宋_GB2312"/>
              </w:rPr>
            </w:pPr>
            <w:r>
              <w:rPr>
                <w:rFonts w:ascii="仿宋_GB2312" w:eastAsia="仿宋_GB2312"/>
              </w:rPr>
              <w:t>533.00</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组织开展全县拥军优属慰问工作、积极开展双拥活动。慰问全县驻军和重点优抚对象</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开展双拥系列活动，宣传双拥成果，积极营造全县双拥工作氛围。慰问驻军和部分重点优抚对象</w:t>
            </w:r>
          </w:p>
        </w:tc>
        <w:tc>
          <w:tcPr>
            <w:tcW w:w="1417" w:type="dxa"/>
            <w:vAlign w:val="center"/>
          </w:tcPr>
          <w:p>
            <w:pPr>
              <w:spacing w:line="300" w:lineRule="exact"/>
              <w:jc w:val="left"/>
              <w:rPr>
                <w:rFonts w:ascii="仿宋_GB2312" w:eastAsia="仿宋_GB2312"/>
              </w:rPr>
            </w:pPr>
            <w:r>
              <w:rPr>
                <w:rFonts w:hint="eastAsia" w:ascii="仿宋_GB2312" w:eastAsia="仿宋_GB2312"/>
              </w:rPr>
              <w:t>双拥系列活动开展次数</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3</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2</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1</w:t>
            </w:r>
          </w:p>
        </w:tc>
        <w:tc>
          <w:tcPr>
            <w:tcW w:w="737" w:type="dxa"/>
            <w:vAlign w:val="center"/>
          </w:tcPr>
          <w:p>
            <w:pPr>
              <w:spacing w:line="300" w:lineRule="exact"/>
              <w:jc w:val="center"/>
              <w:rPr>
                <w:rFonts w:ascii="仿宋_GB2312" w:eastAsia="仿宋_GB2312"/>
              </w:rPr>
            </w:pPr>
            <w:r>
              <w:rPr>
                <w:rFonts w:ascii="仿宋_GB2312" w:eastAsia="仿宋_GB2312"/>
              </w:rPr>
              <w:t>&lt;1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双拥活动参与群体满意度</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60%</w:t>
            </w:r>
          </w:p>
        </w:tc>
        <w:tc>
          <w:tcPr>
            <w:tcW w:w="737" w:type="dxa"/>
            <w:vAlign w:val="center"/>
          </w:tcPr>
          <w:p>
            <w:pPr>
              <w:spacing w:line="300" w:lineRule="exact"/>
              <w:jc w:val="center"/>
              <w:rPr>
                <w:rFonts w:ascii="仿宋_GB2312" w:eastAsia="仿宋_GB2312"/>
              </w:rPr>
            </w:pPr>
            <w:r>
              <w:rPr>
                <w:rFonts w:ascii="仿宋_GB2312" w:eastAsia="仿宋_GB2312"/>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b/>
              </w:rPr>
            </w:pPr>
            <w:r>
              <w:rPr>
                <w:rFonts w:hint="eastAsia" w:ascii="仿宋_GB2312" w:eastAsia="仿宋_GB2312"/>
                <w:b/>
              </w:rPr>
              <w:t>四、社会管理与服务</w:t>
            </w:r>
          </w:p>
        </w:tc>
        <w:tc>
          <w:tcPr>
            <w:tcW w:w="1276" w:type="dxa"/>
            <w:vAlign w:val="center"/>
          </w:tcPr>
          <w:p>
            <w:pPr>
              <w:spacing w:line="300" w:lineRule="exact"/>
              <w:jc w:val="left"/>
              <w:rPr>
                <w:rFonts w:ascii="仿宋_GB2312" w:eastAsia="仿宋_GB2312"/>
              </w:rPr>
            </w:pPr>
            <w:r>
              <w:rPr>
                <w:rFonts w:ascii="仿宋_GB2312" w:eastAsia="仿宋_GB2312"/>
              </w:rPr>
              <w:t>69.00</w:t>
            </w:r>
          </w:p>
        </w:tc>
        <w:tc>
          <w:tcPr>
            <w:tcW w:w="2976" w:type="dxa"/>
            <w:vAlign w:val="center"/>
          </w:tcPr>
          <w:p>
            <w:pPr>
              <w:spacing w:line="300" w:lineRule="exact"/>
              <w:jc w:val="left"/>
              <w:rPr>
                <w:rFonts w:ascii="仿宋_GB2312" w:eastAsia="仿宋_GB2312"/>
              </w:rPr>
            </w:pPr>
            <w:r>
              <w:rPr>
                <w:rFonts w:hint="eastAsia" w:ascii="仿宋_GB2312" w:eastAsia="仿宋_GB2312"/>
              </w:rPr>
              <w:t>承担对社会组织的登记管理；负责执行落实有关行政区划和地名管理政策；负责全县婚姻登记、涉外儿童收养登记和管理工作；组织指导基层政权和社区建设；推进社会工作人员队伍建设</w:t>
            </w:r>
          </w:p>
        </w:tc>
        <w:tc>
          <w:tcPr>
            <w:tcW w:w="2976" w:type="dxa"/>
            <w:vAlign w:val="center"/>
          </w:tcPr>
          <w:p>
            <w:pPr>
              <w:spacing w:line="300" w:lineRule="exact"/>
              <w:jc w:val="left"/>
              <w:rPr>
                <w:rFonts w:ascii="仿宋_GB2312" w:eastAsia="仿宋_GB2312"/>
              </w:rPr>
            </w:pPr>
            <w:r>
              <w:rPr>
                <w:rFonts w:hint="eastAsia" w:ascii="仿宋_GB2312" w:eastAsia="仿宋_GB2312"/>
              </w:rPr>
              <w:t>推进全县社会组织健康发展，优化行政区划空间布局，提高登记质量，规范婚姻登记、收养登记业务，建立健全城乡基层群众自治组织，逐步实现社会工作者专业化、职业化。</w:t>
            </w:r>
          </w:p>
        </w:tc>
        <w:tc>
          <w:tcPr>
            <w:tcW w:w="1417" w:type="dxa"/>
            <w:vAlign w:val="center"/>
          </w:tcPr>
          <w:p>
            <w:pPr>
              <w:spacing w:line="300" w:lineRule="exact"/>
              <w:jc w:val="left"/>
              <w:rPr>
                <w:rFonts w:ascii="仿宋_GB2312" w:eastAsia="仿宋_GB2312"/>
              </w:rPr>
            </w:pPr>
          </w:p>
        </w:tc>
        <w:tc>
          <w:tcPr>
            <w:tcW w:w="737" w:type="dxa"/>
            <w:vAlign w:val="center"/>
          </w:tcPr>
          <w:p>
            <w:pPr>
              <w:spacing w:line="300" w:lineRule="exact"/>
              <w:jc w:val="center"/>
              <w:rPr>
                <w:rFonts w:ascii="仿宋_GB2312" w:eastAsia="仿宋_GB2312"/>
              </w:rPr>
            </w:pPr>
          </w:p>
        </w:tc>
        <w:tc>
          <w:tcPr>
            <w:tcW w:w="737" w:type="dxa"/>
            <w:vAlign w:val="center"/>
          </w:tcPr>
          <w:p>
            <w:pPr>
              <w:spacing w:line="300" w:lineRule="exact"/>
              <w:jc w:val="center"/>
              <w:rPr>
                <w:rFonts w:ascii="仿宋_GB2312" w:eastAsia="仿宋_GB2312"/>
              </w:rPr>
            </w:pPr>
          </w:p>
        </w:tc>
        <w:tc>
          <w:tcPr>
            <w:tcW w:w="737" w:type="dxa"/>
            <w:vAlign w:val="center"/>
          </w:tcPr>
          <w:p>
            <w:pPr>
              <w:spacing w:line="300" w:lineRule="exact"/>
              <w:jc w:val="center"/>
              <w:rPr>
                <w:rFonts w:ascii="仿宋_GB2312" w:eastAsia="仿宋_GB2312"/>
              </w:rPr>
            </w:pPr>
          </w:p>
        </w:tc>
        <w:tc>
          <w:tcPr>
            <w:tcW w:w="737" w:type="dxa"/>
            <w:vAlign w:val="center"/>
          </w:tcPr>
          <w:p>
            <w:pPr>
              <w:spacing w:line="3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b/>
              </w:rPr>
            </w:pPr>
            <w:r>
              <w:rPr>
                <w:rFonts w:hint="eastAsia" w:ascii="仿宋_GB2312" w:eastAsia="仿宋_GB2312"/>
                <w:b/>
              </w:rPr>
              <w:t>　　</w:t>
            </w:r>
            <w:r>
              <w:rPr>
                <w:rFonts w:ascii="仿宋_GB2312" w:eastAsia="仿宋_GB2312"/>
                <w:b/>
              </w:rPr>
              <w:t>1</w:t>
            </w:r>
            <w:r>
              <w:rPr>
                <w:rFonts w:hint="eastAsia" w:ascii="仿宋_GB2312" w:eastAsia="仿宋_GB2312"/>
                <w:b/>
              </w:rPr>
              <w:t>、社会组织管理</w:t>
            </w:r>
          </w:p>
        </w:tc>
        <w:tc>
          <w:tcPr>
            <w:tcW w:w="1276" w:type="dxa"/>
            <w:vAlign w:val="center"/>
          </w:tcPr>
          <w:p>
            <w:pPr>
              <w:spacing w:line="300" w:lineRule="exact"/>
              <w:jc w:val="left"/>
              <w:rPr>
                <w:rFonts w:ascii="仿宋_GB2312" w:eastAsia="仿宋_GB2312"/>
              </w:rPr>
            </w:pPr>
          </w:p>
        </w:tc>
        <w:tc>
          <w:tcPr>
            <w:tcW w:w="2976" w:type="dxa"/>
            <w:vAlign w:val="center"/>
          </w:tcPr>
          <w:p>
            <w:pPr>
              <w:spacing w:line="300" w:lineRule="exact"/>
              <w:jc w:val="left"/>
              <w:rPr>
                <w:rFonts w:ascii="仿宋_GB2312" w:eastAsia="仿宋_GB2312"/>
              </w:rPr>
            </w:pPr>
            <w:r>
              <w:rPr>
                <w:rFonts w:hint="eastAsia" w:ascii="仿宋_GB2312" w:eastAsia="仿宋_GB2312"/>
              </w:rPr>
              <w:t>依法对社会组织进行登记管理和监察。</w:t>
            </w:r>
          </w:p>
        </w:tc>
        <w:tc>
          <w:tcPr>
            <w:tcW w:w="2976" w:type="dxa"/>
            <w:vAlign w:val="center"/>
          </w:tcPr>
          <w:p>
            <w:pPr>
              <w:spacing w:line="300" w:lineRule="exact"/>
              <w:jc w:val="left"/>
              <w:rPr>
                <w:rFonts w:ascii="仿宋_GB2312" w:eastAsia="仿宋_GB2312"/>
              </w:rPr>
            </w:pPr>
            <w:r>
              <w:rPr>
                <w:rFonts w:hint="eastAsia" w:ascii="仿宋_GB2312" w:eastAsia="仿宋_GB2312"/>
              </w:rPr>
              <w:t>推进全县社会组织健康发展，提高社会组织的社会公信力，增强社会组织服务社会的能力。</w:t>
            </w:r>
          </w:p>
        </w:tc>
        <w:tc>
          <w:tcPr>
            <w:tcW w:w="1417" w:type="dxa"/>
            <w:vAlign w:val="center"/>
          </w:tcPr>
          <w:p>
            <w:pPr>
              <w:spacing w:line="300" w:lineRule="exact"/>
              <w:jc w:val="left"/>
              <w:rPr>
                <w:rFonts w:ascii="仿宋_GB2312" w:eastAsia="仿宋_GB2312"/>
              </w:rPr>
            </w:pPr>
            <w:r>
              <w:rPr>
                <w:rFonts w:hint="eastAsia" w:ascii="仿宋_GB2312" w:eastAsia="仿宋_GB2312"/>
              </w:rPr>
              <w:t>社会组织登记、年检完成率</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96%</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94%</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b/>
              </w:rPr>
            </w:pPr>
            <w:r>
              <w:rPr>
                <w:rFonts w:hint="eastAsia" w:ascii="仿宋_GB2312" w:eastAsia="仿宋_GB2312"/>
                <w:b/>
              </w:rPr>
              <w:t>　　</w:t>
            </w:r>
            <w:r>
              <w:rPr>
                <w:rFonts w:ascii="仿宋_GB2312" w:eastAsia="仿宋_GB2312"/>
                <w:b/>
              </w:rPr>
              <w:t>2</w:t>
            </w:r>
            <w:r>
              <w:rPr>
                <w:rFonts w:hint="eastAsia" w:ascii="仿宋_GB2312" w:eastAsia="仿宋_GB2312"/>
                <w:b/>
              </w:rPr>
              <w:t>、社会事务管理</w:t>
            </w:r>
          </w:p>
        </w:tc>
        <w:tc>
          <w:tcPr>
            <w:tcW w:w="1276" w:type="dxa"/>
            <w:vMerge w:val="restart"/>
            <w:vAlign w:val="center"/>
          </w:tcPr>
          <w:p>
            <w:pPr>
              <w:spacing w:line="300" w:lineRule="exact"/>
              <w:jc w:val="left"/>
              <w:rPr>
                <w:rFonts w:ascii="仿宋_GB2312" w:eastAsia="仿宋_GB2312"/>
              </w:rPr>
            </w:pPr>
            <w:r>
              <w:rPr>
                <w:rFonts w:ascii="仿宋_GB2312" w:eastAsia="仿宋_GB2312"/>
              </w:rPr>
              <w:t>20.00</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负责全省行政区划、行政区域界线和地名管理工作，开展地名普查工作。推进婚俗改革；负责全省婚姻登记证的印制和管理，承办本省公民同外国人、华侨和港澳台同胞之间的婚姻登记；承办涉外儿童收养登记工作。</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优化空间布局，为城镇化建设助航；促进边界地区的平安和和谐发展；为社会提供方便快捷的地名公共服务。提高登记质量，规范婚姻登记、收养登记业务。</w:t>
            </w:r>
          </w:p>
        </w:tc>
        <w:tc>
          <w:tcPr>
            <w:tcW w:w="1417" w:type="dxa"/>
            <w:vAlign w:val="center"/>
          </w:tcPr>
          <w:p>
            <w:pPr>
              <w:spacing w:line="300" w:lineRule="exact"/>
              <w:jc w:val="left"/>
              <w:rPr>
                <w:rFonts w:ascii="仿宋_GB2312" w:eastAsia="仿宋_GB2312"/>
              </w:rPr>
            </w:pPr>
            <w:r>
              <w:rPr>
                <w:rFonts w:hint="eastAsia" w:ascii="仿宋_GB2312" w:eastAsia="仿宋_GB2312"/>
              </w:rPr>
              <w:t>婚姻、收养登记合格率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99%</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98%</w:t>
            </w:r>
          </w:p>
        </w:tc>
        <w:tc>
          <w:tcPr>
            <w:tcW w:w="737" w:type="dxa"/>
            <w:vAlign w:val="center"/>
          </w:tcPr>
          <w:p>
            <w:pPr>
              <w:spacing w:line="300" w:lineRule="exact"/>
              <w:jc w:val="center"/>
              <w:rPr>
                <w:rFonts w:ascii="仿宋_GB2312" w:eastAsia="仿宋_GB2312"/>
              </w:rPr>
            </w:pPr>
            <w:r>
              <w:rPr>
                <w:rFonts w:ascii="仿宋_GB2312" w:eastAsia="仿宋_GB2312"/>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第二次全国地名普查数据准确率</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98%</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ascii="仿宋_GB2312" w:eastAsia="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b/>
              </w:rPr>
            </w:pPr>
            <w:r>
              <w:rPr>
                <w:rFonts w:hint="eastAsia" w:ascii="仿宋_GB2312" w:eastAsia="仿宋_GB2312"/>
                <w:b/>
              </w:rPr>
              <w:t>　　</w:t>
            </w:r>
            <w:r>
              <w:rPr>
                <w:rFonts w:ascii="仿宋_GB2312" w:eastAsia="仿宋_GB2312"/>
                <w:b/>
              </w:rPr>
              <w:t>3</w:t>
            </w:r>
            <w:r>
              <w:rPr>
                <w:rFonts w:hint="eastAsia" w:ascii="仿宋_GB2312" w:eastAsia="仿宋_GB2312"/>
                <w:b/>
              </w:rPr>
              <w:t>、基层政权和社区建设</w:t>
            </w:r>
          </w:p>
        </w:tc>
        <w:tc>
          <w:tcPr>
            <w:tcW w:w="1276" w:type="dxa"/>
            <w:vMerge w:val="restart"/>
            <w:vAlign w:val="center"/>
          </w:tcPr>
          <w:p>
            <w:pPr>
              <w:spacing w:line="300" w:lineRule="exact"/>
              <w:jc w:val="left"/>
              <w:rPr>
                <w:rFonts w:ascii="仿宋_GB2312" w:eastAsia="仿宋_GB2312"/>
              </w:rPr>
            </w:pPr>
            <w:r>
              <w:rPr>
                <w:rFonts w:ascii="仿宋_GB2312" w:eastAsia="仿宋_GB2312"/>
              </w:rPr>
              <w:t>49.00</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组织指导乡镇、街道办事处和基层群众自治组织、社区干部培训；指导村（居）民委员会民主选举、民主决策、民主管理和民主监督，村（居）务公开；指导城乡社区建设及服务管理工作。</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建立健全城乡基层群众自治组织，在村（居）民委员会实行“四个民主”；按照“四有一创”标准开展城市社区建设，按照农村社区建设实验全覆盖创建标准开展农村社区建设。</w:t>
            </w:r>
          </w:p>
        </w:tc>
        <w:tc>
          <w:tcPr>
            <w:tcW w:w="1417" w:type="dxa"/>
            <w:vAlign w:val="center"/>
          </w:tcPr>
          <w:p>
            <w:pPr>
              <w:spacing w:line="300" w:lineRule="exact"/>
              <w:jc w:val="left"/>
              <w:rPr>
                <w:rFonts w:ascii="仿宋_GB2312" w:eastAsia="仿宋_GB2312"/>
              </w:rPr>
            </w:pPr>
            <w:r>
              <w:rPr>
                <w:rFonts w:hint="eastAsia" w:ascii="仿宋_GB2312" w:eastAsia="仿宋_GB2312"/>
              </w:rPr>
              <w:t>农村社区建设试点单位试点情况</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60%</w:t>
            </w:r>
          </w:p>
        </w:tc>
        <w:tc>
          <w:tcPr>
            <w:tcW w:w="737" w:type="dxa"/>
            <w:vAlign w:val="center"/>
          </w:tcPr>
          <w:p>
            <w:pPr>
              <w:spacing w:line="300" w:lineRule="exact"/>
              <w:jc w:val="center"/>
              <w:rPr>
                <w:rFonts w:ascii="仿宋_GB2312" w:eastAsia="仿宋_GB2312"/>
              </w:rPr>
            </w:pPr>
            <w:r>
              <w:rPr>
                <w:rFonts w:ascii="仿宋_GB2312" w:eastAsia="仿宋_GB2312"/>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村民委员会换届选举率</w:t>
            </w:r>
          </w:p>
        </w:tc>
        <w:tc>
          <w:tcPr>
            <w:tcW w:w="737" w:type="dxa"/>
            <w:vAlign w:val="center"/>
          </w:tcPr>
          <w:p>
            <w:pPr>
              <w:spacing w:line="300" w:lineRule="exact"/>
              <w:jc w:val="center"/>
              <w:rPr>
                <w:rFonts w:ascii="仿宋_GB2312" w:eastAsia="仿宋_GB2312"/>
              </w:rPr>
            </w:pPr>
            <w:r>
              <w:rPr>
                <w:rFonts w:hint="eastAsia" w:ascii="仿宋_GB2312" w:eastAsia="仿宋_GB2312"/>
              </w:rPr>
              <w:t>高于</w:t>
            </w:r>
          </w:p>
        </w:tc>
        <w:tc>
          <w:tcPr>
            <w:tcW w:w="737" w:type="dxa"/>
            <w:vAlign w:val="center"/>
          </w:tcPr>
          <w:p>
            <w:pPr>
              <w:spacing w:line="300" w:lineRule="exact"/>
              <w:jc w:val="center"/>
              <w:rPr>
                <w:rFonts w:ascii="仿宋_GB2312" w:eastAsia="仿宋_GB2312"/>
              </w:rPr>
            </w:pPr>
            <w:r>
              <w:rPr>
                <w:rFonts w:hint="eastAsia" w:ascii="仿宋_GB2312" w:eastAsia="仿宋_GB2312"/>
              </w:rPr>
              <w:t>持平</w:t>
            </w:r>
          </w:p>
        </w:tc>
        <w:tc>
          <w:tcPr>
            <w:tcW w:w="737" w:type="dxa"/>
            <w:vAlign w:val="center"/>
          </w:tcPr>
          <w:p>
            <w:pPr>
              <w:spacing w:line="300" w:lineRule="exact"/>
              <w:jc w:val="center"/>
              <w:rPr>
                <w:rFonts w:ascii="仿宋_GB2312" w:eastAsia="仿宋_GB2312"/>
              </w:rPr>
            </w:pPr>
            <w:r>
              <w:rPr>
                <w:rFonts w:hint="eastAsia" w:ascii="仿宋_GB2312" w:eastAsia="仿宋_GB2312"/>
              </w:rPr>
              <w:t>低于</w:t>
            </w:r>
          </w:p>
        </w:tc>
        <w:tc>
          <w:tcPr>
            <w:tcW w:w="737" w:type="dxa"/>
            <w:vAlign w:val="center"/>
          </w:tcPr>
          <w:p>
            <w:pPr>
              <w:spacing w:line="300" w:lineRule="exact"/>
              <w:jc w:val="center"/>
              <w:rPr>
                <w:rFonts w:ascii="仿宋_GB2312" w:eastAsia="仿宋_GB2312"/>
              </w:rPr>
            </w:pPr>
            <w:r>
              <w:rPr>
                <w:rFonts w:hint="eastAsia" w:ascii="仿宋_GB2312" w:eastAsia="仿宋_GB2312"/>
              </w:rPr>
              <w:t>明显低于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eastAsia="仿宋_GB2312"/>
                <w:b/>
              </w:rPr>
            </w:pPr>
            <w:r>
              <w:rPr>
                <w:rFonts w:hint="eastAsia" w:ascii="仿宋_GB2312" w:eastAsia="仿宋_GB2312"/>
                <w:b/>
              </w:rPr>
              <w:t>　　</w:t>
            </w:r>
            <w:r>
              <w:rPr>
                <w:rFonts w:ascii="仿宋_GB2312" w:eastAsia="仿宋_GB2312"/>
                <w:b/>
              </w:rPr>
              <w:t>4</w:t>
            </w:r>
            <w:r>
              <w:rPr>
                <w:rFonts w:hint="eastAsia" w:ascii="仿宋_GB2312" w:eastAsia="仿宋_GB2312"/>
                <w:b/>
              </w:rPr>
              <w:t>、社会工作人才队伍建设</w:t>
            </w:r>
          </w:p>
        </w:tc>
        <w:tc>
          <w:tcPr>
            <w:tcW w:w="1276" w:type="dxa"/>
            <w:vMerge w:val="restart"/>
            <w:vAlign w:val="center"/>
          </w:tcPr>
          <w:p>
            <w:pPr>
              <w:spacing w:line="300" w:lineRule="exact"/>
              <w:jc w:val="left"/>
              <w:rPr>
                <w:rFonts w:ascii="仿宋_GB2312" w:eastAsia="仿宋_GB2312"/>
              </w:rPr>
            </w:pP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推进全省社会工作人才队伍建设和相关志愿者队伍建设。</w:t>
            </w:r>
          </w:p>
        </w:tc>
        <w:tc>
          <w:tcPr>
            <w:tcW w:w="2976" w:type="dxa"/>
            <w:vMerge w:val="restart"/>
            <w:vAlign w:val="center"/>
          </w:tcPr>
          <w:p>
            <w:pPr>
              <w:spacing w:line="300" w:lineRule="exact"/>
              <w:jc w:val="left"/>
              <w:rPr>
                <w:rFonts w:ascii="仿宋_GB2312" w:eastAsia="仿宋_GB2312"/>
              </w:rPr>
            </w:pPr>
            <w:r>
              <w:rPr>
                <w:rFonts w:hint="eastAsia" w:ascii="仿宋_GB2312" w:eastAsia="仿宋_GB2312"/>
              </w:rPr>
              <w:t>以人才培养为基础，以人才使用为根本，以建立健全人才评价和激励机制为保障，逐步实现社会工作专业化、职业化。</w:t>
            </w:r>
          </w:p>
        </w:tc>
        <w:tc>
          <w:tcPr>
            <w:tcW w:w="1417" w:type="dxa"/>
            <w:vAlign w:val="center"/>
          </w:tcPr>
          <w:p>
            <w:pPr>
              <w:spacing w:line="300" w:lineRule="exact"/>
              <w:jc w:val="left"/>
              <w:rPr>
                <w:rFonts w:ascii="仿宋_GB2312" w:eastAsia="仿宋_GB2312"/>
              </w:rPr>
            </w:pPr>
            <w:r>
              <w:rPr>
                <w:rFonts w:hint="eastAsia" w:ascii="仿宋_GB2312" w:eastAsia="仿宋_GB2312"/>
              </w:rPr>
              <w:t>社会工作专业人才培养计划完成率</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60%</w:t>
            </w:r>
          </w:p>
        </w:tc>
        <w:tc>
          <w:tcPr>
            <w:tcW w:w="737" w:type="dxa"/>
            <w:vAlign w:val="center"/>
          </w:tcPr>
          <w:p>
            <w:pPr>
              <w:spacing w:line="300" w:lineRule="exact"/>
              <w:jc w:val="center"/>
              <w:rPr>
                <w:rFonts w:ascii="仿宋_GB2312" w:eastAsia="仿宋_GB2312"/>
              </w:rPr>
            </w:pPr>
            <w:r>
              <w:rPr>
                <w:rFonts w:ascii="仿宋_GB2312" w:eastAsia="仿宋_GB2312"/>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eastAsia="仿宋_GB2312"/>
                <w:b/>
              </w:rPr>
            </w:pPr>
          </w:p>
        </w:tc>
        <w:tc>
          <w:tcPr>
            <w:tcW w:w="12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2976" w:type="dxa"/>
            <w:vMerge w:val="continue"/>
            <w:vAlign w:val="center"/>
          </w:tcPr>
          <w:p>
            <w:pPr>
              <w:spacing w:line="300" w:lineRule="exact"/>
              <w:jc w:val="left"/>
              <w:rPr>
                <w:rFonts w:ascii="仿宋_GB2312" w:eastAsia="仿宋_GB2312"/>
              </w:rPr>
            </w:pPr>
          </w:p>
        </w:tc>
        <w:tc>
          <w:tcPr>
            <w:tcW w:w="1417" w:type="dxa"/>
            <w:vAlign w:val="center"/>
          </w:tcPr>
          <w:p>
            <w:pPr>
              <w:spacing w:line="300" w:lineRule="exact"/>
              <w:jc w:val="left"/>
              <w:rPr>
                <w:rFonts w:ascii="仿宋_GB2312" w:eastAsia="仿宋_GB2312"/>
              </w:rPr>
            </w:pPr>
            <w:r>
              <w:rPr>
                <w:rFonts w:hint="eastAsia" w:ascii="仿宋_GB2312" w:eastAsia="仿宋_GB2312"/>
              </w:rPr>
              <w:t>社会工作专业人才登记率</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80%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60%</w:t>
            </w:r>
          </w:p>
        </w:tc>
        <w:tc>
          <w:tcPr>
            <w:tcW w:w="737" w:type="dxa"/>
            <w:vAlign w:val="center"/>
          </w:tcPr>
          <w:p>
            <w:pPr>
              <w:spacing w:line="300" w:lineRule="exact"/>
              <w:jc w:val="center"/>
              <w:rPr>
                <w:rFonts w:ascii="仿宋_GB2312" w:eastAsia="仿宋_GB2312"/>
              </w:rPr>
            </w:pPr>
            <w:r>
              <w:rPr>
                <w:rFonts w:ascii="仿宋_GB2312" w:eastAsia="仿宋_GB2312"/>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b/>
              </w:rPr>
            </w:pPr>
            <w:r>
              <w:rPr>
                <w:rFonts w:hint="eastAsia" w:ascii="仿宋_GB2312" w:eastAsia="仿宋_GB2312"/>
                <w:b/>
              </w:rPr>
              <w:t>五、民政政务管理</w:t>
            </w:r>
          </w:p>
        </w:tc>
        <w:tc>
          <w:tcPr>
            <w:tcW w:w="1276" w:type="dxa"/>
            <w:vAlign w:val="center"/>
          </w:tcPr>
          <w:p>
            <w:pPr>
              <w:spacing w:line="300" w:lineRule="exact"/>
              <w:jc w:val="left"/>
              <w:rPr>
                <w:rFonts w:ascii="仿宋_GB2312" w:eastAsia="仿宋_GB2312"/>
              </w:rPr>
            </w:pPr>
            <w:r>
              <w:rPr>
                <w:rFonts w:ascii="仿宋_GB2312" w:eastAsia="仿宋_GB2312"/>
              </w:rPr>
              <w:t>84.30</w:t>
            </w:r>
          </w:p>
        </w:tc>
        <w:tc>
          <w:tcPr>
            <w:tcW w:w="2976" w:type="dxa"/>
            <w:vAlign w:val="center"/>
          </w:tcPr>
          <w:p>
            <w:pPr>
              <w:spacing w:line="300" w:lineRule="exact"/>
              <w:jc w:val="left"/>
              <w:rPr>
                <w:rFonts w:ascii="仿宋_GB2312" w:eastAsia="仿宋_GB2312"/>
              </w:rPr>
            </w:pPr>
            <w:r>
              <w:rPr>
                <w:rFonts w:hint="eastAsia" w:ascii="仿宋_GB2312" w:eastAsia="仿宋_GB2312"/>
              </w:rPr>
              <w:t>推进全县民政事业发展；负责民政事业资金管理、国有资产管理、内部审计、统计管理工作；组织民政系统干部培训教育等工作；开展全县民政系统信息化建设工作；负责本级政务公开、新闻宣传工作；承办群众的来信来访工作。</w:t>
            </w:r>
          </w:p>
        </w:tc>
        <w:tc>
          <w:tcPr>
            <w:tcW w:w="2976" w:type="dxa"/>
            <w:vAlign w:val="center"/>
          </w:tcPr>
          <w:p>
            <w:pPr>
              <w:spacing w:line="300" w:lineRule="exact"/>
              <w:jc w:val="left"/>
              <w:rPr>
                <w:rFonts w:ascii="仿宋_GB2312" w:eastAsia="仿宋_GB2312"/>
              </w:rPr>
            </w:pPr>
            <w:r>
              <w:rPr>
                <w:rFonts w:hint="eastAsia" w:ascii="仿宋_GB2312" w:eastAsia="仿宋_GB2312"/>
              </w:rPr>
              <w:t>建立和维护县民政系统政务公开平台，推进民政政府信息公开、政务公开，完成在县委、县政府系统信息考核任务；搞好群众来信来访工作，杜绝群体上访事件；民主行风评议保持全县领先地位。</w:t>
            </w:r>
          </w:p>
        </w:tc>
        <w:tc>
          <w:tcPr>
            <w:tcW w:w="1417" w:type="dxa"/>
            <w:vAlign w:val="center"/>
          </w:tcPr>
          <w:p>
            <w:pPr>
              <w:spacing w:line="300" w:lineRule="exact"/>
              <w:jc w:val="left"/>
              <w:rPr>
                <w:rFonts w:ascii="仿宋_GB2312" w:eastAsia="仿宋_GB2312"/>
              </w:rPr>
            </w:pPr>
          </w:p>
        </w:tc>
        <w:tc>
          <w:tcPr>
            <w:tcW w:w="737" w:type="dxa"/>
            <w:vAlign w:val="center"/>
          </w:tcPr>
          <w:p>
            <w:pPr>
              <w:spacing w:line="300" w:lineRule="exact"/>
              <w:jc w:val="center"/>
              <w:rPr>
                <w:rFonts w:ascii="仿宋_GB2312" w:eastAsia="仿宋_GB2312"/>
              </w:rPr>
            </w:pPr>
          </w:p>
        </w:tc>
        <w:tc>
          <w:tcPr>
            <w:tcW w:w="737" w:type="dxa"/>
            <w:vAlign w:val="center"/>
          </w:tcPr>
          <w:p>
            <w:pPr>
              <w:spacing w:line="300" w:lineRule="exact"/>
              <w:jc w:val="center"/>
              <w:rPr>
                <w:rFonts w:ascii="仿宋_GB2312" w:eastAsia="仿宋_GB2312"/>
              </w:rPr>
            </w:pPr>
          </w:p>
        </w:tc>
        <w:tc>
          <w:tcPr>
            <w:tcW w:w="737" w:type="dxa"/>
            <w:vAlign w:val="center"/>
          </w:tcPr>
          <w:p>
            <w:pPr>
              <w:spacing w:line="300" w:lineRule="exact"/>
              <w:jc w:val="center"/>
              <w:rPr>
                <w:rFonts w:ascii="仿宋_GB2312" w:eastAsia="仿宋_GB2312"/>
              </w:rPr>
            </w:pPr>
          </w:p>
        </w:tc>
        <w:tc>
          <w:tcPr>
            <w:tcW w:w="737" w:type="dxa"/>
            <w:vAlign w:val="center"/>
          </w:tcPr>
          <w:p>
            <w:pPr>
              <w:spacing w:line="3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b/>
              </w:rPr>
            </w:pPr>
            <w:r>
              <w:rPr>
                <w:rFonts w:hint="eastAsia" w:ascii="仿宋_GB2312" w:eastAsia="仿宋_GB2312"/>
                <w:b/>
              </w:rPr>
              <w:t>　　</w:t>
            </w:r>
            <w:r>
              <w:rPr>
                <w:rFonts w:ascii="仿宋_GB2312" w:eastAsia="仿宋_GB2312"/>
                <w:b/>
              </w:rPr>
              <w:t>1</w:t>
            </w:r>
            <w:r>
              <w:rPr>
                <w:rFonts w:hint="eastAsia" w:ascii="仿宋_GB2312" w:eastAsia="仿宋_GB2312"/>
                <w:b/>
              </w:rPr>
              <w:t>、综合业务管理</w:t>
            </w:r>
          </w:p>
        </w:tc>
        <w:tc>
          <w:tcPr>
            <w:tcW w:w="1276" w:type="dxa"/>
            <w:vAlign w:val="center"/>
          </w:tcPr>
          <w:p>
            <w:pPr>
              <w:spacing w:line="300" w:lineRule="exact"/>
              <w:jc w:val="left"/>
              <w:rPr>
                <w:rFonts w:ascii="仿宋_GB2312" w:eastAsia="仿宋_GB2312"/>
              </w:rPr>
            </w:pPr>
          </w:p>
        </w:tc>
        <w:tc>
          <w:tcPr>
            <w:tcW w:w="2976" w:type="dxa"/>
            <w:vAlign w:val="center"/>
          </w:tcPr>
          <w:p>
            <w:pPr>
              <w:spacing w:line="300" w:lineRule="exact"/>
              <w:jc w:val="left"/>
              <w:rPr>
                <w:rFonts w:ascii="仿宋_GB2312" w:eastAsia="仿宋_GB2312"/>
              </w:rPr>
            </w:pPr>
            <w:r>
              <w:rPr>
                <w:rFonts w:hint="eastAsia" w:ascii="仿宋_GB2312" w:eastAsia="仿宋_GB2312"/>
              </w:rPr>
              <w:t>组织开展全县民政行政执法监督检查工作；负责行政许可、行政处罚听证工作；组织民政政务公开和新闻宣传。</w:t>
            </w:r>
          </w:p>
        </w:tc>
        <w:tc>
          <w:tcPr>
            <w:tcW w:w="2976" w:type="dxa"/>
            <w:vAlign w:val="center"/>
          </w:tcPr>
          <w:p>
            <w:pPr>
              <w:spacing w:line="300" w:lineRule="exact"/>
              <w:jc w:val="left"/>
              <w:rPr>
                <w:rFonts w:ascii="仿宋_GB2312" w:eastAsia="仿宋_GB2312"/>
              </w:rPr>
            </w:pPr>
            <w:r>
              <w:rPr>
                <w:rFonts w:hint="eastAsia" w:ascii="仿宋_GB2312" w:eastAsia="仿宋_GB2312"/>
              </w:rPr>
              <w:t>建立和维护县民政系统政务公开平台，推进民政政府信息公开、政务公开；搞好群众来信来访工作，杜绝群体上访事件。促进贫困地区的社会经济发展</w:t>
            </w:r>
            <w:r>
              <w:rPr>
                <w:rFonts w:ascii="仿宋_GB2312" w:eastAsia="仿宋_GB2312"/>
              </w:rPr>
              <w:t>,</w:t>
            </w:r>
            <w:r>
              <w:rPr>
                <w:rFonts w:hint="eastAsia" w:ascii="仿宋_GB2312" w:eastAsia="仿宋_GB2312"/>
              </w:rPr>
              <w:t>人民生活水平得到提高。</w:t>
            </w:r>
          </w:p>
        </w:tc>
        <w:tc>
          <w:tcPr>
            <w:tcW w:w="1417" w:type="dxa"/>
            <w:vAlign w:val="center"/>
          </w:tcPr>
          <w:p>
            <w:pPr>
              <w:spacing w:line="300" w:lineRule="exact"/>
              <w:jc w:val="left"/>
              <w:rPr>
                <w:rFonts w:ascii="仿宋_GB2312" w:eastAsia="仿宋_GB2312"/>
              </w:rPr>
            </w:pPr>
            <w:r>
              <w:rPr>
                <w:rFonts w:hint="eastAsia" w:ascii="仿宋_GB2312" w:eastAsia="仿宋_GB2312"/>
              </w:rPr>
              <w:t>综合业务管理工作完成率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ascii="仿宋_GB2312" w:eastAsia="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b/>
              </w:rPr>
            </w:pPr>
            <w:r>
              <w:rPr>
                <w:rFonts w:hint="eastAsia" w:ascii="仿宋_GB2312" w:eastAsia="仿宋_GB2312"/>
                <w:b/>
              </w:rPr>
              <w:t>　　</w:t>
            </w:r>
            <w:r>
              <w:rPr>
                <w:rFonts w:ascii="仿宋_GB2312" w:eastAsia="仿宋_GB2312"/>
                <w:b/>
              </w:rPr>
              <w:t>2</w:t>
            </w:r>
            <w:r>
              <w:rPr>
                <w:rFonts w:hint="eastAsia" w:ascii="仿宋_GB2312" w:eastAsia="仿宋_GB2312"/>
                <w:b/>
              </w:rPr>
              <w:t>、综合事务管理</w:t>
            </w:r>
          </w:p>
        </w:tc>
        <w:tc>
          <w:tcPr>
            <w:tcW w:w="1276" w:type="dxa"/>
            <w:vAlign w:val="center"/>
          </w:tcPr>
          <w:p>
            <w:pPr>
              <w:spacing w:line="300" w:lineRule="exact"/>
              <w:jc w:val="left"/>
              <w:rPr>
                <w:rFonts w:ascii="仿宋_GB2312" w:eastAsia="仿宋_GB2312"/>
              </w:rPr>
            </w:pPr>
            <w:r>
              <w:rPr>
                <w:rFonts w:ascii="仿宋_GB2312" w:eastAsia="仿宋_GB2312"/>
              </w:rPr>
              <w:t>84.30</w:t>
            </w:r>
          </w:p>
        </w:tc>
        <w:tc>
          <w:tcPr>
            <w:tcW w:w="2976" w:type="dxa"/>
            <w:vAlign w:val="center"/>
          </w:tcPr>
          <w:p>
            <w:pPr>
              <w:spacing w:line="300" w:lineRule="exact"/>
              <w:jc w:val="left"/>
              <w:rPr>
                <w:rFonts w:ascii="仿宋_GB2312" w:eastAsia="仿宋_GB2312"/>
              </w:rPr>
            </w:pPr>
            <w:r>
              <w:rPr>
                <w:rFonts w:hint="eastAsia" w:ascii="仿宋_GB2312" w:eastAsia="仿宋_GB2312"/>
              </w:rPr>
              <w:t>负责民政事业资金监督管理、国有资产管理、内部审计、统计管理工作；组织开展民政系统干部教育培训，组织全县民政信息平台建设。</w:t>
            </w:r>
          </w:p>
        </w:tc>
        <w:tc>
          <w:tcPr>
            <w:tcW w:w="2976" w:type="dxa"/>
            <w:vAlign w:val="center"/>
          </w:tcPr>
          <w:p>
            <w:pPr>
              <w:spacing w:line="300" w:lineRule="exact"/>
              <w:jc w:val="left"/>
              <w:rPr>
                <w:rFonts w:ascii="仿宋_GB2312" w:eastAsia="仿宋_GB2312"/>
              </w:rPr>
            </w:pPr>
            <w:r>
              <w:rPr>
                <w:rFonts w:hint="eastAsia" w:ascii="仿宋_GB2312" w:eastAsia="仿宋_GB2312"/>
              </w:rPr>
              <w:t>民政干部队伍素质有所提高；民政行业管理服务的专业化、科学化水平进一步提升。做好现有网站、系统、设备的维护、升级，对新建信息化项目进行科学规划和高效实施。</w:t>
            </w:r>
          </w:p>
        </w:tc>
        <w:tc>
          <w:tcPr>
            <w:tcW w:w="1417" w:type="dxa"/>
            <w:vAlign w:val="center"/>
          </w:tcPr>
          <w:p>
            <w:pPr>
              <w:spacing w:line="300" w:lineRule="exact"/>
              <w:jc w:val="left"/>
              <w:rPr>
                <w:rFonts w:ascii="仿宋_GB2312" w:eastAsia="仿宋_GB2312"/>
              </w:rPr>
            </w:pPr>
            <w:r>
              <w:rPr>
                <w:rFonts w:hint="eastAsia" w:ascii="仿宋_GB2312" w:eastAsia="仿宋_GB2312"/>
              </w:rPr>
              <w:t>综合事务管理工作完成率</w:t>
            </w:r>
          </w:p>
        </w:tc>
        <w:tc>
          <w:tcPr>
            <w:tcW w:w="737" w:type="dxa"/>
            <w:vAlign w:val="center"/>
          </w:tcPr>
          <w:p>
            <w:pPr>
              <w:spacing w:line="300" w:lineRule="exact"/>
              <w:jc w:val="center"/>
              <w:rPr>
                <w:rFonts w:ascii="仿宋_GB2312" w:eastAsia="仿宋_GB2312"/>
              </w:rPr>
            </w:pPr>
            <w:r>
              <w:rPr>
                <w:rFonts w:ascii="仿宋_GB2312" w:eastAsia="仿宋_GB2312"/>
              </w:rPr>
              <w:t>100%</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95%</w:t>
            </w:r>
          </w:p>
        </w:tc>
        <w:tc>
          <w:tcPr>
            <w:tcW w:w="737" w:type="dxa"/>
            <w:vAlign w:val="center"/>
          </w:tcPr>
          <w:p>
            <w:pPr>
              <w:spacing w:line="300" w:lineRule="exact"/>
              <w:jc w:val="center"/>
              <w:rPr>
                <w:rFonts w:ascii="仿宋_GB2312" w:eastAsia="仿宋_GB2312"/>
              </w:rPr>
            </w:pPr>
            <w:r>
              <w:rPr>
                <w:rFonts w:hint="eastAsia" w:ascii="仿宋_GB2312" w:eastAsia="仿宋_GB2312"/>
              </w:rPr>
              <w:t>≥</w:t>
            </w:r>
            <w:r>
              <w:rPr>
                <w:rFonts w:ascii="仿宋_GB2312" w:eastAsia="仿宋_GB2312"/>
              </w:rPr>
              <w:t>90%</w:t>
            </w:r>
          </w:p>
        </w:tc>
        <w:tc>
          <w:tcPr>
            <w:tcW w:w="737" w:type="dxa"/>
            <w:vAlign w:val="center"/>
          </w:tcPr>
          <w:p>
            <w:pPr>
              <w:spacing w:line="300" w:lineRule="exact"/>
              <w:jc w:val="center"/>
              <w:rPr>
                <w:rFonts w:ascii="仿宋_GB2312" w:eastAsia="仿宋_GB2312"/>
              </w:rPr>
            </w:pPr>
            <w:r>
              <w:rPr>
                <w:rFonts w:ascii="仿宋_GB2312" w:eastAsia="仿宋_GB2312"/>
              </w:rPr>
              <w:t>&lt;90%</w:t>
            </w:r>
          </w:p>
        </w:tc>
      </w:tr>
    </w:tbl>
    <w:p>
      <w:pPr>
        <w:spacing w:line="584" w:lineRule="exact"/>
        <w:jc w:val="left"/>
        <w:outlineLvl w:val="0"/>
        <w:rPr>
          <w:rFonts w:ascii="Times New Roman" w:hAnsi="Times New Roman" w:eastAsia="仿宋_GB2312"/>
        </w:rPr>
        <w:sectPr>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ascii="仿宋_GB2312" w:hAnsi="Times New Roman" w:eastAsia="仿宋_GB2312"/>
          <w:sz w:val="32"/>
          <w:szCs w:val="24"/>
        </w:rPr>
      </w:pPr>
      <w:bookmarkStart w:id="2" w:name="_Toc471398468"/>
      <w:r>
        <w:rPr>
          <w:rFonts w:ascii="仿宋_GB2312" w:hAnsi="Times New Roman" w:eastAsia="仿宋_GB2312"/>
          <w:sz w:val="32"/>
          <w:szCs w:val="24"/>
        </w:rPr>
        <w:t>2019</w:t>
      </w:r>
      <w:r>
        <w:rPr>
          <w:rFonts w:hint="eastAsia" w:ascii="仿宋_GB2312" w:hAnsi="Times New Roman" w:eastAsia="仿宋_GB2312"/>
          <w:sz w:val="32"/>
          <w:szCs w:val="24"/>
        </w:rPr>
        <w:t>年，我部门安排政府采购预算</w:t>
      </w:r>
      <w:r>
        <w:rPr>
          <w:rFonts w:ascii="仿宋_GB2312" w:hAnsi="Times New Roman" w:eastAsia="仿宋_GB2312"/>
          <w:sz w:val="32"/>
          <w:szCs w:val="24"/>
        </w:rPr>
        <w:t>9.3</w:t>
      </w:r>
      <w:r>
        <w:rPr>
          <w:rFonts w:hint="eastAsia" w:ascii="仿宋_GB2312" w:hAnsi="Times New Roman" w:eastAsia="仿宋_GB2312"/>
          <w:sz w:val="32"/>
          <w:szCs w:val="24"/>
        </w:rPr>
        <w:t>万元。具体内容见下表。</w:t>
      </w:r>
    </w:p>
    <w:bookmarkEnd w:id="2"/>
    <w:p>
      <w:pPr>
        <w:spacing w:line="584" w:lineRule="exact"/>
        <w:jc w:val="center"/>
        <w:outlineLvl w:val="0"/>
        <w:rPr>
          <w:rFonts w:ascii="Times New Roman" w:hAnsi="Times New Roman" w:eastAsia="仿宋_GB2312"/>
          <w:sz w:val="32"/>
        </w:rPr>
      </w:pPr>
      <w:bookmarkStart w:id="3" w:name="_Toc504489153"/>
      <w:r>
        <w:rPr>
          <w:rFonts w:hint="eastAsia" w:ascii="Times New Roman" w:hAnsi="Times New Roman" w:eastAsia="仿宋_GB2312"/>
          <w:sz w:val="32"/>
        </w:rPr>
        <w:t>部门政府采购预算</w:t>
      </w:r>
      <w:bookmarkEnd w:id="3"/>
    </w:p>
    <w:p>
      <w:pPr>
        <w:spacing w:line="584" w:lineRule="exact"/>
        <w:jc w:val="left"/>
        <w:outlineLvl w:val="0"/>
        <w:rPr>
          <w:rFonts w:ascii="Times New Roman" w:hAnsi="Times New Roman" w:eastAsia="仿宋_GB2312"/>
        </w:rPr>
      </w:pPr>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1099"/>
        <w:gridCol w:w="974"/>
        <w:gridCol w:w="986"/>
        <w:gridCol w:w="760"/>
        <w:gridCol w:w="760"/>
        <w:gridCol w:w="848"/>
        <w:gridCol w:w="961"/>
        <w:gridCol w:w="961"/>
        <w:gridCol w:w="961"/>
        <w:gridCol w:w="961"/>
        <w:gridCol w:w="964"/>
        <w:gridCol w:w="964"/>
        <w:gridCol w:w="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875" w:type="dxa"/>
            <w:gridSpan w:val="7"/>
            <w:tcBorders>
              <w:top w:val="single" w:color="FFFFFF" w:sz="6" w:space="0"/>
              <w:left w:val="single" w:color="FFFFFF" w:sz="6" w:space="0"/>
              <w:right w:val="single" w:color="FFFFFF" w:sz="6" w:space="0"/>
            </w:tcBorders>
            <w:vAlign w:val="center"/>
          </w:tcPr>
          <w:p>
            <w:pPr>
              <w:spacing w:line="300" w:lineRule="exact"/>
              <w:jc w:val="left"/>
              <w:rPr>
                <w:rFonts w:ascii="仿宋_GB2312" w:eastAsia="仿宋_GB2312"/>
                <w:sz w:val="24"/>
              </w:rPr>
            </w:pPr>
            <w:r>
              <w:rPr>
                <w:rFonts w:ascii="仿宋_GB2312" w:eastAsia="仿宋_GB2312"/>
                <w:sz w:val="24"/>
              </w:rPr>
              <w:t>314</w:t>
            </w:r>
            <w:r>
              <w:rPr>
                <w:rFonts w:hint="eastAsia" w:ascii="仿宋_GB2312" w:eastAsia="仿宋_GB2312"/>
                <w:sz w:val="24"/>
              </w:rPr>
              <w:t>大城县民政局</w:t>
            </w:r>
          </w:p>
        </w:tc>
        <w:tc>
          <w:tcPr>
            <w:tcW w:w="6693" w:type="dxa"/>
            <w:gridSpan w:val="7"/>
            <w:tcBorders>
              <w:top w:val="single" w:color="FFFFFF" w:sz="6" w:space="0"/>
              <w:left w:val="single" w:color="FFFFFF" w:sz="6" w:space="0"/>
              <w:right w:val="single" w:color="FFFFFF" w:sz="6" w:space="0"/>
            </w:tcBorders>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47" w:type="dxa"/>
            <w:gridSpan w:val="2"/>
            <w:vAlign w:val="center"/>
          </w:tcPr>
          <w:p>
            <w:pPr>
              <w:spacing w:line="300" w:lineRule="exact"/>
              <w:jc w:val="center"/>
              <w:rPr>
                <w:rFonts w:ascii="仿宋_GB2312" w:eastAsia="仿宋_GB2312"/>
                <w:b/>
              </w:rPr>
            </w:pPr>
            <w:r>
              <w:rPr>
                <w:rFonts w:hint="eastAsia" w:ascii="仿宋_GB2312" w:eastAsia="仿宋_GB2312"/>
                <w:b/>
              </w:rPr>
              <w:t>政府采购项目来源</w:t>
            </w:r>
          </w:p>
        </w:tc>
        <w:tc>
          <w:tcPr>
            <w:tcW w:w="974" w:type="dxa"/>
            <w:vMerge w:val="restart"/>
            <w:vAlign w:val="center"/>
          </w:tcPr>
          <w:p>
            <w:pPr>
              <w:spacing w:line="300" w:lineRule="exact"/>
              <w:jc w:val="center"/>
              <w:rPr>
                <w:rFonts w:ascii="仿宋_GB2312" w:eastAsia="仿宋_GB2312"/>
                <w:b/>
              </w:rPr>
            </w:pPr>
            <w:r>
              <w:rPr>
                <w:rFonts w:hint="eastAsia" w:ascii="仿宋_GB2312" w:eastAsia="仿宋_GB2312"/>
                <w:b/>
              </w:rPr>
              <w:t>采购物品名称</w:t>
            </w:r>
          </w:p>
        </w:tc>
        <w:tc>
          <w:tcPr>
            <w:tcW w:w="986" w:type="dxa"/>
            <w:vMerge w:val="restart"/>
            <w:vAlign w:val="center"/>
          </w:tcPr>
          <w:p>
            <w:pPr>
              <w:spacing w:line="300" w:lineRule="exact"/>
              <w:jc w:val="center"/>
              <w:rPr>
                <w:rFonts w:ascii="仿宋_GB2312" w:eastAsia="仿宋_GB2312"/>
                <w:b/>
              </w:rPr>
            </w:pPr>
            <w:r>
              <w:rPr>
                <w:rFonts w:hint="eastAsia" w:ascii="仿宋_GB2312" w:eastAsia="仿宋_GB2312"/>
                <w:b/>
              </w:rPr>
              <w:t>政府采购目录序号</w:t>
            </w:r>
          </w:p>
        </w:tc>
        <w:tc>
          <w:tcPr>
            <w:tcW w:w="760" w:type="dxa"/>
            <w:vMerge w:val="restart"/>
            <w:vAlign w:val="center"/>
          </w:tcPr>
          <w:p>
            <w:pPr>
              <w:spacing w:line="300" w:lineRule="exact"/>
              <w:jc w:val="center"/>
              <w:rPr>
                <w:rFonts w:ascii="仿宋_GB2312" w:eastAsia="仿宋_GB2312"/>
                <w:b/>
              </w:rPr>
            </w:pPr>
            <w:r>
              <w:rPr>
                <w:rFonts w:hint="eastAsia" w:ascii="仿宋_GB2312" w:eastAsia="仿宋_GB2312"/>
                <w:b/>
              </w:rPr>
              <w:t>数量</w:t>
            </w:r>
            <w:r>
              <w:rPr>
                <w:rFonts w:ascii="仿宋_GB2312" w:eastAsia="仿宋_GB2312"/>
                <w:b/>
              </w:rPr>
              <w:t xml:space="preserve">  </w:t>
            </w:r>
            <w:r>
              <w:rPr>
                <w:rFonts w:hint="eastAsia" w:ascii="仿宋_GB2312" w:eastAsia="仿宋_GB2312"/>
                <w:b/>
              </w:rPr>
              <w:t>单位</w:t>
            </w:r>
          </w:p>
        </w:tc>
        <w:tc>
          <w:tcPr>
            <w:tcW w:w="760" w:type="dxa"/>
            <w:vMerge w:val="restart"/>
            <w:vAlign w:val="center"/>
          </w:tcPr>
          <w:p>
            <w:pPr>
              <w:spacing w:line="300" w:lineRule="exact"/>
              <w:jc w:val="center"/>
              <w:rPr>
                <w:rFonts w:ascii="仿宋_GB2312" w:eastAsia="仿宋_GB2312"/>
                <w:b/>
              </w:rPr>
            </w:pPr>
            <w:r>
              <w:rPr>
                <w:rFonts w:hint="eastAsia" w:ascii="仿宋_GB2312" w:eastAsia="仿宋_GB2312"/>
                <w:b/>
              </w:rPr>
              <w:t>数量</w:t>
            </w:r>
          </w:p>
        </w:tc>
        <w:tc>
          <w:tcPr>
            <w:tcW w:w="848" w:type="dxa"/>
            <w:vMerge w:val="restart"/>
            <w:vAlign w:val="center"/>
          </w:tcPr>
          <w:p>
            <w:pPr>
              <w:spacing w:line="300" w:lineRule="exact"/>
              <w:jc w:val="center"/>
              <w:rPr>
                <w:rFonts w:ascii="仿宋_GB2312" w:eastAsia="仿宋_GB2312"/>
                <w:b/>
              </w:rPr>
            </w:pPr>
            <w:r>
              <w:rPr>
                <w:rFonts w:hint="eastAsia" w:ascii="仿宋_GB2312" w:eastAsia="仿宋_GB2312"/>
                <w:b/>
              </w:rPr>
              <w:t>单价</w:t>
            </w:r>
          </w:p>
        </w:tc>
        <w:tc>
          <w:tcPr>
            <w:tcW w:w="6693" w:type="dxa"/>
            <w:gridSpan w:val="7"/>
            <w:vAlign w:val="center"/>
          </w:tcPr>
          <w:p>
            <w:pPr>
              <w:spacing w:line="300" w:lineRule="exact"/>
              <w:jc w:val="center"/>
              <w:rPr>
                <w:rFonts w:ascii="仿宋_GB2312" w:eastAsia="仿宋_GB2312"/>
                <w:b/>
              </w:rPr>
            </w:pPr>
            <w:r>
              <w:rPr>
                <w:rFonts w:hint="eastAsia" w:ascii="仿宋_GB2312" w:eastAsia="仿宋_GB2312"/>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48" w:type="dxa"/>
            <w:vMerge w:val="restart"/>
            <w:vAlign w:val="center"/>
          </w:tcPr>
          <w:p>
            <w:pPr>
              <w:spacing w:line="300" w:lineRule="exact"/>
              <w:jc w:val="center"/>
              <w:rPr>
                <w:rFonts w:ascii="仿宋_GB2312" w:eastAsia="仿宋_GB2312"/>
                <w:b/>
              </w:rPr>
            </w:pPr>
            <w:r>
              <w:rPr>
                <w:rFonts w:hint="eastAsia" w:ascii="仿宋_GB2312" w:eastAsia="仿宋_GB2312"/>
                <w:b/>
              </w:rPr>
              <w:t>项目名称</w:t>
            </w:r>
          </w:p>
        </w:tc>
        <w:tc>
          <w:tcPr>
            <w:tcW w:w="1099" w:type="dxa"/>
            <w:vMerge w:val="restart"/>
            <w:vAlign w:val="center"/>
          </w:tcPr>
          <w:p>
            <w:pPr>
              <w:spacing w:line="300" w:lineRule="exact"/>
              <w:jc w:val="center"/>
              <w:rPr>
                <w:rFonts w:ascii="仿宋_GB2312" w:eastAsia="仿宋_GB2312"/>
                <w:b/>
              </w:rPr>
            </w:pPr>
            <w:r>
              <w:rPr>
                <w:rFonts w:hint="eastAsia" w:ascii="仿宋_GB2312" w:eastAsia="仿宋_GB2312"/>
                <w:b/>
              </w:rPr>
              <w:t>预算资金</w:t>
            </w:r>
          </w:p>
        </w:tc>
        <w:tc>
          <w:tcPr>
            <w:tcW w:w="974" w:type="dxa"/>
            <w:vMerge w:val="continue"/>
            <w:vAlign w:val="center"/>
          </w:tcPr>
          <w:p>
            <w:pPr>
              <w:spacing w:line="300" w:lineRule="exact"/>
              <w:jc w:val="left"/>
              <w:outlineLvl w:val="0"/>
              <w:rPr>
                <w:rFonts w:ascii="仿宋_GB2312" w:eastAsia="仿宋_GB2312"/>
              </w:rPr>
            </w:pPr>
          </w:p>
        </w:tc>
        <w:tc>
          <w:tcPr>
            <w:tcW w:w="986" w:type="dxa"/>
            <w:vMerge w:val="continue"/>
            <w:vAlign w:val="center"/>
          </w:tcPr>
          <w:p>
            <w:pPr>
              <w:spacing w:line="300" w:lineRule="exact"/>
              <w:jc w:val="left"/>
              <w:outlineLvl w:val="0"/>
              <w:rPr>
                <w:rFonts w:ascii="仿宋_GB2312" w:eastAsia="仿宋_GB2312"/>
              </w:rPr>
            </w:pPr>
          </w:p>
        </w:tc>
        <w:tc>
          <w:tcPr>
            <w:tcW w:w="760" w:type="dxa"/>
            <w:vMerge w:val="continue"/>
            <w:vAlign w:val="center"/>
          </w:tcPr>
          <w:p>
            <w:pPr>
              <w:spacing w:line="300" w:lineRule="exact"/>
              <w:jc w:val="left"/>
              <w:outlineLvl w:val="0"/>
              <w:rPr>
                <w:rFonts w:ascii="仿宋_GB2312" w:eastAsia="仿宋_GB2312"/>
              </w:rPr>
            </w:pPr>
          </w:p>
        </w:tc>
        <w:tc>
          <w:tcPr>
            <w:tcW w:w="760" w:type="dxa"/>
            <w:vMerge w:val="continue"/>
            <w:vAlign w:val="center"/>
          </w:tcPr>
          <w:p>
            <w:pPr>
              <w:spacing w:line="300" w:lineRule="exact"/>
              <w:jc w:val="left"/>
              <w:outlineLvl w:val="0"/>
              <w:rPr>
                <w:rFonts w:ascii="仿宋_GB2312" w:eastAsia="仿宋_GB2312"/>
              </w:rPr>
            </w:pPr>
          </w:p>
        </w:tc>
        <w:tc>
          <w:tcPr>
            <w:tcW w:w="848" w:type="dxa"/>
            <w:vMerge w:val="continue"/>
            <w:vAlign w:val="center"/>
          </w:tcPr>
          <w:p>
            <w:pPr>
              <w:spacing w:line="300" w:lineRule="exact"/>
              <w:jc w:val="left"/>
              <w:outlineLvl w:val="0"/>
              <w:rPr>
                <w:rFonts w:ascii="仿宋_GB2312" w:eastAsia="仿宋_GB2312"/>
              </w:rPr>
            </w:pPr>
          </w:p>
        </w:tc>
        <w:tc>
          <w:tcPr>
            <w:tcW w:w="961" w:type="dxa"/>
            <w:vMerge w:val="restart"/>
            <w:vAlign w:val="center"/>
          </w:tcPr>
          <w:p>
            <w:pPr>
              <w:spacing w:line="300" w:lineRule="exact"/>
              <w:jc w:val="center"/>
              <w:rPr>
                <w:rFonts w:ascii="仿宋_GB2312" w:eastAsia="仿宋_GB2312"/>
                <w:b/>
              </w:rPr>
            </w:pPr>
            <w:r>
              <w:rPr>
                <w:rFonts w:hint="eastAsia" w:ascii="仿宋_GB2312" w:eastAsia="仿宋_GB2312"/>
                <w:b/>
              </w:rPr>
              <w:t>总计</w:t>
            </w:r>
          </w:p>
        </w:tc>
        <w:tc>
          <w:tcPr>
            <w:tcW w:w="4811" w:type="dxa"/>
            <w:gridSpan w:val="5"/>
            <w:vAlign w:val="center"/>
          </w:tcPr>
          <w:p>
            <w:pPr>
              <w:spacing w:line="300" w:lineRule="exact"/>
              <w:jc w:val="center"/>
              <w:rPr>
                <w:rFonts w:ascii="仿宋_GB2312" w:eastAsia="仿宋_GB2312"/>
                <w:b/>
              </w:rPr>
            </w:pPr>
            <w:r>
              <w:rPr>
                <w:rFonts w:hint="eastAsia" w:ascii="仿宋_GB2312" w:eastAsia="仿宋_GB2312"/>
                <w:b/>
              </w:rPr>
              <w:t>当年部门预算安排资金</w:t>
            </w:r>
          </w:p>
        </w:tc>
        <w:tc>
          <w:tcPr>
            <w:tcW w:w="921" w:type="dxa"/>
            <w:vMerge w:val="restart"/>
            <w:vAlign w:val="center"/>
          </w:tcPr>
          <w:p>
            <w:pPr>
              <w:spacing w:line="300" w:lineRule="exact"/>
              <w:jc w:val="center"/>
              <w:rPr>
                <w:rFonts w:ascii="仿宋_GB2312" w:eastAsia="仿宋_GB2312"/>
                <w:b/>
              </w:rPr>
            </w:pPr>
            <w:r>
              <w:rPr>
                <w:rFonts w:hint="eastAsia" w:ascii="仿宋_GB2312" w:eastAsia="仿宋_GB2312"/>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48" w:type="dxa"/>
            <w:vMerge w:val="continue"/>
            <w:vAlign w:val="center"/>
          </w:tcPr>
          <w:p>
            <w:pPr>
              <w:spacing w:line="300" w:lineRule="exact"/>
              <w:jc w:val="left"/>
              <w:outlineLvl w:val="0"/>
              <w:rPr>
                <w:rFonts w:ascii="仿宋_GB2312" w:eastAsia="仿宋_GB2312"/>
              </w:rPr>
            </w:pPr>
          </w:p>
        </w:tc>
        <w:tc>
          <w:tcPr>
            <w:tcW w:w="1099" w:type="dxa"/>
            <w:vMerge w:val="continue"/>
            <w:vAlign w:val="center"/>
          </w:tcPr>
          <w:p>
            <w:pPr>
              <w:spacing w:line="300" w:lineRule="exact"/>
              <w:jc w:val="left"/>
              <w:outlineLvl w:val="0"/>
              <w:rPr>
                <w:rFonts w:ascii="仿宋_GB2312" w:eastAsia="仿宋_GB2312"/>
              </w:rPr>
            </w:pPr>
          </w:p>
        </w:tc>
        <w:tc>
          <w:tcPr>
            <w:tcW w:w="974" w:type="dxa"/>
            <w:vMerge w:val="continue"/>
            <w:vAlign w:val="center"/>
          </w:tcPr>
          <w:p>
            <w:pPr>
              <w:spacing w:line="300" w:lineRule="exact"/>
              <w:jc w:val="left"/>
              <w:outlineLvl w:val="0"/>
              <w:rPr>
                <w:rFonts w:ascii="仿宋_GB2312" w:eastAsia="仿宋_GB2312"/>
              </w:rPr>
            </w:pPr>
          </w:p>
        </w:tc>
        <w:tc>
          <w:tcPr>
            <w:tcW w:w="986" w:type="dxa"/>
            <w:vMerge w:val="continue"/>
            <w:vAlign w:val="center"/>
          </w:tcPr>
          <w:p>
            <w:pPr>
              <w:spacing w:line="300" w:lineRule="exact"/>
              <w:jc w:val="left"/>
              <w:outlineLvl w:val="0"/>
              <w:rPr>
                <w:rFonts w:ascii="仿宋_GB2312" w:eastAsia="仿宋_GB2312"/>
              </w:rPr>
            </w:pPr>
          </w:p>
        </w:tc>
        <w:tc>
          <w:tcPr>
            <w:tcW w:w="760" w:type="dxa"/>
            <w:vMerge w:val="continue"/>
            <w:vAlign w:val="center"/>
          </w:tcPr>
          <w:p>
            <w:pPr>
              <w:spacing w:line="300" w:lineRule="exact"/>
              <w:jc w:val="left"/>
              <w:outlineLvl w:val="0"/>
              <w:rPr>
                <w:rFonts w:ascii="仿宋_GB2312" w:eastAsia="仿宋_GB2312"/>
              </w:rPr>
            </w:pPr>
          </w:p>
        </w:tc>
        <w:tc>
          <w:tcPr>
            <w:tcW w:w="760" w:type="dxa"/>
            <w:vMerge w:val="continue"/>
            <w:vAlign w:val="center"/>
          </w:tcPr>
          <w:p>
            <w:pPr>
              <w:spacing w:line="300" w:lineRule="exact"/>
              <w:jc w:val="left"/>
              <w:outlineLvl w:val="0"/>
              <w:rPr>
                <w:rFonts w:ascii="仿宋_GB2312" w:eastAsia="仿宋_GB2312"/>
              </w:rPr>
            </w:pPr>
          </w:p>
        </w:tc>
        <w:tc>
          <w:tcPr>
            <w:tcW w:w="848" w:type="dxa"/>
            <w:vMerge w:val="continue"/>
            <w:vAlign w:val="center"/>
          </w:tcPr>
          <w:p>
            <w:pPr>
              <w:spacing w:line="300" w:lineRule="exact"/>
              <w:jc w:val="left"/>
              <w:outlineLvl w:val="0"/>
              <w:rPr>
                <w:rFonts w:ascii="仿宋_GB2312" w:eastAsia="仿宋_GB2312"/>
              </w:rPr>
            </w:pPr>
          </w:p>
        </w:tc>
        <w:tc>
          <w:tcPr>
            <w:tcW w:w="961" w:type="dxa"/>
            <w:vMerge w:val="continue"/>
            <w:vAlign w:val="center"/>
          </w:tcPr>
          <w:p>
            <w:pPr>
              <w:spacing w:line="300" w:lineRule="exact"/>
              <w:jc w:val="left"/>
              <w:outlineLvl w:val="0"/>
              <w:rPr>
                <w:rFonts w:ascii="仿宋_GB2312" w:eastAsia="仿宋_GB2312"/>
              </w:rPr>
            </w:pPr>
          </w:p>
        </w:tc>
        <w:tc>
          <w:tcPr>
            <w:tcW w:w="961" w:type="dxa"/>
            <w:vAlign w:val="center"/>
          </w:tcPr>
          <w:p>
            <w:pPr>
              <w:spacing w:line="300" w:lineRule="exact"/>
              <w:jc w:val="center"/>
              <w:rPr>
                <w:rFonts w:ascii="仿宋_GB2312" w:eastAsia="仿宋_GB2312"/>
                <w:b/>
              </w:rPr>
            </w:pPr>
            <w:r>
              <w:rPr>
                <w:rFonts w:hint="eastAsia" w:ascii="仿宋_GB2312" w:eastAsia="仿宋_GB2312"/>
                <w:b/>
              </w:rPr>
              <w:t>合计</w:t>
            </w:r>
          </w:p>
        </w:tc>
        <w:tc>
          <w:tcPr>
            <w:tcW w:w="961" w:type="dxa"/>
            <w:vAlign w:val="center"/>
          </w:tcPr>
          <w:p>
            <w:pPr>
              <w:spacing w:line="300" w:lineRule="exact"/>
              <w:jc w:val="center"/>
              <w:rPr>
                <w:rFonts w:ascii="仿宋_GB2312" w:eastAsia="仿宋_GB2312"/>
                <w:b/>
              </w:rPr>
            </w:pPr>
            <w:r>
              <w:rPr>
                <w:rFonts w:hint="eastAsia" w:ascii="仿宋_GB2312" w:eastAsia="仿宋_GB2312"/>
                <w:b/>
              </w:rPr>
              <w:t>一般公共预算拨款</w:t>
            </w:r>
          </w:p>
        </w:tc>
        <w:tc>
          <w:tcPr>
            <w:tcW w:w="961" w:type="dxa"/>
            <w:vAlign w:val="center"/>
          </w:tcPr>
          <w:p>
            <w:pPr>
              <w:spacing w:line="300" w:lineRule="exact"/>
              <w:jc w:val="center"/>
              <w:rPr>
                <w:rFonts w:ascii="仿宋_GB2312" w:eastAsia="仿宋_GB2312"/>
                <w:b/>
              </w:rPr>
            </w:pPr>
            <w:r>
              <w:rPr>
                <w:rFonts w:hint="eastAsia" w:ascii="仿宋_GB2312" w:eastAsia="仿宋_GB2312"/>
                <w:b/>
              </w:rPr>
              <w:t>基金预算拨款</w:t>
            </w:r>
          </w:p>
        </w:tc>
        <w:tc>
          <w:tcPr>
            <w:tcW w:w="964" w:type="dxa"/>
            <w:vAlign w:val="center"/>
          </w:tcPr>
          <w:p>
            <w:pPr>
              <w:spacing w:line="300" w:lineRule="exact"/>
              <w:jc w:val="center"/>
              <w:rPr>
                <w:rFonts w:ascii="仿宋_GB2312" w:eastAsia="仿宋_GB2312"/>
                <w:b/>
              </w:rPr>
            </w:pPr>
            <w:r>
              <w:rPr>
                <w:rFonts w:hint="eastAsia" w:ascii="仿宋_GB2312" w:eastAsia="仿宋_GB2312"/>
                <w:b/>
              </w:rPr>
              <w:t>财政专户核拨</w:t>
            </w:r>
          </w:p>
        </w:tc>
        <w:tc>
          <w:tcPr>
            <w:tcW w:w="964" w:type="dxa"/>
            <w:vAlign w:val="center"/>
          </w:tcPr>
          <w:p>
            <w:pPr>
              <w:spacing w:line="300" w:lineRule="exact"/>
              <w:jc w:val="center"/>
              <w:rPr>
                <w:rFonts w:ascii="仿宋_GB2312" w:eastAsia="仿宋_GB2312"/>
                <w:b/>
              </w:rPr>
            </w:pPr>
            <w:r>
              <w:rPr>
                <w:rFonts w:hint="eastAsia" w:ascii="仿宋_GB2312" w:eastAsia="仿宋_GB2312"/>
                <w:b/>
              </w:rPr>
              <w:t>其他来源收入</w:t>
            </w:r>
          </w:p>
        </w:tc>
        <w:tc>
          <w:tcPr>
            <w:tcW w:w="921" w:type="dxa"/>
            <w:vMerge w:val="continue"/>
            <w:vAlign w:val="center"/>
          </w:tcPr>
          <w:p>
            <w:pPr>
              <w:spacing w:line="300" w:lineRule="exact"/>
              <w:jc w:val="left"/>
              <w:outlineLvl w:val="0"/>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vAlign w:val="center"/>
          </w:tcPr>
          <w:p>
            <w:pPr>
              <w:spacing w:line="300" w:lineRule="exact"/>
              <w:jc w:val="center"/>
              <w:rPr>
                <w:rFonts w:ascii="仿宋_GB2312" w:eastAsia="仿宋_GB2312"/>
                <w:b/>
              </w:rPr>
            </w:pPr>
            <w:r>
              <w:rPr>
                <w:rFonts w:hint="eastAsia" w:ascii="仿宋_GB2312" w:eastAsia="仿宋_GB2312"/>
                <w:b/>
              </w:rPr>
              <w:t>合　计</w:t>
            </w:r>
          </w:p>
        </w:tc>
        <w:tc>
          <w:tcPr>
            <w:tcW w:w="1099" w:type="dxa"/>
            <w:vAlign w:val="center"/>
          </w:tcPr>
          <w:p>
            <w:pPr>
              <w:spacing w:line="300" w:lineRule="exact"/>
              <w:jc w:val="right"/>
              <w:rPr>
                <w:rFonts w:ascii="仿宋_GB2312" w:eastAsia="仿宋_GB2312"/>
                <w:b/>
              </w:rPr>
            </w:pPr>
          </w:p>
        </w:tc>
        <w:tc>
          <w:tcPr>
            <w:tcW w:w="974" w:type="dxa"/>
            <w:vAlign w:val="center"/>
          </w:tcPr>
          <w:p>
            <w:pPr>
              <w:spacing w:line="300" w:lineRule="exact"/>
              <w:jc w:val="left"/>
              <w:rPr>
                <w:rFonts w:ascii="仿宋_GB2312" w:eastAsia="仿宋_GB2312"/>
                <w:b/>
              </w:rPr>
            </w:pPr>
          </w:p>
        </w:tc>
        <w:tc>
          <w:tcPr>
            <w:tcW w:w="986" w:type="dxa"/>
            <w:vAlign w:val="center"/>
          </w:tcPr>
          <w:p>
            <w:pPr>
              <w:spacing w:line="300" w:lineRule="exact"/>
              <w:jc w:val="left"/>
              <w:rPr>
                <w:rFonts w:ascii="仿宋_GB2312" w:eastAsia="仿宋_GB2312"/>
                <w:b/>
              </w:rPr>
            </w:pPr>
          </w:p>
        </w:tc>
        <w:tc>
          <w:tcPr>
            <w:tcW w:w="760" w:type="dxa"/>
            <w:vAlign w:val="center"/>
          </w:tcPr>
          <w:p>
            <w:pPr>
              <w:spacing w:line="300" w:lineRule="exact"/>
              <w:jc w:val="left"/>
              <w:rPr>
                <w:rFonts w:ascii="仿宋_GB2312" w:eastAsia="仿宋_GB2312"/>
                <w:b/>
              </w:rPr>
            </w:pPr>
          </w:p>
        </w:tc>
        <w:tc>
          <w:tcPr>
            <w:tcW w:w="760" w:type="dxa"/>
            <w:vAlign w:val="center"/>
          </w:tcPr>
          <w:p>
            <w:pPr>
              <w:spacing w:line="300" w:lineRule="exact"/>
              <w:jc w:val="right"/>
              <w:rPr>
                <w:rFonts w:ascii="仿宋_GB2312" w:eastAsia="仿宋_GB2312"/>
                <w:b/>
              </w:rPr>
            </w:pPr>
          </w:p>
        </w:tc>
        <w:tc>
          <w:tcPr>
            <w:tcW w:w="848" w:type="dxa"/>
            <w:vAlign w:val="center"/>
          </w:tcPr>
          <w:p>
            <w:pPr>
              <w:spacing w:line="300" w:lineRule="exact"/>
              <w:jc w:val="right"/>
              <w:rPr>
                <w:rFonts w:ascii="仿宋_GB2312" w:eastAsia="仿宋_GB2312"/>
                <w:b/>
              </w:rPr>
            </w:pPr>
          </w:p>
        </w:tc>
        <w:tc>
          <w:tcPr>
            <w:tcW w:w="961" w:type="dxa"/>
            <w:vAlign w:val="center"/>
          </w:tcPr>
          <w:p>
            <w:pPr>
              <w:spacing w:line="300" w:lineRule="exact"/>
              <w:jc w:val="right"/>
              <w:rPr>
                <w:rFonts w:ascii="仿宋_GB2312" w:eastAsia="仿宋_GB2312"/>
                <w:b/>
              </w:rPr>
            </w:pPr>
            <w:r>
              <w:rPr>
                <w:rFonts w:ascii="仿宋_GB2312" w:eastAsia="仿宋_GB2312"/>
                <w:b/>
              </w:rPr>
              <w:t>9.30</w:t>
            </w:r>
          </w:p>
        </w:tc>
        <w:tc>
          <w:tcPr>
            <w:tcW w:w="961" w:type="dxa"/>
            <w:vAlign w:val="center"/>
          </w:tcPr>
          <w:p>
            <w:pPr>
              <w:spacing w:line="300" w:lineRule="exact"/>
              <w:jc w:val="right"/>
              <w:rPr>
                <w:rFonts w:ascii="仿宋_GB2312" w:eastAsia="仿宋_GB2312"/>
                <w:b/>
              </w:rPr>
            </w:pPr>
            <w:r>
              <w:rPr>
                <w:rFonts w:ascii="仿宋_GB2312" w:eastAsia="仿宋_GB2312"/>
                <w:b/>
              </w:rPr>
              <w:t>9.30</w:t>
            </w:r>
          </w:p>
        </w:tc>
        <w:tc>
          <w:tcPr>
            <w:tcW w:w="961" w:type="dxa"/>
            <w:vAlign w:val="center"/>
          </w:tcPr>
          <w:p>
            <w:pPr>
              <w:spacing w:line="300" w:lineRule="exact"/>
              <w:jc w:val="right"/>
              <w:rPr>
                <w:rFonts w:ascii="仿宋_GB2312" w:eastAsia="仿宋_GB2312"/>
                <w:b/>
              </w:rPr>
            </w:pPr>
            <w:r>
              <w:rPr>
                <w:rFonts w:ascii="仿宋_GB2312" w:eastAsia="仿宋_GB2312"/>
                <w:b/>
              </w:rPr>
              <w:t>9.30</w:t>
            </w:r>
          </w:p>
        </w:tc>
        <w:tc>
          <w:tcPr>
            <w:tcW w:w="961" w:type="dxa"/>
            <w:vAlign w:val="center"/>
          </w:tcPr>
          <w:p>
            <w:pPr>
              <w:spacing w:line="300" w:lineRule="exact"/>
              <w:jc w:val="right"/>
              <w:rPr>
                <w:rFonts w:ascii="仿宋_GB2312" w:eastAsia="仿宋_GB2312"/>
                <w:b/>
              </w:rPr>
            </w:pPr>
          </w:p>
        </w:tc>
        <w:tc>
          <w:tcPr>
            <w:tcW w:w="964" w:type="dxa"/>
            <w:vAlign w:val="center"/>
          </w:tcPr>
          <w:p>
            <w:pPr>
              <w:spacing w:line="300" w:lineRule="exact"/>
              <w:jc w:val="right"/>
              <w:rPr>
                <w:rFonts w:ascii="仿宋_GB2312" w:eastAsia="仿宋_GB2312"/>
                <w:b/>
              </w:rPr>
            </w:pPr>
          </w:p>
        </w:tc>
        <w:tc>
          <w:tcPr>
            <w:tcW w:w="964" w:type="dxa"/>
            <w:vAlign w:val="center"/>
          </w:tcPr>
          <w:p>
            <w:pPr>
              <w:spacing w:line="300" w:lineRule="exact"/>
              <w:jc w:val="right"/>
              <w:rPr>
                <w:rFonts w:ascii="仿宋_GB2312" w:eastAsia="仿宋_GB2312"/>
                <w:b/>
              </w:rPr>
            </w:pPr>
          </w:p>
        </w:tc>
        <w:tc>
          <w:tcPr>
            <w:tcW w:w="921" w:type="dxa"/>
            <w:vAlign w:val="center"/>
          </w:tcPr>
          <w:p>
            <w:pPr>
              <w:spacing w:line="300" w:lineRule="exact"/>
              <w:jc w:val="right"/>
              <w:rPr>
                <w:rFonts w:ascii="仿宋_GB2312"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vAlign w:val="center"/>
          </w:tcPr>
          <w:p>
            <w:pPr>
              <w:spacing w:line="300" w:lineRule="exact"/>
              <w:jc w:val="center"/>
              <w:rPr>
                <w:rFonts w:ascii="仿宋_GB2312" w:eastAsia="仿宋_GB2312"/>
                <w:b/>
              </w:rPr>
            </w:pPr>
            <w:r>
              <w:rPr>
                <w:rFonts w:hint="eastAsia" w:ascii="仿宋_GB2312" w:eastAsia="仿宋_GB2312"/>
                <w:b/>
              </w:rPr>
              <w:t>大城县民政局小计</w:t>
            </w:r>
          </w:p>
        </w:tc>
        <w:tc>
          <w:tcPr>
            <w:tcW w:w="1099" w:type="dxa"/>
            <w:vAlign w:val="center"/>
          </w:tcPr>
          <w:p>
            <w:pPr>
              <w:spacing w:line="300" w:lineRule="exact"/>
              <w:jc w:val="right"/>
              <w:rPr>
                <w:rFonts w:ascii="仿宋_GB2312" w:eastAsia="仿宋_GB2312"/>
                <w:b/>
              </w:rPr>
            </w:pPr>
          </w:p>
        </w:tc>
        <w:tc>
          <w:tcPr>
            <w:tcW w:w="974" w:type="dxa"/>
            <w:vAlign w:val="center"/>
          </w:tcPr>
          <w:p>
            <w:pPr>
              <w:spacing w:line="300" w:lineRule="exact"/>
              <w:jc w:val="left"/>
              <w:rPr>
                <w:rFonts w:ascii="仿宋_GB2312" w:eastAsia="仿宋_GB2312"/>
                <w:b/>
              </w:rPr>
            </w:pPr>
          </w:p>
        </w:tc>
        <w:tc>
          <w:tcPr>
            <w:tcW w:w="986" w:type="dxa"/>
            <w:vAlign w:val="center"/>
          </w:tcPr>
          <w:p>
            <w:pPr>
              <w:spacing w:line="300" w:lineRule="exact"/>
              <w:jc w:val="left"/>
              <w:rPr>
                <w:rFonts w:ascii="仿宋_GB2312" w:eastAsia="仿宋_GB2312"/>
                <w:b/>
              </w:rPr>
            </w:pPr>
          </w:p>
        </w:tc>
        <w:tc>
          <w:tcPr>
            <w:tcW w:w="760" w:type="dxa"/>
            <w:vAlign w:val="center"/>
          </w:tcPr>
          <w:p>
            <w:pPr>
              <w:spacing w:line="300" w:lineRule="exact"/>
              <w:jc w:val="left"/>
              <w:rPr>
                <w:rFonts w:ascii="仿宋_GB2312" w:eastAsia="仿宋_GB2312"/>
                <w:b/>
              </w:rPr>
            </w:pPr>
          </w:p>
        </w:tc>
        <w:tc>
          <w:tcPr>
            <w:tcW w:w="760" w:type="dxa"/>
            <w:vAlign w:val="center"/>
          </w:tcPr>
          <w:p>
            <w:pPr>
              <w:spacing w:line="300" w:lineRule="exact"/>
              <w:jc w:val="right"/>
              <w:rPr>
                <w:rFonts w:ascii="仿宋_GB2312" w:eastAsia="仿宋_GB2312"/>
                <w:b/>
              </w:rPr>
            </w:pPr>
          </w:p>
        </w:tc>
        <w:tc>
          <w:tcPr>
            <w:tcW w:w="848" w:type="dxa"/>
            <w:vAlign w:val="center"/>
          </w:tcPr>
          <w:p>
            <w:pPr>
              <w:spacing w:line="300" w:lineRule="exact"/>
              <w:jc w:val="right"/>
              <w:rPr>
                <w:rFonts w:ascii="仿宋_GB2312" w:eastAsia="仿宋_GB2312"/>
                <w:b/>
              </w:rPr>
            </w:pPr>
          </w:p>
        </w:tc>
        <w:tc>
          <w:tcPr>
            <w:tcW w:w="961" w:type="dxa"/>
            <w:vAlign w:val="center"/>
          </w:tcPr>
          <w:p>
            <w:pPr>
              <w:spacing w:line="300" w:lineRule="exact"/>
              <w:jc w:val="right"/>
              <w:rPr>
                <w:rFonts w:ascii="仿宋_GB2312" w:eastAsia="仿宋_GB2312"/>
                <w:b/>
              </w:rPr>
            </w:pPr>
            <w:r>
              <w:rPr>
                <w:rFonts w:ascii="仿宋_GB2312" w:eastAsia="仿宋_GB2312"/>
                <w:b/>
              </w:rPr>
              <w:t>9.30</w:t>
            </w:r>
          </w:p>
        </w:tc>
        <w:tc>
          <w:tcPr>
            <w:tcW w:w="961" w:type="dxa"/>
            <w:vAlign w:val="center"/>
          </w:tcPr>
          <w:p>
            <w:pPr>
              <w:spacing w:line="300" w:lineRule="exact"/>
              <w:jc w:val="right"/>
              <w:rPr>
                <w:rFonts w:ascii="仿宋_GB2312" w:eastAsia="仿宋_GB2312"/>
                <w:b/>
              </w:rPr>
            </w:pPr>
            <w:r>
              <w:rPr>
                <w:rFonts w:ascii="仿宋_GB2312" w:eastAsia="仿宋_GB2312"/>
                <w:b/>
              </w:rPr>
              <w:t>9.30</w:t>
            </w:r>
          </w:p>
        </w:tc>
        <w:tc>
          <w:tcPr>
            <w:tcW w:w="961" w:type="dxa"/>
            <w:vAlign w:val="center"/>
          </w:tcPr>
          <w:p>
            <w:pPr>
              <w:spacing w:line="300" w:lineRule="exact"/>
              <w:jc w:val="right"/>
              <w:rPr>
                <w:rFonts w:ascii="仿宋_GB2312" w:eastAsia="仿宋_GB2312"/>
                <w:b/>
              </w:rPr>
            </w:pPr>
            <w:r>
              <w:rPr>
                <w:rFonts w:ascii="仿宋_GB2312" w:eastAsia="仿宋_GB2312"/>
                <w:b/>
              </w:rPr>
              <w:t>9.30</w:t>
            </w:r>
          </w:p>
        </w:tc>
        <w:tc>
          <w:tcPr>
            <w:tcW w:w="961" w:type="dxa"/>
            <w:vAlign w:val="center"/>
          </w:tcPr>
          <w:p>
            <w:pPr>
              <w:spacing w:line="300" w:lineRule="exact"/>
              <w:jc w:val="right"/>
              <w:rPr>
                <w:rFonts w:ascii="仿宋_GB2312" w:eastAsia="仿宋_GB2312"/>
                <w:b/>
              </w:rPr>
            </w:pPr>
          </w:p>
        </w:tc>
        <w:tc>
          <w:tcPr>
            <w:tcW w:w="964" w:type="dxa"/>
            <w:vAlign w:val="center"/>
          </w:tcPr>
          <w:p>
            <w:pPr>
              <w:spacing w:line="300" w:lineRule="exact"/>
              <w:jc w:val="right"/>
              <w:rPr>
                <w:rFonts w:ascii="仿宋_GB2312" w:eastAsia="仿宋_GB2312"/>
                <w:b/>
              </w:rPr>
            </w:pPr>
          </w:p>
        </w:tc>
        <w:tc>
          <w:tcPr>
            <w:tcW w:w="964" w:type="dxa"/>
            <w:vAlign w:val="center"/>
          </w:tcPr>
          <w:p>
            <w:pPr>
              <w:spacing w:line="300" w:lineRule="exact"/>
              <w:jc w:val="right"/>
              <w:rPr>
                <w:rFonts w:ascii="仿宋_GB2312" w:eastAsia="仿宋_GB2312"/>
                <w:b/>
              </w:rPr>
            </w:pPr>
          </w:p>
        </w:tc>
        <w:tc>
          <w:tcPr>
            <w:tcW w:w="921" w:type="dxa"/>
            <w:vAlign w:val="center"/>
          </w:tcPr>
          <w:p>
            <w:pPr>
              <w:spacing w:line="300" w:lineRule="exact"/>
              <w:jc w:val="right"/>
              <w:rPr>
                <w:rFonts w:ascii="仿宋_GB2312"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vAlign w:val="center"/>
          </w:tcPr>
          <w:p>
            <w:pPr>
              <w:spacing w:line="300" w:lineRule="exact"/>
              <w:jc w:val="left"/>
              <w:rPr>
                <w:rFonts w:ascii="仿宋_GB2312" w:eastAsia="仿宋_GB2312"/>
              </w:rPr>
            </w:pPr>
            <w:r>
              <w:rPr>
                <w:rFonts w:hint="eastAsia" w:ascii="仿宋_GB2312" w:eastAsia="仿宋_GB2312"/>
              </w:rPr>
              <w:t>日常公用经费</w:t>
            </w:r>
          </w:p>
        </w:tc>
        <w:tc>
          <w:tcPr>
            <w:tcW w:w="1099" w:type="dxa"/>
            <w:vAlign w:val="center"/>
          </w:tcPr>
          <w:p>
            <w:pPr>
              <w:spacing w:line="300" w:lineRule="exact"/>
              <w:jc w:val="right"/>
              <w:rPr>
                <w:rFonts w:ascii="仿宋_GB2312" w:eastAsia="仿宋_GB2312"/>
              </w:rPr>
            </w:pPr>
            <w:r>
              <w:rPr>
                <w:rFonts w:ascii="仿宋_GB2312" w:eastAsia="仿宋_GB2312"/>
              </w:rPr>
              <w:t>108.68</w:t>
            </w:r>
          </w:p>
        </w:tc>
        <w:tc>
          <w:tcPr>
            <w:tcW w:w="974" w:type="dxa"/>
            <w:vAlign w:val="center"/>
          </w:tcPr>
          <w:p>
            <w:pPr>
              <w:spacing w:line="300" w:lineRule="exact"/>
              <w:jc w:val="left"/>
              <w:rPr>
                <w:rFonts w:ascii="仿宋_GB2312" w:eastAsia="仿宋_GB2312"/>
              </w:rPr>
            </w:pPr>
            <w:r>
              <w:rPr>
                <w:rFonts w:hint="eastAsia" w:ascii="仿宋_GB2312" w:eastAsia="仿宋_GB2312"/>
              </w:rPr>
              <w:t>计算机设备</w:t>
            </w:r>
          </w:p>
        </w:tc>
        <w:tc>
          <w:tcPr>
            <w:tcW w:w="986" w:type="dxa"/>
            <w:vAlign w:val="center"/>
          </w:tcPr>
          <w:p>
            <w:pPr>
              <w:spacing w:line="300" w:lineRule="exact"/>
              <w:jc w:val="left"/>
              <w:rPr>
                <w:rFonts w:ascii="仿宋_GB2312" w:eastAsia="仿宋_GB2312"/>
              </w:rPr>
            </w:pPr>
            <w:r>
              <w:rPr>
                <w:rFonts w:ascii="仿宋_GB2312" w:eastAsia="仿宋_GB2312"/>
              </w:rPr>
              <w:t>A020101</w:t>
            </w:r>
          </w:p>
        </w:tc>
        <w:tc>
          <w:tcPr>
            <w:tcW w:w="760" w:type="dxa"/>
            <w:vAlign w:val="center"/>
          </w:tcPr>
          <w:p>
            <w:pPr>
              <w:spacing w:line="300" w:lineRule="exact"/>
              <w:jc w:val="left"/>
              <w:rPr>
                <w:rFonts w:ascii="仿宋_GB2312" w:eastAsia="仿宋_GB2312"/>
              </w:rPr>
            </w:pPr>
            <w:r>
              <w:rPr>
                <w:rFonts w:hint="eastAsia" w:ascii="仿宋_GB2312" w:eastAsia="仿宋_GB2312"/>
              </w:rPr>
              <w:t>台</w:t>
            </w:r>
          </w:p>
        </w:tc>
        <w:tc>
          <w:tcPr>
            <w:tcW w:w="760" w:type="dxa"/>
            <w:vAlign w:val="center"/>
          </w:tcPr>
          <w:p>
            <w:pPr>
              <w:spacing w:line="300" w:lineRule="exact"/>
              <w:jc w:val="right"/>
              <w:rPr>
                <w:rFonts w:ascii="仿宋_GB2312" w:eastAsia="仿宋_GB2312"/>
              </w:rPr>
            </w:pPr>
            <w:r>
              <w:rPr>
                <w:rFonts w:ascii="仿宋_GB2312" w:eastAsia="仿宋_GB2312"/>
              </w:rPr>
              <w:t>6.00</w:t>
            </w:r>
          </w:p>
        </w:tc>
        <w:tc>
          <w:tcPr>
            <w:tcW w:w="848" w:type="dxa"/>
            <w:vAlign w:val="center"/>
          </w:tcPr>
          <w:p>
            <w:pPr>
              <w:spacing w:line="300" w:lineRule="exact"/>
              <w:jc w:val="right"/>
              <w:rPr>
                <w:rFonts w:ascii="仿宋_GB2312" w:eastAsia="仿宋_GB2312"/>
              </w:rPr>
            </w:pPr>
            <w:r>
              <w:rPr>
                <w:rFonts w:ascii="仿宋_GB2312" w:eastAsia="仿宋_GB2312"/>
              </w:rPr>
              <w:t>0.45</w:t>
            </w:r>
          </w:p>
        </w:tc>
        <w:tc>
          <w:tcPr>
            <w:tcW w:w="961" w:type="dxa"/>
            <w:vAlign w:val="center"/>
          </w:tcPr>
          <w:p>
            <w:pPr>
              <w:spacing w:line="300" w:lineRule="exact"/>
              <w:jc w:val="right"/>
              <w:rPr>
                <w:rFonts w:ascii="仿宋_GB2312" w:eastAsia="仿宋_GB2312"/>
              </w:rPr>
            </w:pPr>
            <w:r>
              <w:rPr>
                <w:rFonts w:ascii="仿宋_GB2312" w:eastAsia="仿宋_GB2312"/>
              </w:rPr>
              <w:t>2.70</w:t>
            </w:r>
          </w:p>
        </w:tc>
        <w:tc>
          <w:tcPr>
            <w:tcW w:w="961" w:type="dxa"/>
            <w:vAlign w:val="center"/>
          </w:tcPr>
          <w:p>
            <w:pPr>
              <w:spacing w:line="300" w:lineRule="exact"/>
              <w:jc w:val="right"/>
              <w:rPr>
                <w:rFonts w:ascii="仿宋_GB2312" w:eastAsia="仿宋_GB2312"/>
              </w:rPr>
            </w:pPr>
            <w:r>
              <w:rPr>
                <w:rFonts w:ascii="仿宋_GB2312" w:eastAsia="仿宋_GB2312"/>
              </w:rPr>
              <w:t>2.70</w:t>
            </w:r>
          </w:p>
        </w:tc>
        <w:tc>
          <w:tcPr>
            <w:tcW w:w="961" w:type="dxa"/>
            <w:vAlign w:val="center"/>
          </w:tcPr>
          <w:p>
            <w:pPr>
              <w:spacing w:line="300" w:lineRule="exact"/>
              <w:jc w:val="right"/>
              <w:rPr>
                <w:rFonts w:ascii="仿宋_GB2312" w:eastAsia="仿宋_GB2312"/>
              </w:rPr>
            </w:pPr>
            <w:r>
              <w:rPr>
                <w:rFonts w:ascii="仿宋_GB2312" w:eastAsia="仿宋_GB2312"/>
              </w:rPr>
              <w:t>2.70</w:t>
            </w:r>
          </w:p>
        </w:tc>
        <w:tc>
          <w:tcPr>
            <w:tcW w:w="961" w:type="dxa"/>
            <w:vAlign w:val="center"/>
          </w:tcPr>
          <w:p>
            <w:pPr>
              <w:spacing w:line="300" w:lineRule="exact"/>
              <w:jc w:val="right"/>
              <w:rPr>
                <w:rFonts w:ascii="仿宋_GB2312" w:eastAsia="仿宋_GB2312"/>
              </w:rPr>
            </w:pPr>
          </w:p>
        </w:tc>
        <w:tc>
          <w:tcPr>
            <w:tcW w:w="964" w:type="dxa"/>
            <w:vAlign w:val="center"/>
          </w:tcPr>
          <w:p>
            <w:pPr>
              <w:spacing w:line="300" w:lineRule="exact"/>
              <w:jc w:val="right"/>
              <w:rPr>
                <w:rFonts w:ascii="仿宋_GB2312" w:eastAsia="仿宋_GB2312"/>
              </w:rPr>
            </w:pPr>
          </w:p>
        </w:tc>
        <w:tc>
          <w:tcPr>
            <w:tcW w:w="964" w:type="dxa"/>
            <w:vAlign w:val="center"/>
          </w:tcPr>
          <w:p>
            <w:pPr>
              <w:spacing w:line="300" w:lineRule="exact"/>
              <w:jc w:val="right"/>
              <w:rPr>
                <w:rFonts w:ascii="仿宋_GB2312" w:eastAsia="仿宋_GB2312"/>
              </w:rPr>
            </w:pPr>
          </w:p>
        </w:tc>
        <w:tc>
          <w:tcPr>
            <w:tcW w:w="921" w:type="dxa"/>
            <w:vAlign w:val="center"/>
          </w:tcPr>
          <w:p>
            <w:pPr>
              <w:spacing w:line="300" w:lineRule="exact"/>
              <w:jc w:val="righ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48" w:type="dxa"/>
            <w:vAlign w:val="center"/>
          </w:tcPr>
          <w:p>
            <w:pPr>
              <w:spacing w:line="300" w:lineRule="exact"/>
              <w:jc w:val="left"/>
              <w:rPr>
                <w:rFonts w:ascii="仿宋_GB2312" w:eastAsia="仿宋_GB2312"/>
              </w:rPr>
            </w:pPr>
            <w:r>
              <w:rPr>
                <w:rFonts w:hint="eastAsia" w:ascii="仿宋_GB2312" w:eastAsia="仿宋_GB2312"/>
              </w:rPr>
              <w:t>日常公用经费</w:t>
            </w:r>
          </w:p>
        </w:tc>
        <w:tc>
          <w:tcPr>
            <w:tcW w:w="1099" w:type="dxa"/>
            <w:vAlign w:val="center"/>
          </w:tcPr>
          <w:p>
            <w:pPr>
              <w:spacing w:line="300" w:lineRule="exact"/>
              <w:jc w:val="right"/>
              <w:rPr>
                <w:rFonts w:ascii="仿宋_GB2312" w:eastAsia="仿宋_GB2312"/>
              </w:rPr>
            </w:pPr>
            <w:r>
              <w:rPr>
                <w:rFonts w:ascii="仿宋_GB2312" w:eastAsia="仿宋_GB2312"/>
              </w:rPr>
              <w:t>108.68</w:t>
            </w:r>
          </w:p>
        </w:tc>
        <w:tc>
          <w:tcPr>
            <w:tcW w:w="974" w:type="dxa"/>
            <w:vAlign w:val="center"/>
          </w:tcPr>
          <w:p>
            <w:pPr>
              <w:spacing w:line="300" w:lineRule="exact"/>
              <w:jc w:val="left"/>
              <w:rPr>
                <w:rFonts w:ascii="仿宋_GB2312" w:eastAsia="仿宋_GB2312"/>
              </w:rPr>
            </w:pPr>
            <w:r>
              <w:rPr>
                <w:rFonts w:hint="eastAsia" w:ascii="仿宋_GB2312" w:eastAsia="仿宋_GB2312"/>
              </w:rPr>
              <w:t>计算机设备</w:t>
            </w:r>
          </w:p>
        </w:tc>
        <w:tc>
          <w:tcPr>
            <w:tcW w:w="986" w:type="dxa"/>
            <w:vAlign w:val="center"/>
          </w:tcPr>
          <w:p>
            <w:pPr>
              <w:spacing w:line="300" w:lineRule="exact"/>
              <w:jc w:val="left"/>
              <w:rPr>
                <w:rFonts w:ascii="仿宋_GB2312" w:eastAsia="仿宋_GB2312"/>
              </w:rPr>
            </w:pPr>
            <w:r>
              <w:rPr>
                <w:rFonts w:ascii="仿宋_GB2312" w:eastAsia="仿宋_GB2312"/>
              </w:rPr>
              <w:t>A020101</w:t>
            </w:r>
          </w:p>
        </w:tc>
        <w:tc>
          <w:tcPr>
            <w:tcW w:w="760" w:type="dxa"/>
            <w:vAlign w:val="center"/>
          </w:tcPr>
          <w:p>
            <w:pPr>
              <w:spacing w:line="300" w:lineRule="exact"/>
              <w:jc w:val="left"/>
              <w:rPr>
                <w:rFonts w:ascii="仿宋_GB2312" w:eastAsia="仿宋_GB2312"/>
              </w:rPr>
            </w:pPr>
            <w:r>
              <w:rPr>
                <w:rFonts w:hint="eastAsia" w:ascii="仿宋_GB2312" w:eastAsia="仿宋_GB2312"/>
              </w:rPr>
              <w:t>台</w:t>
            </w:r>
          </w:p>
        </w:tc>
        <w:tc>
          <w:tcPr>
            <w:tcW w:w="760" w:type="dxa"/>
            <w:vAlign w:val="center"/>
          </w:tcPr>
          <w:p>
            <w:pPr>
              <w:spacing w:line="300" w:lineRule="exact"/>
              <w:jc w:val="right"/>
              <w:rPr>
                <w:rFonts w:ascii="仿宋_GB2312" w:eastAsia="仿宋_GB2312"/>
              </w:rPr>
            </w:pPr>
            <w:r>
              <w:rPr>
                <w:rFonts w:ascii="仿宋_GB2312" w:eastAsia="仿宋_GB2312"/>
              </w:rPr>
              <w:t>2.00</w:t>
            </w:r>
          </w:p>
        </w:tc>
        <w:tc>
          <w:tcPr>
            <w:tcW w:w="848" w:type="dxa"/>
            <w:vAlign w:val="center"/>
          </w:tcPr>
          <w:p>
            <w:pPr>
              <w:spacing w:line="300" w:lineRule="exact"/>
              <w:jc w:val="right"/>
              <w:rPr>
                <w:rFonts w:ascii="仿宋_GB2312" w:eastAsia="仿宋_GB2312"/>
              </w:rPr>
            </w:pPr>
            <w:r>
              <w:rPr>
                <w:rFonts w:ascii="仿宋_GB2312" w:eastAsia="仿宋_GB2312"/>
              </w:rPr>
              <w:t>0.60</w:t>
            </w:r>
          </w:p>
        </w:tc>
        <w:tc>
          <w:tcPr>
            <w:tcW w:w="961" w:type="dxa"/>
            <w:vAlign w:val="center"/>
          </w:tcPr>
          <w:p>
            <w:pPr>
              <w:spacing w:line="300" w:lineRule="exact"/>
              <w:jc w:val="right"/>
              <w:rPr>
                <w:rFonts w:ascii="仿宋_GB2312" w:eastAsia="仿宋_GB2312"/>
              </w:rPr>
            </w:pPr>
            <w:r>
              <w:rPr>
                <w:rFonts w:ascii="仿宋_GB2312" w:eastAsia="仿宋_GB2312"/>
              </w:rPr>
              <w:t>1.20</w:t>
            </w:r>
          </w:p>
        </w:tc>
        <w:tc>
          <w:tcPr>
            <w:tcW w:w="961" w:type="dxa"/>
            <w:vAlign w:val="center"/>
          </w:tcPr>
          <w:p>
            <w:pPr>
              <w:spacing w:line="300" w:lineRule="exact"/>
              <w:jc w:val="right"/>
              <w:rPr>
                <w:rFonts w:ascii="仿宋_GB2312" w:eastAsia="仿宋_GB2312"/>
              </w:rPr>
            </w:pPr>
            <w:r>
              <w:rPr>
                <w:rFonts w:ascii="仿宋_GB2312" w:eastAsia="仿宋_GB2312"/>
              </w:rPr>
              <w:t>1.20</w:t>
            </w:r>
          </w:p>
        </w:tc>
        <w:tc>
          <w:tcPr>
            <w:tcW w:w="961" w:type="dxa"/>
            <w:vAlign w:val="center"/>
          </w:tcPr>
          <w:p>
            <w:pPr>
              <w:spacing w:line="300" w:lineRule="exact"/>
              <w:jc w:val="right"/>
              <w:rPr>
                <w:rFonts w:ascii="仿宋_GB2312" w:eastAsia="仿宋_GB2312"/>
              </w:rPr>
            </w:pPr>
            <w:r>
              <w:rPr>
                <w:rFonts w:ascii="仿宋_GB2312" w:eastAsia="仿宋_GB2312"/>
              </w:rPr>
              <w:t>1.20</w:t>
            </w:r>
          </w:p>
        </w:tc>
        <w:tc>
          <w:tcPr>
            <w:tcW w:w="961" w:type="dxa"/>
            <w:vAlign w:val="center"/>
          </w:tcPr>
          <w:p>
            <w:pPr>
              <w:spacing w:line="300" w:lineRule="exact"/>
              <w:jc w:val="right"/>
              <w:rPr>
                <w:rFonts w:ascii="仿宋_GB2312" w:eastAsia="仿宋_GB2312"/>
              </w:rPr>
            </w:pPr>
          </w:p>
        </w:tc>
        <w:tc>
          <w:tcPr>
            <w:tcW w:w="964" w:type="dxa"/>
            <w:vAlign w:val="center"/>
          </w:tcPr>
          <w:p>
            <w:pPr>
              <w:spacing w:line="300" w:lineRule="exact"/>
              <w:jc w:val="right"/>
              <w:rPr>
                <w:rFonts w:ascii="仿宋_GB2312" w:eastAsia="仿宋_GB2312"/>
              </w:rPr>
            </w:pPr>
          </w:p>
        </w:tc>
        <w:tc>
          <w:tcPr>
            <w:tcW w:w="964" w:type="dxa"/>
            <w:vAlign w:val="center"/>
          </w:tcPr>
          <w:p>
            <w:pPr>
              <w:spacing w:line="300" w:lineRule="exact"/>
              <w:jc w:val="right"/>
              <w:rPr>
                <w:rFonts w:ascii="仿宋_GB2312" w:eastAsia="仿宋_GB2312"/>
              </w:rPr>
            </w:pPr>
          </w:p>
        </w:tc>
        <w:tc>
          <w:tcPr>
            <w:tcW w:w="921" w:type="dxa"/>
            <w:vAlign w:val="center"/>
          </w:tcPr>
          <w:p>
            <w:pPr>
              <w:spacing w:line="300" w:lineRule="exact"/>
              <w:jc w:val="righ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vAlign w:val="center"/>
          </w:tcPr>
          <w:p>
            <w:pPr>
              <w:spacing w:line="300" w:lineRule="exact"/>
              <w:jc w:val="left"/>
              <w:rPr>
                <w:rFonts w:ascii="仿宋_GB2312" w:eastAsia="仿宋_GB2312"/>
              </w:rPr>
            </w:pPr>
            <w:r>
              <w:rPr>
                <w:rFonts w:hint="eastAsia" w:ascii="仿宋_GB2312" w:eastAsia="仿宋_GB2312"/>
              </w:rPr>
              <w:t>日常公用经费</w:t>
            </w:r>
          </w:p>
        </w:tc>
        <w:tc>
          <w:tcPr>
            <w:tcW w:w="1099" w:type="dxa"/>
            <w:vAlign w:val="center"/>
          </w:tcPr>
          <w:p>
            <w:pPr>
              <w:spacing w:line="300" w:lineRule="exact"/>
              <w:jc w:val="right"/>
              <w:rPr>
                <w:rFonts w:ascii="仿宋_GB2312" w:eastAsia="仿宋_GB2312"/>
              </w:rPr>
            </w:pPr>
            <w:r>
              <w:rPr>
                <w:rFonts w:ascii="仿宋_GB2312" w:eastAsia="仿宋_GB2312"/>
              </w:rPr>
              <w:t>108.68</w:t>
            </w:r>
          </w:p>
        </w:tc>
        <w:tc>
          <w:tcPr>
            <w:tcW w:w="974" w:type="dxa"/>
            <w:vAlign w:val="center"/>
          </w:tcPr>
          <w:p>
            <w:pPr>
              <w:spacing w:line="300" w:lineRule="exact"/>
              <w:jc w:val="left"/>
              <w:rPr>
                <w:rFonts w:ascii="仿宋_GB2312" w:eastAsia="仿宋_GB2312"/>
              </w:rPr>
            </w:pPr>
            <w:r>
              <w:rPr>
                <w:rFonts w:hint="eastAsia" w:ascii="仿宋_GB2312" w:eastAsia="仿宋_GB2312"/>
              </w:rPr>
              <w:t>多功能一体机</w:t>
            </w:r>
          </w:p>
        </w:tc>
        <w:tc>
          <w:tcPr>
            <w:tcW w:w="986" w:type="dxa"/>
            <w:vAlign w:val="center"/>
          </w:tcPr>
          <w:p>
            <w:pPr>
              <w:spacing w:line="300" w:lineRule="exact"/>
              <w:jc w:val="left"/>
              <w:rPr>
                <w:rFonts w:ascii="仿宋_GB2312" w:eastAsia="仿宋_GB2312"/>
              </w:rPr>
            </w:pPr>
            <w:r>
              <w:rPr>
                <w:rFonts w:ascii="仿宋_GB2312" w:eastAsia="仿宋_GB2312"/>
              </w:rPr>
              <w:t>A020204</w:t>
            </w:r>
          </w:p>
        </w:tc>
        <w:tc>
          <w:tcPr>
            <w:tcW w:w="760" w:type="dxa"/>
            <w:vAlign w:val="center"/>
          </w:tcPr>
          <w:p>
            <w:pPr>
              <w:spacing w:line="300" w:lineRule="exact"/>
              <w:jc w:val="left"/>
              <w:rPr>
                <w:rFonts w:ascii="仿宋_GB2312" w:eastAsia="仿宋_GB2312"/>
              </w:rPr>
            </w:pPr>
            <w:r>
              <w:rPr>
                <w:rFonts w:hint="eastAsia" w:ascii="仿宋_GB2312" w:eastAsia="仿宋_GB2312"/>
              </w:rPr>
              <w:t>台</w:t>
            </w:r>
          </w:p>
        </w:tc>
        <w:tc>
          <w:tcPr>
            <w:tcW w:w="760" w:type="dxa"/>
            <w:vAlign w:val="center"/>
          </w:tcPr>
          <w:p>
            <w:pPr>
              <w:spacing w:line="300" w:lineRule="exact"/>
              <w:jc w:val="right"/>
              <w:rPr>
                <w:rFonts w:ascii="仿宋_GB2312" w:eastAsia="仿宋_GB2312"/>
              </w:rPr>
            </w:pPr>
            <w:r>
              <w:rPr>
                <w:rFonts w:ascii="仿宋_GB2312" w:eastAsia="仿宋_GB2312"/>
              </w:rPr>
              <w:t>6.00</w:t>
            </w:r>
          </w:p>
        </w:tc>
        <w:tc>
          <w:tcPr>
            <w:tcW w:w="848" w:type="dxa"/>
            <w:vAlign w:val="center"/>
          </w:tcPr>
          <w:p>
            <w:pPr>
              <w:spacing w:line="300" w:lineRule="exact"/>
              <w:jc w:val="right"/>
              <w:rPr>
                <w:rFonts w:ascii="仿宋_GB2312" w:eastAsia="仿宋_GB2312"/>
              </w:rPr>
            </w:pPr>
            <w:r>
              <w:rPr>
                <w:rFonts w:ascii="仿宋_GB2312" w:eastAsia="仿宋_GB2312"/>
              </w:rPr>
              <w:t>0.30</w:t>
            </w:r>
          </w:p>
        </w:tc>
        <w:tc>
          <w:tcPr>
            <w:tcW w:w="961" w:type="dxa"/>
            <w:vAlign w:val="center"/>
          </w:tcPr>
          <w:p>
            <w:pPr>
              <w:spacing w:line="300" w:lineRule="exact"/>
              <w:jc w:val="right"/>
              <w:rPr>
                <w:rFonts w:ascii="仿宋_GB2312" w:eastAsia="仿宋_GB2312"/>
              </w:rPr>
            </w:pPr>
            <w:r>
              <w:rPr>
                <w:rFonts w:ascii="仿宋_GB2312" w:eastAsia="仿宋_GB2312"/>
              </w:rPr>
              <w:t>1.80</w:t>
            </w:r>
          </w:p>
        </w:tc>
        <w:tc>
          <w:tcPr>
            <w:tcW w:w="961" w:type="dxa"/>
            <w:vAlign w:val="center"/>
          </w:tcPr>
          <w:p>
            <w:pPr>
              <w:spacing w:line="300" w:lineRule="exact"/>
              <w:jc w:val="right"/>
              <w:rPr>
                <w:rFonts w:ascii="仿宋_GB2312" w:eastAsia="仿宋_GB2312"/>
              </w:rPr>
            </w:pPr>
            <w:r>
              <w:rPr>
                <w:rFonts w:ascii="仿宋_GB2312" w:eastAsia="仿宋_GB2312"/>
              </w:rPr>
              <w:t>1.80</w:t>
            </w:r>
          </w:p>
        </w:tc>
        <w:tc>
          <w:tcPr>
            <w:tcW w:w="961" w:type="dxa"/>
            <w:vAlign w:val="center"/>
          </w:tcPr>
          <w:p>
            <w:pPr>
              <w:spacing w:line="300" w:lineRule="exact"/>
              <w:jc w:val="right"/>
              <w:rPr>
                <w:rFonts w:ascii="仿宋_GB2312" w:eastAsia="仿宋_GB2312"/>
              </w:rPr>
            </w:pPr>
            <w:r>
              <w:rPr>
                <w:rFonts w:ascii="仿宋_GB2312" w:eastAsia="仿宋_GB2312"/>
              </w:rPr>
              <w:t>1.80</w:t>
            </w:r>
          </w:p>
        </w:tc>
        <w:tc>
          <w:tcPr>
            <w:tcW w:w="961" w:type="dxa"/>
            <w:vAlign w:val="center"/>
          </w:tcPr>
          <w:p>
            <w:pPr>
              <w:spacing w:line="300" w:lineRule="exact"/>
              <w:jc w:val="right"/>
              <w:rPr>
                <w:rFonts w:ascii="仿宋_GB2312" w:eastAsia="仿宋_GB2312"/>
              </w:rPr>
            </w:pPr>
          </w:p>
        </w:tc>
        <w:tc>
          <w:tcPr>
            <w:tcW w:w="964" w:type="dxa"/>
            <w:vAlign w:val="center"/>
          </w:tcPr>
          <w:p>
            <w:pPr>
              <w:spacing w:line="300" w:lineRule="exact"/>
              <w:jc w:val="right"/>
              <w:rPr>
                <w:rFonts w:ascii="仿宋_GB2312" w:eastAsia="仿宋_GB2312"/>
              </w:rPr>
            </w:pPr>
          </w:p>
        </w:tc>
        <w:tc>
          <w:tcPr>
            <w:tcW w:w="964" w:type="dxa"/>
            <w:vAlign w:val="center"/>
          </w:tcPr>
          <w:p>
            <w:pPr>
              <w:spacing w:line="300" w:lineRule="exact"/>
              <w:jc w:val="right"/>
              <w:rPr>
                <w:rFonts w:ascii="仿宋_GB2312" w:eastAsia="仿宋_GB2312"/>
              </w:rPr>
            </w:pPr>
          </w:p>
        </w:tc>
        <w:tc>
          <w:tcPr>
            <w:tcW w:w="921" w:type="dxa"/>
            <w:vAlign w:val="center"/>
          </w:tcPr>
          <w:p>
            <w:pPr>
              <w:spacing w:line="300" w:lineRule="exact"/>
              <w:jc w:val="righ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vAlign w:val="center"/>
          </w:tcPr>
          <w:p>
            <w:pPr>
              <w:spacing w:line="300" w:lineRule="exact"/>
              <w:jc w:val="left"/>
              <w:rPr>
                <w:rFonts w:ascii="仿宋_GB2312" w:eastAsia="仿宋_GB2312"/>
              </w:rPr>
            </w:pPr>
            <w:r>
              <w:rPr>
                <w:rFonts w:hint="eastAsia" w:ascii="仿宋_GB2312" w:eastAsia="仿宋_GB2312"/>
              </w:rPr>
              <w:t>日常公用经费</w:t>
            </w:r>
          </w:p>
        </w:tc>
        <w:tc>
          <w:tcPr>
            <w:tcW w:w="1099" w:type="dxa"/>
            <w:vAlign w:val="center"/>
          </w:tcPr>
          <w:p>
            <w:pPr>
              <w:spacing w:line="300" w:lineRule="exact"/>
              <w:jc w:val="right"/>
              <w:rPr>
                <w:rFonts w:ascii="仿宋_GB2312" w:eastAsia="仿宋_GB2312"/>
              </w:rPr>
            </w:pPr>
            <w:r>
              <w:rPr>
                <w:rFonts w:ascii="仿宋_GB2312" w:eastAsia="仿宋_GB2312"/>
              </w:rPr>
              <w:t>108.68</w:t>
            </w:r>
          </w:p>
        </w:tc>
        <w:tc>
          <w:tcPr>
            <w:tcW w:w="974" w:type="dxa"/>
            <w:vAlign w:val="center"/>
          </w:tcPr>
          <w:p>
            <w:pPr>
              <w:spacing w:line="300" w:lineRule="exact"/>
              <w:jc w:val="left"/>
              <w:rPr>
                <w:rFonts w:ascii="仿宋_GB2312" w:eastAsia="仿宋_GB2312"/>
              </w:rPr>
            </w:pPr>
            <w:r>
              <w:rPr>
                <w:rFonts w:hint="eastAsia" w:ascii="仿宋_GB2312" w:eastAsia="仿宋_GB2312"/>
              </w:rPr>
              <w:t>制冷空调设备</w:t>
            </w:r>
          </w:p>
        </w:tc>
        <w:tc>
          <w:tcPr>
            <w:tcW w:w="986" w:type="dxa"/>
            <w:vAlign w:val="center"/>
          </w:tcPr>
          <w:p>
            <w:pPr>
              <w:spacing w:line="300" w:lineRule="exact"/>
              <w:jc w:val="left"/>
              <w:rPr>
                <w:rFonts w:ascii="仿宋_GB2312" w:eastAsia="仿宋_GB2312"/>
              </w:rPr>
            </w:pPr>
            <w:r>
              <w:rPr>
                <w:rFonts w:ascii="仿宋_GB2312" w:eastAsia="仿宋_GB2312"/>
              </w:rPr>
              <w:t>A020523</w:t>
            </w:r>
          </w:p>
        </w:tc>
        <w:tc>
          <w:tcPr>
            <w:tcW w:w="760" w:type="dxa"/>
            <w:vAlign w:val="center"/>
          </w:tcPr>
          <w:p>
            <w:pPr>
              <w:spacing w:line="300" w:lineRule="exact"/>
              <w:jc w:val="left"/>
              <w:rPr>
                <w:rFonts w:ascii="仿宋_GB2312" w:eastAsia="仿宋_GB2312"/>
              </w:rPr>
            </w:pPr>
            <w:r>
              <w:rPr>
                <w:rFonts w:hint="eastAsia" w:ascii="仿宋_GB2312" w:eastAsia="仿宋_GB2312"/>
              </w:rPr>
              <w:t>台</w:t>
            </w:r>
          </w:p>
        </w:tc>
        <w:tc>
          <w:tcPr>
            <w:tcW w:w="760" w:type="dxa"/>
            <w:vAlign w:val="center"/>
          </w:tcPr>
          <w:p>
            <w:pPr>
              <w:spacing w:line="300" w:lineRule="exact"/>
              <w:jc w:val="right"/>
              <w:rPr>
                <w:rFonts w:ascii="仿宋_GB2312" w:eastAsia="仿宋_GB2312"/>
              </w:rPr>
            </w:pPr>
            <w:r>
              <w:rPr>
                <w:rFonts w:ascii="仿宋_GB2312" w:eastAsia="仿宋_GB2312"/>
              </w:rPr>
              <w:t>6.00</w:t>
            </w:r>
          </w:p>
        </w:tc>
        <w:tc>
          <w:tcPr>
            <w:tcW w:w="848" w:type="dxa"/>
            <w:vAlign w:val="center"/>
          </w:tcPr>
          <w:p>
            <w:pPr>
              <w:spacing w:line="300" w:lineRule="exact"/>
              <w:jc w:val="right"/>
              <w:rPr>
                <w:rFonts w:ascii="仿宋_GB2312" w:eastAsia="仿宋_GB2312"/>
              </w:rPr>
            </w:pPr>
            <w:r>
              <w:rPr>
                <w:rFonts w:ascii="仿宋_GB2312" w:eastAsia="仿宋_GB2312"/>
              </w:rPr>
              <w:t>0.30</w:t>
            </w:r>
          </w:p>
        </w:tc>
        <w:tc>
          <w:tcPr>
            <w:tcW w:w="961" w:type="dxa"/>
            <w:vAlign w:val="center"/>
          </w:tcPr>
          <w:p>
            <w:pPr>
              <w:spacing w:line="300" w:lineRule="exact"/>
              <w:jc w:val="right"/>
              <w:rPr>
                <w:rFonts w:ascii="仿宋_GB2312" w:eastAsia="仿宋_GB2312"/>
              </w:rPr>
            </w:pPr>
            <w:r>
              <w:rPr>
                <w:rFonts w:ascii="仿宋_GB2312" w:eastAsia="仿宋_GB2312"/>
              </w:rPr>
              <w:t>1.80</w:t>
            </w:r>
          </w:p>
        </w:tc>
        <w:tc>
          <w:tcPr>
            <w:tcW w:w="961" w:type="dxa"/>
            <w:vAlign w:val="center"/>
          </w:tcPr>
          <w:p>
            <w:pPr>
              <w:spacing w:line="300" w:lineRule="exact"/>
              <w:jc w:val="right"/>
              <w:rPr>
                <w:rFonts w:ascii="仿宋_GB2312" w:eastAsia="仿宋_GB2312"/>
              </w:rPr>
            </w:pPr>
            <w:r>
              <w:rPr>
                <w:rFonts w:ascii="仿宋_GB2312" w:eastAsia="仿宋_GB2312"/>
              </w:rPr>
              <w:t>1.80</w:t>
            </w:r>
          </w:p>
        </w:tc>
        <w:tc>
          <w:tcPr>
            <w:tcW w:w="961" w:type="dxa"/>
            <w:vAlign w:val="center"/>
          </w:tcPr>
          <w:p>
            <w:pPr>
              <w:spacing w:line="300" w:lineRule="exact"/>
              <w:jc w:val="right"/>
              <w:rPr>
                <w:rFonts w:ascii="仿宋_GB2312" w:eastAsia="仿宋_GB2312"/>
              </w:rPr>
            </w:pPr>
            <w:r>
              <w:rPr>
                <w:rFonts w:ascii="仿宋_GB2312" w:eastAsia="仿宋_GB2312"/>
              </w:rPr>
              <w:t>1.80</w:t>
            </w:r>
          </w:p>
        </w:tc>
        <w:tc>
          <w:tcPr>
            <w:tcW w:w="961" w:type="dxa"/>
            <w:vAlign w:val="center"/>
          </w:tcPr>
          <w:p>
            <w:pPr>
              <w:spacing w:line="300" w:lineRule="exact"/>
              <w:jc w:val="right"/>
              <w:rPr>
                <w:rFonts w:ascii="仿宋_GB2312" w:eastAsia="仿宋_GB2312"/>
              </w:rPr>
            </w:pPr>
          </w:p>
        </w:tc>
        <w:tc>
          <w:tcPr>
            <w:tcW w:w="964" w:type="dxa"/>
            <w:vAlign w:val="center"/>
          </w:tcPr>
          <w:p>
            <w:pPr>
              <w:spacing w:line="300" w:lineRule="exact"/>
              <w:jc w:val="right"/>
              <w:rPr>
                <w:rFonts w:ascii="仿宋_GB2312" w:eastAsia="仿宋_GB2312"/>
              </w:rPr>
            </w:pPr>
          </w:p>
        </w:tc>
        <w:tc>
          <w:tcPr>
            <w:tcW w:w="964" w:type="dxa"/>
            <w:vAlign w:val="center"/>
          </w:tcPr>
          <w:p>
            <w:pPr>
              <w:spacing w:line="300" w:lineRule="exact"/>
              <w:jc w:val="right"/>
              <w:rPr>
                <w:rFonts w:ascii="仿宋_GB2312" w:eastAsia="仿宋_GB2312"/>
              </w:rPr>
            </w:pPr>
          </w:p>
        </w:tc>
        <w:tc>
          <w:tcPr>
            <w:tcW w:w="921" w:type="dxa"/>
            <w:vAlign w:val="center"/>
          </w:tcPr>
          <w:p>
            <w:pPr>
              <w:spacing w:line="300" w:lineRule="exact"/>
              <w:jc w:val="righ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vAlign w:val="center"/>
          </w:tcPr>
          <w:p>
            <w:pPr>
              <w:spacing w:line="300" w:lineRule="exact"/>
              <w:jc w:val="left"/>
              <w:rPr>
                <w:rFonts w:ascii="仿宋_GB2312" w:eastAsia="仿宋_GB2312"/>
              </w:rPr>
            </w:pPr>
            <w:r>
              <w:rPr>
                <w:rFonts w:hint="eastAsia" w:ascii="仿宋_GB2312" w:eastAsia="仿宋_GB2312"/>
              </w:rPr>
              <w:t>日常公用经费</w:t>
            </w:r>
          </w:p>
        </w:tc>
        <w:tc>
          <w:tcPr>
            <w:tcW w:w="1099" w:type="dxa"/>
            <w:vAlign w:val="center"/>
          </w:tcPr>
          <w:p>
            <w:pPr>
              <w:spacing w:line="300" w:lineRule="exact"/>
              <w:jc w:val="right"/>
              <w:rPr>
                <w:rFonts w:ascii="仿宋_GB2312" w:eastAsia="仿宋_GB2312"/>
              </w:rPr>
            </w:pPr>
            <w:r>
              <w:rPr>
                <w:rFonts w:ascii="仿宋_GB2312" w:eastAsia="仿宋_GB2312"/>
              </w:rPr>
              <w:t>108.68</w:t>
            </w:r>
          </w:p>
        </w:tc>
        <w:tc>
          <w:tcPr>
            <w:tcW w:w="974" w:type="dxa"/>
            <w:vAlign w:val="center"/>
          </w:tcPr>
          <w:p>
            <w:pPr>
              <w:spacing w:line="300" w:lineRule="exact"/>
              <w:jc w:val="left"/>
              <w:rPr>
                <w:rFonts w:ascii="仿宋_GB2312" w:eastAsia="仿宋_GB2312"/>
              </w:rPr>
            </w:pPr>
            <w:r>
              <w:rPr>
                <w:rFonts w:hint="eastAsia" w:ascii="仿宋_GB2312" w:eastAsia="仿宋_GB2312"/>
              </w:rPr>
              <w:t>制冷空调设备</w:t>
            </w:r>
          </w:p>
        </w:tc>
        <w:tc>
          <w:tcPr>
            <w:tcW w:w="986" w:type="dxa"/>
            <w:vAlign w:val="center"/>
          </w:tcPr>
          <w:p>
            <w:pPr>
              <w:spacing w:line="300" w:lineRule="exact"/>
              <w:jc w:val="left"/>
              <w:rPr>
                <w:rFonts w:ascii="仿宋_GB2312" w:eastAsia="仿宋_GB2312"/>
              </w:rPr>
            </w:pPr>
            <w:r>
              <w:rPr>
                <w:rFonts w:ascii="仿宋_GB2312" w:eastAsia="仿宋_GB2312"/>
              </w:rPr>
              <w:t>A020523</w:t>
            </w:r>
          </w:p>
        </w:tc>
        <w:tc>
          <w:tcPr>
            <w:tcW w:w="760" w:type="dxa"/>
            <w:vAlign w:val="center"/>
          </w:tcPr>
          <w:p>
            <w:pPr>
              <w:spacing w:line="300" w:lineRule="exact"/>
              <w:jc w:val="left"/>
              <w:rPr>
                <w:rFonts w:ascii="仿宋_GB2312" w:eastAsia="仿宋_GB2312"/>
              </w:rPr>
            </w:pPr>
            <w:r>
              <w:rPr>
                <w:rFonts w:hint="eastAsia" w:ascii="仿宋_GB2312" w:eastAsia="仿宋_GB2312"/>
              </w:rPr>
              <w:t>台</w:t>
            </w:r>
          </w:p>
        </w:tc>
        <w:tc>
          <w:tcPr>
            <w:tcW w:w="760" w:type="dxa"/>
            <w:vAlign w:val="center"/>
          </w:tcPr>
          <w:p>
            <w:pPr>
              <w:spacing w:line="300" w:lineRule="exact"/>
              <w:jc w:val="right"/>
              <w:rPr>
                <w:rFonts w:ascii="仿宋_GB2312" w:eastAsia="仿宋_GB2312"/>
              </w:rPr>
            </w:pPr>
            <w:r>
              <w:rPr>
                <w:rFonts w:ascii="仿宋_GB2312" w:eastAsia="仿宋_GB2312"/>
              </w:rPr>
              <w:t>2.00</w:t>
            </w:r>
          </w:p>
        </w:tc>
        <w:tc>
          <w:tcPr>
            <w:tcW w:w="848" w:type="dxa"/>
            <w:vAlign w:val="center"/>
          </w:tcPr>
          <w:p>
            <w:pPr>
              <w:spacing w:line="300" w:lineRule="exact"/>
              <w:jc w:val="right"/>
              <w:rPr>
                <w:rFonts w:ascii="仿宋_GB2312" w:eastAsia="仿宋_GB2312"/>
              </w:rPr>
            </w:pPr>
            <w:r>
              <w:rPr>
                <w:rFonts w:ascii="仿宋_GB2312" w:eastAsia="仿宋_GB2312"/>
              </w:rPr>
              <w:t>0.90</w:t>
            </w:r>
          </w:p>
        </w:tc>
        <w:tc>
          <w:tcPr>
            <w:tcW w:w="961" w:type="dxa"/>
            <w:vAlign w:val="center"/>
          </w:tcPr>
          <w:p>
            <w:pPr>
              <w:spacing w:line="300" w:lineRule="exact"/>
              <w:jc w:val="right"/>
              <w:rPr>
                <w:rFonts w:ascii="仿宋_GB2312" w:eastAsia="仿宋_GB2312"/>
              </w:rPr>
            </w:pPr>
            <w:r>
              <w:rPr>
                <w:rFonts w:ascii="仿宋_GB2312" w:eastAsia="仿宋_GB2312"/>
              </w:rPr>
              <w:t>1.80</w:t>
            </w:r>
          </w:p>
        </w:tc>
        <w:tc>
          <w:tcPr>
            <w:tcW w:w="961" w:type="dxa"/>
            <w:vAlign w:val="center"/>
          </w:tcPr>
          <w:p>
            <w:pPr>
              <w:spacing w:line="300" w:lineRule="exact"/>
              <w:jc w:val="right"/>
              <w:rPr>
                <w:rFonts w:ascii="仿宋_GB2312" w:eastAsia="仿宋_GB2312"/>
              </w:rPr>
            </w:pPr>
            <w:r>
              <w:rPr>
                <w:rFonts w:ascii="仿宋_GB2312" w:eastAsia="仿宋_GB2312"/>
              </w:rPr>
              <w:t>1.80</w:t>
            </w:r>
          </w:p>
        </w:tc>
        <w:tc>
          <w:tcPr>
            <w:tcW w:w="961" w:type="dxa"/>
            <w:vAlign w:val="center"/>
          </w:tcPr>
          <w:p>
            <w:pPr>
              <w:spacing w:line="300" w:lineRule="exact"/>
              <w:jc w:val="right"/>
              <w:rPr>
                <w:rFonts w:ascii="仿宋_GB2312" w:eastAsia="仿宋_GB2312"/>
              </w:rPr>
            </w:pPr>
            <w:r>
              <w:rPr>
                <w:rFonts w:ascii="仿宋_GB2312" w:eastAsia="仿宋_GB2312"/>
              </w:rPr>
              <w:t>1.80</w:t>
            </w:r>
          </w:p>
        </w:tc>
        <w:tc>
          <w:tcPr>
            <w:tcW w:w="961" w:type="dxa"/>
            <w:vAlign w:val="center"/>
          </w:tcPr>
          <w:p>
            <w:pPr>
              <w:spacing w:line="300" w:lineRule="exact"/>
              <w:jc w:val="right"/>
              <w:rPr>
                <w:rFonts w:ascii="仿宋_GB2312" w:eastAsia="仿宋_GB2312"/>
              </w:rPr>
            </w:pPr>
          </w:p>
        </w:tc>
        <w:tc>
          <w:tcPr>
            <w:tcW w:w="964" w:type="dxa"/>
            <w:vAlign w:val="center"/>
          </w:tcPr>
          <w:p>
            <w:pPr>
              <w:spacing w:line="300" w:lineRule="exact"/>
              <w:jc w:val="right"/>
              <w:rPr>
                <w:rFonts w:ascii="仿宋_GB2312" w:eastAsia="仿宋_GB2312"/>
              </w:rPr>
            </w:pPr>
          </w:p>
        </w:tc>
        <w:tc>
          <w:tcPr>
            <w:tcW w:w="964" w:type="dxa"/>
            <w:vAlign w:val="center"/>
          </w:tcPr>
          <w:p>
            <w:pPr>
              <w:spacing w:line="300" w:lineRule="exact"/>
              <w:jc w:val="right"/>
              <w:rPr>
                <w:rFonts w:ascii="仿宋_GB2312" w:eastAsia="仿宋_GB2312"/>
              </w:rPr>
            </w:pPr>
          </w:p>
        </w:tc>
        <w:tc>
          <w:tcPr>
            <w:tcW w:w="921" w:type="dxa"/>
            <w:vAlign w:val="center"/>
          </w:tcPr>
          <w:p>
            <w:pPr>
              <w:spacing w:line="300" w:lineRule="exact"/>
              <w:jc w:val="right"/>
              <w:rPr>
                <w:rFonts w:ascii="仿宋_GB2312" w:eastAsia="仿宋_GB2312"/>
              </w:rPr>
            </w:pPr>
          </w:p>
        </w:tc>
      </w:tr>
    </w:tbl>
    <w:p>
      <w:pPr>
        <w:spacing w:line="584" w:lineRule="exact"/>
        <w:jc w:val="left"/>
        <w:outlineLvl w:val="0"/>
        <w:rPr>
          <w:rFonts w:ascii="Times New Roman" w:hAnsi="Times New Roman" w:eastAsia="仿宋_GB2312"/>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ascii="仿宋_GB2312" w:hAnsi="Times New Roman" w:eastAsia="仿宋_GB2312"/>
          <w:sz w:val="32"/>
          <w:szCs w:val="32"/>
        </w:rPr>
      </w:pPr>
      <w:r>
        <w:rPr>
          <w:rFonts w:hint="eastAsia" w:ascii="仿宋_GB2312" w:hAnsi="Times New Roman" w:eastAsia="仿宋_GB2312"/>
          <w:sz w:val="32"/>
          <w:szCs w:val="32"/>
        </w:rPr>
        <w:t>大城县民政局上年末固定资产金额为</w:t>
      </w:r>
      <w:r>
        <w:rPr>
          <w:rFonts w:ascii="仿宋_GB2312" w:hAnsi="Times New Roman" w:eastAsia="仿宋_GB2312"/>
          <w:sz w:val="32"/>
          <w:szCs w:val="32"/>
        </w:rPr>
        <w:t>574.0019</w:t>
      </w:r>
      <w:r>
        <w:rPr>
          <w:rFonts w:hint="eastAsia" w:ascii="仿宋_GB2312" w:hAnsi="Times New Roman" w:eastAsia="仿宋_GB2312"/>
          <w:sz w:val="32"/>
          <w:szCs w:val="32"/>
        </w:rPr>
        <w:t>万元，详见下表。本年度我部门拟购置固定资产共计</w:t>
      </w:r>
      <w:r>
        <w:rPr>
          <w:rFonts w:ascii="仿宋_GB2312" w:hAnsi="Times New Roman" w:eastAsia="仿宋_GB2312"/>
          <w:sz w:val="32"/>
          <w:szCs w:val="32"/>
        </w:rPr>
        <w:t>9.3</w:t>
      </w:r>
      <w:r>
        <w:rPr>
          <w:rFonts w:hint="eastAsia" w:ascii="仿宋_GB2312" w:hAnsi="Times New Roman" w:eastAsia="仿宋_GB2312"/>
          <w:sz w:val="32"/>
          <w:szCs w:val="32"/>
        </w:rPr>
        <w:t>万元，主要为计算机设备、打印设备、空调等，已列入政府采购预算，详见政府采购预算表。</w:t>
      </w:r>
    </w:p>
    <w:p>
      <w:pPr>
        <w:spacing w:line="584" w:lineRule="exact"/>
        <w:ind w:firstLine="640"/>
        <w:rPr>
          <w:rFonts w:ascii="Times New Roman" w:hAnsi="Times New Roman" w:eastAsia="仿宋_GB2312"/>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仿宋_GB2312" w:hAnsi="Times New Roman" w:eastAsia="仿宋_GB2312"/>
                <w:b/>
                <w:bCs/>
                <w:kern w:val="0"/>
                <w:sz w:val="32"/>
                <w:szCs w:val="32"/>
              </w:rPr>
            </w:pPr>
            <w:r>
              <w:rPr>
                <w:rFonts w:hint="eastAsia" w:ascii="仿宋_GB2312" w:hAnsi="Times New Roman" w:eastAsia="仿宋_GB2312"/>
                <w:b/>
                <w:sz w:val="32"/>
                <w:szCs w:val="32"/>
              </w:rPr>
              <w:t>大城县民政局</w:t>
            </w:r>
            <w:r>
              <w:rPr>
                <w:rFonts w:hint="eastAsia" w:ascii="仿宋_GB2312" w:hAnsi="Times New Roman" w:eastAsia="仿宋_GB2312"/>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仿宋_GB2312" w:hAnsi="Times New Roman" w:eastAsia="仿宋_GB2312"/>
                <w:kern w:val="0"/>
                <w:sz w:val="22"/>
              </w:rPr>
            </w:pPr>
            <w:r>
              <w:rPr>
                <w:rFonts w:hint="eastAsia" w:ascii="仿宋_GB2312" w:hAnsi="Times New Roman" w:eastAsia="仿宋_GB2312"/>
                <w:kern w:val="0"/>
                <w:sz w:val="22"/>
              </w:rPr>
              <w:t>编制部门：廊坊市</w:t>
            </w:r>
            <w:r>
              <w:rPr>
                <w:rFonts w:hint="eastAsia" w:ascii="仿宋_GB2312" w:hAnsi="Times New Roman" w:eastAsia="仿宋_GB2312"/>
                <w:sz w:val="22"/>
              </w:rPr>
              <w:t>大城县民政局</w:t>
            </w:r>
          </w:p>
        </w:tc>
        <w:tc>
          <w:tcPr>
            <w:tcW w:w="5103" w:type="dxa"/>
            <w:tcBorders>
              <w:top w:val="nil"/>
              <w:left w:val="nil"/>
              <w:bottom w:val="nil"/>
              <w:right w:val="nil"/>
            </w:tcBorders>
            <w:vAlign w:val="center"/>
          </w:tcPr>
          <w:p>
            <w:pPr>
              <w:widowControl/>
              <w:spacing w:line="584" w:lineRule="exact"/>
              <w:jc w:val="left"/>
              <w:rPr>
                <w:rFonts w:ascii="仿宋_GB2312" w:hAnsi="Times New Roman" w:eastAsia="仿宋_GB2312"/>
                <w:kern w:val="0"/>
                <w:sz w:val="22"/>
              </w:rPr>
            </w:pPr>
            <w:r>
              <w:rPr>
                <w:rFonts w:hint="eastAsia" w:ascii="仿宋_GB2312" w:hAnsi="Times New Roman" w:eastAsia="仿宋_GB2312"/>
                <w:kern w:val="0"/>
                <w:sz w:val="22"/>
              </w:rPr>
              <w:t>截止时间：</w:t>
            </w:r>
            <w:r>
              <w:rPr>
                <w:rFonts w:ascii="仿宋_GB2312" w:hAnsi="Times New Roman" w:eastAsia="仿宋_GB2312"/>
                <w:kern w:val="0"/>
                <w:sz w:val="22"/>
              </w:rPr>
              <w:t>2018</w:t>
            </w:r>
            <w:r>
              <w:rPr>
                <w:rFonts w:hint="eastAsia" w:ascii="仿宋_GB2312" w:hAnsi="Times New Roman" w:eastAsia="仿宋_GB2312"/>
                <w:kern w:val="0"/>
                <w:sz w:val="22"/>
              </w:rPr>
              <w:t>年</w:t>
            </w:r>
            <w:r>
              <w:rPr>
                <w:rFonts w:ascii="仿宋_GB2312" w:hAnsi="Times New Roman" w:eastAsia="仿宋_GB2312"/>
                <w:kern w:val="0"/>
                <w:sz w:val="22"/>
              </w:rPr>
              <w:t>12</w:t>
            </w:r>
            <w:r>
              <w:rPr>
                <w:rFonts w:hint="eastAsia" w:ascii="仿宋_GB2312" w:hAnsi="Times New Roman" w:eastAsia="仿宋_GB2312"/>
                <w:kern w:val="0"/>
                <w:sz w:val="22"/>
              </w:rPr>
              <w:t>月</w:t>
            </w:r>
            <w:r>
              <w:rPr>
                <w:rFonts w:ascii="仿宋_GB2312" w:hAnsi="Times New Roman" w:eastAsia="仿宋_GB2312"/>
                <w:kern w:val="0"/>
                <w:sz w:val="22"/>
              </w:rPr>
              <w:t>31</w:t>
            </w:r>
            <w:r>
              <w:rPr>
                <w:rFonts w:hint="eastAsia" w:ascii="仿宋_GB2312" w:hAnsi="Times New Roman" w:eastAsia="仿宋_GB2312"/>
                <w:kern w:val="0"/>
                <w:sz w:val="22"/>
              </w:rPr>
              <w:t>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仿宋_GB2312" w:hAnsi="Times New Roman" w:eastAsia="仿宋_GB2312"/>
                <w:b/>
                <w:bCs/>
                <w:kern w:val="0"/>
                <w:sz w:val="22"/>
              </w:rPr>
            </w:pPr>
            <w:r>
              <w:rPr>
                <w:rFonts w:hint="eastAsia" w:ascii="仿宋_GB2312" w:hAnsi="Times New Roman" w:eastAsia="仿宋_GB2312"/>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仿宋_GB2312" w:hAnsi="Times New Roman" w:eastAsia="仿宋_GB2312"/>
                <w:b/>
                <w:bCs/>
                <w:kern w:val="0"/>
                <w:sz w:val="22"/>
              </w:rPr>
            </w:pPr>
            <w:r>
              <w:rPr>
                <w:rFonts w:hint="eastAsia" w:ascii="仿宋_GB2312"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仿宋_GB2312" w:hAnsi="Times New Roman" w:eastAsia="仿宋_GB2312"/>
                <w:b/>
                <w:bCs/>
                <w:kern w:val="0"/>
                <w:sz w:val="22"/>
              </w:rPr>
            </w:pPr>
            <w:r>
              <w:rPr>
                <w:rFonts w:hint="eastAsia" w:ascii="仿宋_GB2312" w:hAnsi="Times New Roman" w:eastAsia="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仿宋_GB2312" w:hAnsi="Times New Roman" w:eastAsia="仿宋_GB2312"/>
                <w:kern w:val="0"/>
                <w:sz w:val="22"/>
              </w:rPr>
            </w:pPr>
            <w:r>
              <w:rPr>
                <w:rFonts w:hint="eastAsia" w:ascii="仿宋_GB2312" w:hAnsi="Times New Roman" w:eastAsia="仿宋_GB2312"/>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r>
              <w:rPr>
                <w:rFonts w:ascii="仿宋_GB2312" w:hAnsi="Times New Roman" w:eastAsia="仿宋_GB2312"/>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r>
              <w:rPr>
                <w:rFonts w:ascii="仿宋_GB2312" w:hAnsi="Times New Roman" w:eastAsia="仿宋_GB2312"/>
                <w:sz w:val="22"/>
              </w:rPr>
              <w:t>574.0019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仿宋_GB2312" w:hAnsi="Times New Roman" w:eastAsia="仿宋_GB2312"/>
                <w:kern w:val="0"/>
                <w:sz w:val="22"/>
              </w:rPr>
            </w:pPr>
            <w:r>
              <w:rPr>
                <w:rFonts w:ascii="仿宋_GB2312" w:hAnsi="Times New Roman" w:eastAsia="仿宋_GB2312"/>
                <w:kern w:val="0"/>
                <w:sz w:val="22"/>
              </w:rPr>
              <w:t>1</w:t>
            </w:r>
            <w:r>
              <w:rPr>
                <w:rFonts w:hint="eastAsia" w:ascii="仿宋_GB2312" w:hAnsi="Times New Roman" w:eastAsia="仿宋_GB2312"/>
                <w:kern w:val="0"/>
                <w:sz w:val="22"/>
              </w:rPr>
              <w:t>、房屋（平方米）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r>
              <w:rPr>
                <w:rFonts w:ascii="仿宋_GB2312" w:hAnsi="Times New Roman" w:eastAsia="仿宋_GB2312"/>
                <w:sz w:val="22"/>
              </w:rPr>
              <w:t>7380</w:t>
            </w:r>
          </w:p>
        </w:tc>
        <w:tc>
          <w:tcPr>
            <w:tcW w:w="5103"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r>
              <w:rPr>
                <w:rFonts w:ascii="仿宋_GB2312" w:hAnsi="Times New Roman" w:eastAsia="仿宋_GB2312"/>
                <w:sz w:val="22"/>
              </w:rPr>
              <w:t>303.523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仿宋_GB2312" w:hAnsi="Times New Roman" w:eastAsia="仿宋_GB2312"/>
                <w:kern w:val="0"/>
                <w:sz w:val="22"/>
              </w:rPr>
            </w:pPr>
            <w:r>
              <w:rPr>
                <w:rFonts w:hint="eastAsia" w:ascii="仿宋_GB2312"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r>
              <w:rPr>
                <w:rFonts w:ascii="仿宋_GB2312" w:hAnsi="Times New Roman" w:eastAsia="仿宋_GB2312"/>
                <w:sz w:val="22"/>
              </w:rPr>
              <w:t>7210</w:t>
            </w:r>
          </w:p>
        </w:tc>
        <w:tc>
          <w:tcPr>
            <w:tcW w:w="5103"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r>
              <w:rPr>
                <w:rFonts w:ascii="仿宋_GB2312" w:hAnsi="Times New Roman" w:eastAsia="仿宋_GB2312"/>
                <w:sz w:val="22"/>
              </w:rPr>
              <w:t>242.939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仿宋_GB2312" w:hAnsi="Times New Roman" w:eastAsia="仿宋_GB2312"/>
                <w:kern w:val="0"/>
                <w:sz w:val="22"/>
              </w:rPr>
            </w:pPr>
            <w:r>
              <w:rPr>
                <w:rFonts w:ascii="仿宋_GB2312" w:hAnsi="Times New Roman" w:eastAsia="仿宋_GB2312"/>
                <w:kern w:val="0"/>
                <w:sz w:val="22"/>
              </w:rPr>
              <w:t>2</w:t>
            </w:r>
            <w:r>
              <w:rPr>
                <w:rFonts w:hint="eastAsia" w:ascii="仿宋_GB2312" w:hAnsi="Times New Roman" w:eastAsia="仿宋_GB2312"/>
                <w:kern w:val="0"/>
                <w:sz w:val="22"/>
              </w:rPr>
              <w:t>、车辆（台、辆）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r>
              <w:rPr>
                <w:rFonts w:ascii="仿宋_GB2312" w:hAnsi="Times New Roman" w:eastAsia="仿宋_GB2312"/>
                <w:sz w:val="22"/>
              </w:rPr>
              <w:t>2</w:t>
            </w:r>
          </w:p>
        </w:tc>
        <w:tc>
          <w:tcPr>
            <w:tcW w:w="5103"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r>
              <w:rPr>
                <w:rFonts w:ascii="仿宋_GB2312" w:hAnsi="Times New Roman" w:eastAsia="仿宋_GB2312"/>
                <w:sz w:val="22"/>
              </w:rPr>
              <w:t>37.0855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仿宋_GB2312" w:hAnsi="Times New Roman" w:eastAsia="仿宋_GB2312"/>
                <w:kern w:val="0"/>
                <w:sz w:val="22"/>
              </w:rPr>
            </w:pPr>
            <w:r>
              <w:rPr>
                <w:rFonts w:ascii="仿宋_GB2312" w:hAnsi="Times New Roman" w:eastAsia="仿宋_GB2312"/>
                <w:kern w:val="0"/>
                <w:sz w:val="22"/>
              </w:rPr>
              <w:t>3</w:t>
            </w:r>
            <w:r>
              <w:rPr>
                <w:rFonts w:hint="eastAsia" w:ascii="仿宋_GB2312" w:hAnsi="Times New Roman" w:eastAsia="仿宋_GB2312"/>
                <w:kern w:val="0"/>
                <w:sz w:val="22"/>
              </w:rPr>
              <w:t>、单价在</w:t>
            </w:r>
            <w:r>
              <w:rPr>
                <w:rFonts w:ascii="仿宋_GB2312" w:hAnsi="Times New Roman" w:eastAsia="仿宋_GB2312"/>
                <w:kern w:val="0"/>
                <w:sz w:val="22"/>
              </w:rPr>
              <w:t>20</w:t>
            </w:r>
            <w:r>
              <w:rPr>
                <w:rFonts w:hint="eastAsia" w:ascii="仿宋_GB2312" w:hAnsi="Times New Roman" w:eastAsia="仿宋_GB2312"/>
                <w:kern w:val="0"/>
                <w:sz w:val="22"/>
              </w:rPr>
              <w:t>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仿宋_GB2312" w:hAnsi="Times New Roman" w:eastAsia="仿宋_GB2312"/>
                <w:kern w:val="0"/>
                <w:sz w:val="22"/>
              </w:rPr>
            </w:pPr>
            <w:r>
              <w:rPr>
                <w:rFonts w:ascii="仿宋_GB2312" w:hAnsi="Times New Roman" w:eastAsia="仿宋_GB2312"/>
                <w:kern w:val="0"/>
                <w:sz w:val="22"/>
              </w:rPr>
              <w:t>4</w:t>
            </w:r>
            <w:r>
              <w:rPr>
                <w:rFonts w:hint="eastAsia" w:ascii="仿宋_GB2312" w:hAnsi="Times New Roman" w:eastAsia="仿宋_GB2312"/>
                <w:kern w:val="0"/>
                <w:sz w:val="22"/>
              </w:rPr>
              <w:t>、其他固定资产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r>
              <w:rPr>
                <w:rFonts w:ascii="仿宋_GB2312" w:hAnsi="Times New Roman" w:eastAsia="仿宋_GB2312"/>
                <w:sz w:val="22"/>
              </w:rPr>
              <w:t>233.3934</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2"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、一般公共预算拨款收入：</w:t>
      </w:r>
      <w:r>
        <w:rPr>
          <w:rFonts w:hint="eastAsia" w:ascii="Times New Roman" w:hAnsi="Times New Roman" w:eastAsia="仿宋_GB2312"/>
          <w:sz w:val="32"/>
          <w:szCs w:val="32"/>
        </w:rPr>
        <w:t>指县级财政当年拨付的资金。</w:t>
      </w:r>
    </w:p>
    <w:p>
      <w:pPr>
        <w:tabs>
          <w:tab w:val="left" w:pos="11490"/>
        </w:tabs>
        <w:spacing w:line="584" w:lineRule="exact"/>
        <w:ind w:firstLine="642"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2"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2"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2"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2"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w:t>
      </w:r>
      <w:r>
        <w:rPr>
          <w:rFonts w:hint="eastAsia" w:ascii="Times New Roman" w:hAnsi="Times New Roman" w:eastAsia="仿宋_GB2312"/>
          <w:sz w:val="32"/>
          <w:szCs w:val="32"/>
        </w:rPr>
        <w:t>纳入县级财政预算管理的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2"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2"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2"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p>
      <w:pPr>
        <w:spacing w:line="584" w:lineRule="exact"/>
        <w:ind w:firstLine="640" w:firstLineChars="200"/>
        <w:rPr>
          <w:rFonts w:ascii="Times New Roman" w:hAnsi="Times New Roman" w:eastAsia="仿宋_GB2312"/>
          <w:sz w:val="32"/>
          <w:szCs w:val="32"/>
        </w:rPr>
      </w:pPr>
    </w:p>
    <w:p>
      <w:pPr>
        <w:spacing w:line="584" w:lineRule="exact"/>
        <w:ind w:firstLine="642" w:firstLineChars="200"/>
        <w:rPr>
          <w:rFonts w:ascii="Times New Roman" w:hAnsi="Times New Roman" w:eastAsia="仿宋_GB2312"/>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5</w:t>
    </w:r>
    <w:r>
      <w:rPr>
        <w:lang w:val="zh-CN"/>
      </w:rPr>
      <w:fldChar w:fldCharType="end"/>
    </w:r>
    <w: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3CC"/>
    <w:rsid w:val="00010564"/>
    <w:rsid w:val="00026A84"/>
    <w:rsid w:val="00037AF6"/>
    <w:rsid w:val="000410F2"/>
    <w:rsid w:val="0004565F"/>
    <w:rsid w:val="00072187"/>
    <w:rsid w:val="00075972"/>
    <w:rsid w:val="00075D5F"/>
    <w:rsid w:val="0008180F"/>
    <w:rsid w:val="00093DA3"/>
    <w:rsid w:val="00095B3D"/>
    <w:rsid w:val="000A125B"/>
    <w:rsid w:val="000B529B"/>
    <w:rsid w:val="000C24E6"/>
    <w:rsid w:val="000C345A"/>
    <w:rsid w:val="000C3A19"/>
    <w:rsid w:val="000C6CC0"/>
    <w:rsid w:val="000E4305"/>
    <w:rsid w:val="000F0D09"/>
    <w:rsid w:val="001245BB"/>
    <w:rsid w:val="001251A3"/>
    <w:rsid w:val="0015229A"/>
    <w:rsid w:val="00160266"/>
    <w:rsid w:val="001643E8"/>
    <w:rsid w:val="00176C13"/>
    <w:rsid w:val="001919C4"/>
    <w:rsid w:val="0019723B"/>
    <w:rsid w:val="001A0943"/>
    <w:rsid w:val="001A5828"/>
    <w:rsid w:val="001B28AC"/>
    <w:rsid w:val="001B5C1D"/>
    <w:rsid w:val="001D287A"/>
    <w:rsid w:val="001E0757"/>
    <w:rsid w:val="001E6DDC"/>
    <w:rsid w:val="001E70E9"/>
    <w:rsid w:val="001F5C92"/>
    <w:rsid w:val="001F7873"/>
    <w:rsid w:val="00230E48"/>
    <w:rsid w:val="00241FD4"/>
    <w:rsid w:val="00242110"/>
    <w:rsid w:val="00246317"/>
    <w:rsid w:val="00251B12"/>
    <w:rsid w:val="00257C53"/>
    <w:rsid w:val="00264FDE"/>
    <w:rsid w:val="00265318"/>
    <w:rsid w:val="00266BE3"/>
    <w:rsid w:val="002740C2"/>
    <w:rsid w:val="002835D7"/>
    <w:rsid w:val="00290FD6"/>
    <w:rsid w:val="00292004"/>
    <w:rsid w:val="00293364"/>
    <w:rsid w:val="00296113"/>
    <w:rsid w:val="002A2C86"/>
    <w:rsid w:val="002A673A"/>
    <w:rsid w:val="002C5E13"/>
    <w:rsid w:val="002C62BC"/>
    <w:rsid w:val="002E0449"/>
    <w:rsid w:val="002E0EB8"/>
    <w:rsid w:val="002F3E58"/>
    <w:rsid w:val="0030542C"/>
    <w:rsid w:val="00311B7A"/>
    <w:rsid w:val="003126B6"/>
    <w:rsid w:val="00313D9C"/>
    <w:rsid w:val="00325215"/>
    <w:rsid w:val="0033339C"/>
    <w:rsid w:val="00334411"/>
    <w:rsid w:val="00340B53"/>
    <w:rsid w:val="0035775D"/>
    <w:rsid w:val="0036086E"/>
    <w:rsid w:val="00367954"/>
    <w:rsid w:val="003874EF"/>
    <w:rsid w:val="003B6D37"/>
    <w:rsid w:val="003C7F80"/>
    <w:rsid w:val="003F6E49"/>
    <w:rsid w:val="00406116"/>
    <w:rsid w:val="00414BD3"/>
    <w:rsid w:val="00424943"/>
    <w:rsid w:val="0042727E"/>
    <w:rsid w:val="0043175C"/>
    <w:rsid w:val="00437296"/>
    <w:rsid w:val="004451F9"/>
    <w:rsid w:val="00451590"/>
    <w:rsid w:val="00451871"/>
    <w:rsid w:val="004706DE"/>
    <w:rsid w:val="00472923"/>
    <w:rsid w:val="00486DCD"/>
    <w:rsid w:val="0049120C"/>
    <w:rsid w:val="0049405D"/>
    <w:rsid w:val="004B0C3A"/>
    <w:rsid w:val="004B0D31"/>
    <w:rsid w:val="004C49A8"/>
    <w:rsid w:val="004D5788"/>
    <w:rsid w:val="004E3066"/>
    <w:rsid w:val="004E419C"/>
    <w:rsid w:val="004E74CD"/>
    <w:rsid w:val="004F05E7"/>
    <w:rsid w:val="004F3486"/>
    <w:rsid w:val="00517113"/>
    <w:rsid w:val="00524EFD"/>
    <w:rsid w:val="00554F4B"/>
    <w:rsid w:val="00572067"/>
    <w:rsid w:val="00573562"/>
    <w:rsid w:val="00590ECE"/>
    <w:rsid w:val="005B0988"/>
    <w:rsid w:val="005B13A0"/>
    <w:rsid w:val="005B3F56"/>
    <w:rsid w:val="005C0E90"/>
    <w:rsid w:val="005C7299"/>
    <w:rsid w:val="005D0C27"/>
    <w:rsid w:val="005D37CA"/>
    <w:rsid w:val="005F5714"/>
    <w:rsid w:val="005F7AE1"/>
    <w:rsid w:val="00600299"/>
    <w:rsid w:val="00604C9D"/>
    <w:rsid w:val="00611D03"/>
    <w:rsid w:val="00614A29"/>
    <w:rsid w:val="00634958"/>
    <w:rsid w:val="00636109"/>
    <w:rsid w:val="00651BA2"/>
    <w:rsid w:val="00673D76"/>
    <w:rsid w:val="00681073"/>
    <w:rsid w:val="006854F0"/>
    <w:rsid w:val="006B1C4A"/>
    <w:rsid w:val="006B610D"/>
    <w:rsid w:val="006C206A"/>
    <w:rsid w:val="006E49F5"/>
    <w:rsid w:val="006E7EB2"/>
    <w:rsid w:val="007013C8"/>
    <w:rsid w:val="00727C84"/>
    <w:rsid w:val="0074338E"/>
    <w:rsid w:val="00753836"/>
    <w:rsid w:val="0075393C"/>
    <w:rsid w:val="00754592"/>
    <w:rsid w:val="00776C08"/>
    <w:rsid w:val="00782F99"/>
    <w:rsid w:val="007928BD"/>
    <w:rsid w:val="007B49AA"/>
    <w:rsid w:val="007C219A"/>
    <w:rsid w:val="007E1DA8"/>
    <w:rsid w:val="007F0BFC"/>
    <w:rsid w:val="007F1335"/>
    <w:rsid w:val="007F6C26"/>
    <w:rsid w:val="00800B4F"/>
    <w:rsid w:val="00800F72"/>
    <w:rsid w:val="00811795"/>
    <w:rsid w:val="00813208"/>
    <w:rsid w:val="00815157"/>
    <w:rsid w:val="008212D0"/>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576BB"/>
    <w:rsid w:val="00966C5C"/>
    <w:rsid w:val="00973104"/>
    <w:rsid w:val="009842F6"/>
    <w:rsid w:val="00995BF0"/>
    <w:rsid w:val="009A0699"/>
    <w:rsid w:val="009A16D5"/>
    <w:rsid w:val="009A353D"/>
    <w:rsid w:val="009B0B77"/>
    <w:rsid w:val="009B2E92"/>
    <w:rsid w:val="009B511E"/>
    <w:rsid w:val="009B5215"/>
    <w:rsid w:val="009C6C86"/>
    <w:rsid w:val="009D2978"/>
    <w:rsid w:val="009D37D3"/>
    <w:rsid w:val="009F1358"/>
    <w:rsid w:val="00A03BEC"/>
    <w:rsid w:val="00A16E6C"/>
    <w:rsid w:val="00A217D1"/>
    <w:rsid w:val="00A21D29"/>
    <w:rsid w:val="00A36F96"/>
    <w:rsid w:val="00A40F60"/>
    <w:rsid w:val="00A44E3D"/>
    <w:rsid w:val="00A539D4"/>
    <w:rsid w:val="00A55F73"/>
    <w:rsid w:val="00A70E71"/>
    <w:rsid w:val="00A72D2E"/>
    <w:rsid w:val="00A74447"/>
    <w:rsid w:val="00A74CE5"/>
    <w:rsid w:val="00A77500"/>
    <w:rsid w:val="00A8536F"/>
    <w:rsid w:val="00A911E7"/>
    <w:rsid w:val="00A939D9"/>
    <w:rsid w:val="00AB77AA"/>
    <w:rsid w:val="00AC4748"/>
    <w:rsid w:val="00AD2F77"/>
    <w:rsid w:val="00AD5259"/>
    <w:rsid w:val="00B01D36"/>
    <w:rsid w:val="00B078CD"/>
    <w:rsid w:val="00B20712"/>
    <w:rsid w:val="00B43238"/>
    <w:rsid w:val="00B45DD3"/>
    <w:rsid w:val="00B548ED"/>
    <w:rsid w:val="00B54B90"/>
    <w:rsid w:val="00B64D40"/>
    <w:rsid w:val="00B64FA8"/>
    <w:rsid w:val="00B73582"/>
    <w:rsid w:val="00B75216"/>
    <w:rsid w:val="00B755A2"/>
    <w:rsid w:val="00B9104C"/>
    <w:rsid w:val="00B91D52"/>
    <w:rsid w:val="00B9490F"/>
    <w:rsid w:val="00BA1ACD"/>
    <w:rsid w:val="00BA67D4"/>
    <w:rsid w:val="00BC3002"/>
    <w:rsid w:val="00BC3245"/>
    <w:rsid w:val="00BD09F8"/>
    <w:rsid w:val="00C005B2"/>
    <w:rsid w:val="00C00631"/>
    <w:rsid w:val="00C0789D"/>
    <w:rsid w:val="00C1565C"/>
    <w:rsid w:val="00C21E0F"/>
    <w:rsid w:val="00C362CA"/>
    <w:rsid w:val="00C732BF"/>
    <w:rsid w:val="00C772C1"/>
    <w:rsid w:val="00CA7176"/>
    <w:rsid w:val="00CB51D7"/>
    <w:rsid w:val="00CC75B0"/>
    <w:rsid w:val="00CC7B84"/>
    <w:rsid w:val="00CD21A1"/>
    <w:rsid w:val="00CD2773"/>
    <w:rsid w:val="00CE01BA"/>
    <w:rsid w:val="00CE143B"/>
    <w:rsid w:val="00CE3A91"/>
    <w:rsid w:val="00D07DBA"/>
    <w:rsid w:val="00D23C16"/>
    <w:rsid w:val="00D27003"/>
    <w:rsid w:val="00D324AD"/>
    <w:rsid w:val="00D32D6A"/>
    <w:rsid w:val="00D45FAF"/>
    <w:rsid w:val="00D6263C"/>
    <w:rsid w:val="00D808C7"/>
    <w:rsid w:val="00D9307A"/>
    <w:rsid w:val="00DA76CB"/>
    <w:rsid w:val="00DB21A6"/>
    <w:rsid w:val="00DB4322"/>
    <w:rsid w:val="00DD1D0C"/>
    <w:rsid w:val="00DE186D"/>
    <w:rsid w:val="00E167C7"/>
    <w:rsid w:val="00E32E4D"/>
    <w:rsid w:val="00E45B4D"/>
    <w:rsid w:val="00E55B78"/>
    <w:rsid w:val="00E76361"/>
    <w:rsid w:val="00E84020"/>
    <w:rsid w:val="00E906B2"/>
    <w:rsid w:val="00EA62C0"/>
    <w:rsid w:val="00EB7A80"/>
    <w:rsid w:val="00EC47F6"/>
    <w:rsid w:val="00EE6D6D"/>
    <w:rsid w:val="00EF08C9"/>
    <w:rsid w:val="00EF2242"/>
    <w:rsid w:val="00EF535E"/>
    <w:rsid w:val="00F30692"/>
    <w:rsid w:val="00F31E5D"/>
    <w:rsid w:val="00F471F7"/>
    <w:rsid w:val="00F66032"/>
    <w:rsid w:val="00F83B96"/>
    <w:rsid w:val="00F8441D"/>
    <w:rsid w:val="00F87C1E"/>
    <w:rsid w:val="00F958C2"/>
    <w:rsid w:val="00F96545"/>
    <w:rsid w:val="00FA740E"/>
    <w:rsid w:val="00FC06C7"/>
    <w:rsid w:val="00FD5DB4"/>
    <w:rsid w:val="00FD676E"/>
    <w:rsid w:val="00FE1724"/>
    <w:rsid w:val="00FE56ED"/>
    <w:rsid w:val="00FE5FBF"/>
    <w:rsid w:val="00FE753C"/>
    <w:rsid w:val="00FF2346"/>
    <w:rsid w:val="1C772A9C"/>
    <w:rsid w:val="21AA4A7C"/>
    <w:rsid w:val="39500DFF"/>
    <w:rsid w:val="67FB745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qFormat/>
    <w:uiPriority w:val="99"/>
    <w:rPr>
      <w:rFonts w:ascii="Times New Roman" w:hAnsi="Times New Roman"/>
      <w:szCs w:val="24"/>
    </w:rPr>
  </w:style>
  <w:style w:type="paragraph" w:styleId="6">
    <w:name w:val="footnote text"/>
    <w:basedOn w:val="1"/>
    <w:link w:val="14"/>
    <w:qFormat/>
    <w:uiPriority w:val="99"/>
    <w:pPr>
      <w:snapToGrid w:val="0"/>
      <w:jc w:val="left"/>
    </w:pPr>
    <w:rPr>
      <w:sz w:val="18"/>
      <w:szCs w:val="18"/>
    </w:rPr>
  </w:style>
  <w:style w:type="paragraph" w:styleId="7">
    <w:name w:val="toc 2"/>
    <w:basedOn w:val="1"/>
    <w:next w:val="1"/>
    <w:qFormat/>
    <w:uiPriority w:val="99"/>
    <w:pPr>
      <w:ind w:left="420" w:leftChars="200"/>
    </w:pPr>
    <w:rPr>
      <w:rFonts w:ascii="Times New Roman" w:hAnsi="Times New Roman"/>
      <w:szCs w:val="24"/>
    </w:rPr>
  </w:style>
  <w:style w:type="character" w:styleId="10">
    <w:name w:val="footnote reference"/>
    <w:basedOn w:val="9"/>
    <w:qFormat/>
    <w:uiPriority w:val="99"/>
    <w:rPr>
      <w:rFonts w:cs="Times New Roman"/>
      <w:vertAlign w:val="superscript"/>
    </w:rPr>
  </w:style>
  <w:style w:type="character" w:customStyle="1" w:styleId="11">
    <w:name w:val="批注框文本 Char"/>
    <w:basedOn w:val="9"/>
    <w:link w:val="2"/>
    <w:semiHidden/>
    <w:qFormat/>
    <w:locked/>
    <w:uiPriority w:val="99"/>
    <w:rPr>
      <w:rFonts w:cs="Times New Roman"/>
      <w:sz w:val="18"/>
      <w:szCs w:val="18"/>
    </w:rPr>
  </w:style>
  <w:style w:type="character" w:customStyle="1" w:styleId="12">
    <w:name w:val="页脚 Char"/>
    <w:basedOn w:val="9"/>
    <w:link w:val="3"/>
    <w:qFormat/>
    <w:locked/>
    <w:uiPriority w:val="99"/>
    <w:rPr>
      <w:rFonts w:ascii="Times New Roman" w:hAnsi="Times New Roman" w:eastAsia="宋体" w:cs="Times New Roman"/>
      <w:sz w:val="18"/>
      <w:szCs w:val="18"/>
    </w:rPr>
  </w:style>
  <w:style w:type="character" w:customStyle="1" w:styleId="13">
    <w:name w:val="页眉 Char"/>
    <w:basedOn w:val="9"/>
    <w:link w:val="4"/>
    <w:qFormat/>
    <w:locked/>
    <w:uiPriority w:val="99"/>
    <w:rPr>
      <w:rFonts w:ascii="Times New Roman" w:hAnsi="Times New Roman" w:eastAsia="宋体" w:cs="Times New Roman"/>
      <w:sz w:val="18"/>
      <w:szCs w:val="18"/>
    </w:rPr>
  </w:style>
  <w:style w:type="character" w:customStyle="1" w:styleId="14">
    <w:name w:val="脚注文本 Char"/>
    <w:basedOn w:val="9"/>
    <w:link w:val="6"/>
    <w:semiHidden/>
    <w:qFormat/>
    <w:locked/>
    <w:uiPriority w:val="99"/>
    <w:rPr>
      <w:rFonts w:ascii="Calibri" w:hAnsi="Calibri" w:eastAsia="宋体" w:cs="Times New Roman"/>
      <w:sz w:val="18"/>
      <w:szCs w:val="18"/>
    </w:rPr>
  </w:style>
  <w:style w:type="paragraph" w:customStyle="1" w:styleId="15">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1478</Words>
  <Characters>8429</Characters>
  <Lines>70</Lines>
  <Paragraphs>19</Paragraphs>
  <TotalTime>55</TotalTime>
  <ScaleCrop>false</ScaleCrop>
  <LinksUpToDate>false</LinksUpToDate>
  <CharactersWithSpaces>9888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2019-01-16T17:51:00Z</dcterms:created>
  <dc:creator>guest</dc:creator>
  <cp:lastModifiedBy>uos</cp:lastModifiedBy>
  <cp:lastPrinted>2019-02-28T11:58:00Z</cp:lastPrinted>
  <dcterms:modified xsi:type="dcterms:W3CDTF">2023-06-09T16:03:21Z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