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color w:val="000000"/>
          <w:sz w:val="96"/>
          <w:szCs w:val="96"/>
        </w:rPr>
      </w:pPr>
      <w:r>
        <w:rPr>
          <w:sz w:val="84"/>
          <w:szCs w:val="84"/>
        </w:rPr>
        <w:t>2018</w:t>
      </w:r>
      <w:r>
        <w:rPr>
          <w:rFonts w:hint="eastAsia"/>
          <w:sz w:val="84"/>
          <w:szCs w:val="84"/>
        </w:rPr>
        <w:t>年度部门决算公开</w:t>
      </w:r>
    </w:p>
    <w:p>
      <w:pPr>
        <w:widowControl/>
        <w:jc w:val="center"/>
        <w:rPr>
          <w:rFonts w:ascii="黑体" w:eastAsia="黑体"/>
          <w:color w:val="002060"/>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spacing w:after="0" w:line="240" w:lineRule="auto"/>
        <w:jc w:val="center"/>
        <w:rPr>
          <w:rFonts w:ascii="宋体" w:cs="楷体"/>
          <w:sz w:val="44"/>
          <w:szCs w:val="44"/>
        </w:rPr>
        <w:sectPr>
          <w:pgSz w:w="11906" w:h="16838"/>
          <w:pgMar w:top="2098" w:right="1474" w:bottom="1985" w:left="1588" w:header="851" w:footer="992" w:gutter="0"/>
          <w:cols w:space="720" w:num="1"/>
          <w:docGrid w:type="lines" w:linePitch="312" w:charSpace="0"/>
        </w:sectPr>
      </w:pPr>
      <w:r>
        <w:rPr>
          <w:rFonts w:hint="eastAsia" w:ascii="宋体"/>
          <w:sz w:val="44"/>
          <w:szCs w:val="44"/>
        </w:rPr>
        <w:t>廊坊市</w:t>
      </w:r>
      <w:r>
        <w:rPr>
          <w:rFonts w:hint="eastAsia" w:ascii="宋体" w:cs="方正小标宋简体"/>
          <w:sz w:val="44"/>
          <w:szCs w:val="44"/>
        </w:rPr>
        <w:t>中国共产主义青年团大城县委员会</w:t>
      </w:r>
    </w:p>
    <w:p>
      <w:pPr>
        <w:spacing w:beforeLines="200" w:after="0" w:line="1000" w:lineRule="exact"/>
        <w:jc w:val="center"/>
        <w:rPr>
          <w:rFonts w:ascii="黑体" w:eastAsia="黑体"/>
          <w:sz w:val="48"/>
          <w:szCs w:val="48"/>
        </w:rPr>
      </w:pPr>
      <w:r>
        <w:rPr>
          <w:rFonts w:hint="eastAsia" w:ascii="黑体" w:eastAsia="黑体"/>
          <w:sz w:val="48"/>
          <w:szCs w:val="48"/>
        </w:rPr>
        <w:t>目录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hint="eastAsia" w:eastAsia="黑体"/>
          <w:sz w:val="32"/>
          <w:szCs w:val="32"/>
        </w:rPr>
        <w:t>第一部分部门概况</w:t>
      </w:r>
    </w:p>
    <w:p>
      <w:pPr>
        <w:widowControl/>
        <w:spacing w:line="580" w:lineRule="exact"/>
        <w:ind w:firstLine="1273" w:firstLineChars="398"/>
        <w:rPr>
          <w:rFonts w:eastAsia="仿宋_GB2312"/>
          <w:sz w:val="32"/>
          <w:szCs w:val="32"/>
        </w:rPr>
      </w:pPr>
      <w:r>
        <w:rPr>
          <w:rFonts w:hint="eastAsia" w:eastAsia="仿宋_GB2312"/>
          <w:sz w:val="32"/>
          <w:szCs w:val="32"/>
        </w:rPr>
        <w:t>一、部门职责</w:t>
      </w:r>
    </w:p>
    <w:p>
      <w:pPr>
        <w:widowControl/>
        <w:spacing w:line="580" w:lineRule="exact"/>
        <w:ind w:firstLine="1273" w:firstLineChars="398"/>
        <w:rPr>
          <w:rFonts w:eastAsia="仿宋_GB2312"/>
          <w:sz w:val="32"/>
          <w:szCs w:val="32"/>
        </w:rPr>
      </w:pPr>
      <w:r>
        <w:rPr>
          <w:rFonts w:hint="eastAsia" w:eastAsia="仿宋_GB2312"/>
          <w:sz w:val="32"/>
          <w:szCs w:val="32"/>
        </w:rPr>
        <w:t>二、机构设置</w:t>
      </w:r>
    </w:p>
    <w:p>
      <w:pPr>
        <w:widowControl/>
        <w:spacing w:line="580" w:lineRule="exact"/>
        <w:ind w:firstLine="640" w:firstLineChars="200"/>
        <w:rPr>
          <w:rFonts w:eastAsia="仿宋_GB2312"/>
          <w:sz w:val="20"/>
          <w:szCs w:val="32"/>
        </w:rPr>
      </w:pPr>
      <w:r>
        <w:rPr>
          <w:rFonts w:hint="eastAsia" w:eastAsia="黑体"/>
          <w:sz w:val="32"/>
          <w:szCs w:val="32"/>
        </w:rPr>
        <w:t>第二部分</w:t>
      </w:r>
      <w:r>
        <w:rPr>
          <w:rFonts w:eastAsia="黑体"/>
          <w:sz w:val="32"/>
          <w:szCs w:val="32"/>
        </w:rPr>
        <w:t xml:space="preserve"> 2018</w:t>
      </w:r>
      <w:r>
        <w:rPr>
          <w:rFonts w:hint="eastAsia" w:eastAsia="黑体"/>
          <w:sz w:val="32"/>
          <w:szCs w:val="32"/>
        </w:rPr>
        <w:t>年度部门决算报表</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二、收入决算表</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七、一般公共预算财政拨款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九、国有资本经营预算财政拨款支出决算表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hint="eastAsia" w:eastAsia="黑体"/>
          <w:sz w:val="32"/>
          <w:szCs w:val="32"/>
        </w:rPr>
        <w:t>第三部分廊坊市中国共产主义青年团大城县委员会</w:t>
      </w:r>
      <w:r>
        <w:rPr>
          <w:rFonts w:eastAsia="黑体"/>
          <w:sz w:val="32"/>
          <w:szCs w:val="32"/>
        </w:rPr>
        <w:t>2018</w:t>
      </w:r>
      <w:r>
        <w:rPr>
          <w:rFonts w:hint="eastAsia" w:eastAsia="黑体"/>
          <w:sz w:val="32"/>
          <w:szCs w:val="32"/>
        </w:rPr>
        <w:t>年部门决算情况说明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Pr>
        <w:widowControl/>
        <w:jc w:val="center"/>
        <w:rPr>
          <w:color w:val="000000"/>
          <w:sz w:val="96"/>
          <w:szCs w:val="96"/>
        </w:rPr>
      </w:pPr>
      <w:r>
        <w:rPr>
          <w:rFonts w:hint="eastAsia" w:ascii="黑体" w:eastAsia="黑体"/>
          <w:color w:val="000000"/>
          <w:sz w:val="96"/>
          <w:szCs w:val="96"/>
        </w:rPr>
        <w:t>第一部分部门概况</w:t>
      </w:r>
    </w:p>
    <w:p/>
    <w:p/>
    <w:p/>
    <w:p/>
    <w:p/>
    <w:p/>
    <w:p/>
    <w:p/>
    <w:p/>
    <w:p/>
    <w:p>
      <w:pPr>
        <w:pStyle w:val="2"/>
        <w:spacing w:before="0" w:after="0" w:line="600" w:lineRule="exact"/>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firstLine="640" w:firstLineChars="200"/>
        <w:jc w:val="left"/>
        <w:rPr>
          <w:rFonts w:eastAsia="仿宋_GB2312"/>
          <w:sz w:val="32"/>
        </w:rPr>
      </w:pPr>
      <w:r>
        <w:rPr>
          <w:rFonts w:eastAsia="仿宋_GB2312"/>
          <w:sz w:val="32"/>
        </w:rPr>
        <w:t>1</w:t>
      </w:r>
      <w:r>
        <w:rPr>
          <w:rFonts w:hint="eastAsia" w:eastAsia="仿宋_GB2312"/>
          <w:sz w:val="32"/>
        </w:rPr>
        <w:t>、领导全县共青团工作、指导全县少先队工作，对全县性青年社团组织进行指导和管理。</w:t>
      </w:r>
    </w:p>
    <w:p>
      <w:pPr>
        <w:ind w:firstLine="640" w:firstLineChars="200"/>
        <w:jc w:val="left"/>
        <w:rPr>
          <w:rFonts w:eastAsia="仿宋_GB2312"/>
          <w:sz w:val="32"/>
        </w:rPr>
      </w:pPr>
      <w:r>
        <w:rPr>
          <w:rFonts w:eastAsia="仿宋_GB2312"/>
          <w:sz w:val="32"/>
        </w:rPr>
        <w:t>2</w:t>
      </w:r>
      <w:r>
        <w:rPr>
          <w:rFonts w:hint="eastAsia" w:eastAsia="仿宋_GB2312"/>
          <w:sz w:val="32"/>
        </w:rPr>
        <w:t>、参与制定本县的青少年事业发展规划和青少年工作方针、政策，对青年工作学校、青少年活动阵地和青少年服务机构的建设等事务进行规划和管理。</w:t>
      </w:r>
    </w:p>
    <w:p>
      <w:pPr>
        <w:ind w:firstLine="640" w:firstLineChars="200"/>
        <w:jc w:val="left"/>
        <w:rPr>
          <w:rFonts w:eastAsia="仿宋_GB2312"/>
          <w:sz w:val="32"/>
        </w:rPr>
      </w:pPr>
      <w:r>
        <w:rPr>
          <w:rFonts w:eastAsia="仿宋_GB2312"/>
          <w:sz w:val="32"/>
        </w:rPr>
        <w:t>3</w:t>
      </w:r>
      <w:r>
        <w:rPr>
          <w:rFonts w:hint="eastAsia" w:eastAsia="仿宋_GB2312"/>
          <w:sz w:val="32"/>
        </w:rPr>
        <w:t>、参与本县有关青少年事务的法律、地方性法规的制定和实施，协助县委和县政府处理、协调与青少年利益相关的事务。</w:t>
      </w:r>
    </w:p>
    <w:p>
      <w:pPr>
        <w:ind w:firstLine="640" w:firstLineChars="200"/>
        <w:jc w:val="left"/>
        <w:rPr>
          <w:rFonts w:eastAsia="仿宋_GB2312"/>
          <w:sz w:val="32"/>
        </w:rPr>
      </w:pPr>
      <w:r>
        <w:rPr>
          <w:rFonts w:eastAsia="仿宋_GB2312"/>
          <w:sz w:val="32"/>
        </w:rPr>
        <w:t>4</w:t>
      </w:r>
      <w:r>
        <w:rPr>
          <w:rFonts w:hint="eastAsia" w:eastAsia="仿宋_GB2312"/>
          <w:sz w:val="32"/>
        </w:rPr>
        <w:t>、调查青年思想动态和青年工作状况，研究青少年运动、青少年工作理论和思想教育问题，提出相应对策，开展各种活动。</w:t>
      </w:r>
    </w:p>
    <w:p>
      <w:pPr>
        <w:ind w:firstLine="640" w:firstLineChars="200"/>
        <w:jc w:val="left"/>
        <w:rPr>
          <w:rFonts w:eastAsia="仿宋_GB2312"/>
          <w:sz w:val="32"/>
        </w:rPr>
      </w:pPr>
      <w:r>
        <w:rPr>
          <w:rFonts w:eastAsia="仿宋_GB2312"/>
          <w:sz w:val="32"/>
        </w:rPr>
        <w:t>5</w:t>
      </w:r>
      <w:r>
        <w:rPr>
          <w:rFonts w:hint="eastAsia" w:eastAsia="仿宋_GB2312"/>
          <w:sz w:val="32"/>
        </w:rPr>
        <w:t>、协助县政府教育部门做好中小学生的教育管理工作，维护学校稳定和社会安定团结。</w:t>
      </w:r>
    </w:p>
    <w:p>
      <w:pPr>
        <w:ind w:firstLine="640" w:firstLineChars="200"/>
        <w:jc w:val="left"/>
        <w:rPr>
          <w:rFonts w:eastAsia="仿宋_GB2312"/>
          <w:sz w:val="32"/>
        </w:rPr>
      </w:pPr>
      <w:r>
        <w:rPr>
          <w:rFonts w:eastAsia="仿宋_GB2312"/>
          <w:sz w:val="32"/>
        </w:rPr>
        <w:t>6</w:t>
      </w:r>
      <w:r>
        <w:rPr>
          <w:rFonts w:hint="eastAsia" w:eastAsia="仿宋_GB2312"/>
          <w:sz w:val="32"/>
        </w:rPr>
        <w:t>、在国家经济建设中，组织和带领青年发挥生力军和突击队作用。</w:t>
      </w:r>
    </w:p>
    <w:p>
      <w:pPr>
        <w:ind w:firstLine="640" w:firstLineChars="200"/>
        <w:jc w:val="left"/>
        <w:rPr>
          <w:rFonts w:eastAsia="仿宋_GB2312"/>
          <w:sz w:val="32"/>
        </w:rPr>
      </w:pPr>
      <w:r>
        <w:rPr>
          <w:rFonts w:eastAsia="仿宋_GB2312"/>
          <w:sz w:val="32"/>
        </w:rPr>
        <w:t>7</w:t>
      </w:r>
      <w:r>
        <w:rPr>
          <w:rFonts w:hint="eastAsia" w:eastAsia="仿宋_GB2312"/>
          <w:sz w:val="32"/>
        </w:rPr>
        <w:t>、会同有关部门对全县青少年外事工作实行归口管理和提供服务，参与制定、执行全县的青少年外事政策并落实有关工作。</w:t>
      </w:r>
    </w:p>
    <w:p>
      <w:pPr>
        <w:ind w:firstLine="640" w:firstLineChars="200"/>
        <w:jc w:val="left"/>
        <w:rPr>
          <w:rFonts w:eastAsia="仿宋_GB2312"/>
          <w:sz w:val="32"/>
        </w:rPr>
      </w:pPr>
      <w:r>
        <w:rPr>
          <w:rFonts w:eastAsia="仿宋_GB2312"/>
          <w:sz w:val="32"/>
        </w:rPr>
        <w:t>8</w:t>
      </w:r>
      <w:r>
        <w:rPr>
          <w:rFonts w:hint="eastAsia" w:eastAsia="仿宋_GB2312"/>
          <w:sz w:val="32"/>
        </w:rPr>
        <w:t>、参与制定有关本县的青年统战工作的政策，做好青年统战对象的团结教育工作，维护和促进祖国统一和民族团结。</w:t>
      </w:r>
    </w:p>
    <w:p>
      <w:pPr>
        <w:ind w:firstLine="640" w:firstLineChars="200"/>
        <w:jc w:val="left"/>
        <w:rPr>
          <w:rFonts w:eastAsia="仿宋_GB2312"/>
          <w:sz w:val="32"/>
        </w:rPr>
      </w:pPr>
      <w:r>
        <w:rPr>
          <w:rFonts w:eastAsia="仿宋_GB2312"/>
          <w:sz w:val="32"/>
        </w:rPr>
        <w:t>9</w:t>
      </w:r>
      <w:r>
        <w:rPr>
          <w:rFonts w:hint="eastAsia" w:eastAsia="仿宋_GB2312"/>
          <w:sz w:val="32"/>
        </w:rPr>
        <w:t>、制定青年志愿者行动发展规划，做好青年志愿者行动的组织、指导工作。</w:t>
      </w:r>
    </w:p>
    <w:p>
      <w:pPr>
        <w:ind w:firstLine="640" w:firstLineChars="200"/>
        <w:jc w:val="left"/>
        <w:rPr>
          <w:rFonts w:eastAsia="仿宋_GB2312"/>
          <w:sz w:val="32"/>
        </w:rPr>
      </w:pPr>
      <w:r>
        <w:rPr>
          <w:rFonts w:eastAsia="仿宋_GB2312"/>
          <w:sz w:val="32"/>
        </w:rPr>
        <w:t>10</w:t>
      </w:r>
      <w:r>
        <w:rPr>
          <w:rFonts w:hint="eastAsia" w:eastAsia="仿宋_GB2312"/>
          <w:sz w:val="32"/>
        </w:rPr>
        <w:t>、会同有关部门积极维护青少年合法权益。</w:t>
      </w:r>
    </w:p>
    <w:p>
      <w:pPr>
        <w:ind w:firstLine="640" w:firstLineChars="200"/>
        <w:jc w:val="left"/>
        <w:rPr>
          <w:rFonts w:eastAsia="仿宋_GB2312"/>
          <w:sz w:val="32"/>
        </w:rPr>
      </w:pPr>
      <w:r>
        <w:rPr>
          <w:rFonts w:eastAsia="仿宋_GB2312"/>
          <w:sz w:val="32"/>
        </w:rPr>
        <w:t>11</w:t>
      </w:r>
      <w:r>
        <w:rPr>
          <w:rFonts w:hint="eastAsia" w:eastAsia="仿宋_GB2312"/>
          <w:sz w:val="32"/>
        </w:rPr>
        <w:t>、承担县委、县政府、上级团的领导机关交办的有关事项。</w:t>
      </w:r>
    </w:p>
    <w:p>
      <w:pPr>
        <w:pStyle w:val="2"/>
        <w:spacing w:before="0" w:after="0" w:line="600" w:lineRule="exact"/>
        <w:jc w:val="left"/>
        <w:rPr>
          <w:rFonts w:ascii="黑体" w:eastAsia="黑体" w:cs="黑体"/>
          <w:b w:val="0"/>
          <w:bCs w:val="0"/>
          <w:kern w:val="0"/>
          <w:sz w:val="32"/>
          <w:szCs w:val="32"/>
        </w:rPr>
      </w:pPr>
      <w:r>
        <w:rPr>
          <w:rFonts w:hint="eastAsia" w:ascii="黑体" w:eastAsia="黑体" w:cs="黑体"/>
          <w:b w:val="0"/>
          <w:bCs w:val="0"/>
          <w:kern w:val="0"/>
          <w:sz w:val="32"/>
          <w:szCs w:val="32"/>
        </w:rPr>
        <w:t>二、机构设置</w:t>
      </w:r>
    </w:p>
    <w:p>
      <w:pPr>
        <w:spacing w:after="0" w:line="560" w:lineRule="exact"/>
        <w:rPr>
          <w:rFonts w:ascii="仿宋_GB2312" w:eastAsia="仿宋_GB2312" w:cs="ArialUnicodeMS"/>
          <w:kern w:val="0"/>
          <w:sz w:val="32"/>
          <w:szCs w:val="32"/>
        </w:rPr>
      </w:pPr>
      <w:r>
        <w:rPr>
          <w:rFonts w:hint="eastAsia" w:ascii="仿宋_GB2312" w:eastAsia="仿宋_GB2312" w:cs="ArialUnicodeMS"/>
          <w:kern w:val="0"/>
          <w:sz w:val="32"/>
          <w:szCs w:val="32"/>
        </w:rPr>
        <w:t>从决算编报单位构成看，纳入</w:t>
      </w:r>
      <w:r>
        <w:rPr>
          <w:rFonts w:ascii="仿宋_GB2312" w:eastAsia="仿宋_GB2312" w:cs="ArialUnicodeMS"/>
          <w:kern w:val="0"/>
          <w:sz w:val="32"/>
          <w:szCs w:val="32"/>
        </w:rPr>
        <w:t xml:space="preserve">2018 </w:t>
      </w:r>
      <w:r>
        <w:rPr>
          <w:rFonts w:hint="eastAsia" w:ascii="仿宋_GB2312" w:eastAsia="仿宋_GB2312" w:cs="ArialUnicodeMS"/>
          <w:kern w:val="0"/>
          <w:sz w:val="32"/>
          <w:szCs w:val="32"/>
        </w:rPr>
        <w:t>年度本部门决算汇编范围的独立核算单位（以下简称“单位”）共</w:t>
      </w:r>
      <w:r>
        <w:rPr>
          <w:rFonts w:ascii="仿宋_GB2312" w:eastAsia="仿宋_GB2312" w:cs="ArialUnicodeMS"/>
          <w:kern w:val="0"/>
          <w:sz w:val="32"/>
          <w:szCs w:val="32"/>
        </w:rPr>
        <w:t>1</w:t>
      </w:r>
      <w:r>
        <w:rPr>
          <w:rFonts w:hint="eastAsia" w:ascii="仿宋_GB2312" w:eastAsia="仿宋_GB2312" w:cs="ArialUnicodeMS"/>
          <w:kern w:val="0"/>
          <w:sz w:val="32"/>
          <w:szCs w:val="32"/>
        </w:rPr>
        <w:t>个，具体情况如下：</w:t>
      </w:r>
    </w:p>
    <w:p>
      <w:pPr>
        <w:jc w:val="center"/>
        <w:outlineLvl w:val="0"/>
        <w:rPr>
          <w:rFonts w:eastAsia="方正小标宋_GBK"/>
          <w:sz w:val="32"/>
        </w:rPr>
      </w:pPr>
      <w:r>
        <w:rPr>
          <w:rFonts w:hint="eastAsia" w:eastAsia="方正小标宋_GBK"/>
          <w:sz w:val="32"/>
        </w:rPr>
        <w:t>部门机构设置情况</w:t>
      </w:r>
    </w:p>
    <w:tbl>
      <w:tblPr>
        <w:tblStyle w:val="12"/>
        <w:tblpPr w:leftFromText="180" w:rightFromText="180" w:vertAnchor="text" w:horzAnchor="page" w:tblpXSpec="center" w:tblpY="10"/>
        <w:tblOverlap w:val="never"/>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678"/>
        <w:gridCol w:w="2410"/>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67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序号</w:t>
            </w:r>
          </w:p>
        </w:tc>
        <w:tc>
          <w:tcPr>
            <w:tcW w:w="4678"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单位名称</w:t>
            </w:r>
          </w:p>
        </w:tc>
        <w:tc>
          <w:tcPr>
            <w:tcW w:w="2410"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单位基本性质</w:t>
            </w:r>
          </w:p>
        </w:tc>
        <w:tc>
          <w:tcPr>
            <w:tcW w:w="1817"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675"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w:t>
            </w:r>
          </w:p>
        </w:tc>
        <w:tc>
          <w:tcPr>
            <w:tcW w:w="4678" w:type="dxa"/>
          </w:tcPr>
          <w:p>
            <w:pPr>
              <w:spacing w:after="0" w:line="560" w:lineRule="exact"/>
              <w:rPr>
                <w:rFonts w:ascii="仿宋_GB2312" w:eastAsia="仿宋_GB2312" w:cs="ArialUnicodeMS"/>
                <w:kern w:val="0"/>
                <w:sz w:val="24"/>
              </w:rPr>
            </w:pPr>
            <w:r>
              <w:rPr>
                <w:rFonts w:hint="eastAsia" w:ascii="仿宋_GB2312" w:eastAsia="仿宋_GB2312" w:cs="ArialUnicodeMS"/>
                <w:kern w:val="0"/>
                <w:sz w:val="24"/>
              </w:rPr>
              <w:t>中国共产主义青年团大城县委员会(本级)</w:t>
            </w:r>
          </w:p>
        </w:tc>
        <w:tc>
          <w:tcPr>
            <w:tcW w:w="2410"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行政单位</w:t>
            </w:r>
          </w:p>
        </w:tc>
        <w:tc>
          <w:tcPr>
            <w:tcW w:w="1817"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675"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2</w:t>
            </w:r>
          </w:p>
        </w:tc>
        <w:tc>
          <w:tcPr>
            <w:tcW w:w="4678" w:type="dxa"/>
          </w:tcPr>
          <w:p>
            <w:pPr>
              <w:spacing w:after="0" w:line="560" w:lineRule="exact"/>
              <w:rPr>
                <w:rFonts w:ascii="仿宋_GB2312" w:eastAsia="仿宋_GB2312" w:cs="ArialUnicodeMS"/>
                <w:kern w:val="0"/>
                <w:sz w:val="28"/>
                <w:szCs w:val="28"/>
              </w:rPr>
            </w:pPr>
          </w:p>
        </w:tc>
        <w:tc>
          <w:tcPr>
            <w:tcW w:w="2410" w:type="dxa"/>
          </w:tcPr>
          <w:p>
            <w:pPr>
              <w:spacing w:after="0" w:line="560" w:lineRule="exact"/>
              <w:jc w:val="center"/>
              <w:rPr>
                <w:rFonts w:ascii="仿宋_GB2312" w:eastAsia="仿宋_GB2312" w:cs="ArialUnicodeMS"/>
                <w:kern w:val="0"/>
                <w:sz w:val="28"/>
                <w:szCs w:val="28"/>
              </w:rPr>
            </w:pPr>
          </w:p>
        </w:tc>
        <w:tc>
          <w:tcPr>
            <w:tcW w:w="1817" w:type="dxa"/>
          </w:tcPr>
          <w:p>
            <w:pPr>
              <w:spacing w:after="0" w:line="560" w:lineRule="exact"/>
              <w:jc w:val="center"/>
              <w:rPr>
                <w:rFonts w:ascii="仿宋_GB2312"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675"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3</w:t>
            </w:r>
          </w:p>
        </w:tc>
        <w:tc>
          <w:tcPr>
            <w:tcW w:w="4678" w:type="dxa"/>
          </w:tcPr>
          <w:p>
            <w:pPr>
              <w:spacing w:after="0" w:line="560" w:lineRule="exact"/>
              <w:rPr>
                <w:rFonts w:ascii="仿宋_GB2312" w:eastAsia="仿宋_GB2312" w:cs="ArialUnicodeMS"/>
                <w:kern w:val="0"/>
                <w:sz w:val="28"/>
                <w:szCs w:val="28"/>
              </w:rPr>
            </w:pPr>
          </w:p>
        </w:tc>
        <w:tc>
          <w:tcPr>
            <w:tcW w:w="2410" w:type="dxa"/>
          </w:tcPr>
          <w:p>
            <w:pPr>
              <w:spacing w:after="0" w:line="560" w:lineRule="exact"/>
              <w:jc w:val="center"/>
              <w:rPr>
                <w:rFonts w:ascii="仿宋_GB2312" w:eastAsia="仿宋_GB2312" w:cs="ArialUnicodeMS"/>
                <w:kern w:val="0"/>
                <w:sz w:val="28"/>
                <w:szCs w:val="28"/>
              </w:rPr>
            </w:pPr>
          </w:p>
        </w:tc>
        <w:tc>
          <w:tcPr>
            <w:tcW w:w="1817" w:type="dxa"/>
          </w:tcPr>
          <w:p>
            <w:pPr>
              <w:spacing w:after="0" w:line="560" w:lineRule="exact"/>
              <w:jc w:val="center"/>
              <w:rPr>
                <w:rFonts w:ascii="仿宋_GB2312"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675" w:type="dxa"/>
            <w:tcBorders>
              <w:bottom w:val="single" w:color="auto" w:sz="4" w:space="0"/>
            </w:tcBorders>
          </w:tcPr>
          <w:p>
            <w:pPr>
              <w:spacing w:after="0" w:line="560" w:lineRule="exact"/>
              <w:jc w:val="center"/>
              <w:rPr>
                <w:rFonts w:ascii="仿宋_GB2312" w:eastAsia="仿宋_GB2312" w:cs="ArialUnicodeMS"/>
                <w:kern w:val="0"/>
                <w:sz w:val="28"/>
                <w:szCs w:val="28"/>
              </w:rPr>
            </w:pPr>
          </w:p>
        </w:tc>
        <w:tc>
          <w:tcPr>
            <w:tcW w:w="4678" w:type="dxa"/>
            <w:tcBorders>
              <w:bottom w:val="single" w:color="auto" w:sz="4" w:space="0"/>
            </w:tcBorders>
          </w:tcPr>
          <w:p>
            <w:pPr>
              <w:spacing w:after="0" w:line="560" w:lineRule="exact"/>
              <w:rPr>
                <w:rFonts w:ascii="仿宋_GB2312" w:eastAsia="仿宋_GB2312" w:cs="ArialUnicodeMS"/>
                <w:kern w:val="0"/>
                <w:sz w:val="28"/>
                <w:szCs w:val="28"/>
              </w:rPr>
            </w:pPr>
          </w:p>
        </w:tc>
        <w:tc>
          <w:tcPr>
            <w:tcW w:w="2410" w:type="dxa"/>
            <w:tcBorders>
              <w:bottom w:val="single" w:color="auto" w:sz="4" w:space="0"/>
            </w:tcBorders>
          </w:tcPr>
          <w:p>
            <w:pPr>
              <w:spacing w:after="0" w:line="560" w:lineRule="exact"/>
              <w:jc w:val="center"/>
              <w:rPr>
                <w:rFonts w:ascii="仿宋_GB2312" w:eastAsia="仿宋_GB2312" w:cs="ArialUnicodeMS"/>
                <w:kern w:val="0"/>
                <w:sz w:val="28"/>
                <w:szCs w:val="28"/>
              </w:rPr>
            </w:pPr>
          </w:p>
        </w:tc>
        <w:tc>
          <w:tcPr>
            <w:tcW w:w="1817" w:type="dxa"/>
            <w:tcBorders>
              <w:bottom w:val="single" w:color="auto" w:sz="4" w:space="0"/>
            </w:tcBorders>
          </w:tcPr>
          <w:p>
            <w:pPr>
              <w:spacing w:after="0" w:line="560" w:lineRule="exact"/>
              <w:jc w:val="center"/>
              <w:rPr>
                <w:rFonts w:ascii="仿宋_GB2312" w:eastAsia="仿宋_GB2312" w:cs="ArialUnicodeMS"/>
                <w:kern w:val="0"/>
                <w:sz w:val="28"/>
                <w:szCs w:val="28"/>
              </w:rPr>
            </w:pPr>
          </w:p>
        </w:tc>
      </w:tr>
    </w:tbl>
    <w:p>
      <w:pPr>
        <w:jc w:val="center"/>
        <w:outlineLvl w:val="0"/>
        <w:rPr>
          <w:rFonts w:eastAsia="方正小标宋_GBK"/>
          <w:sz w:val="32"/>
        </w:rPr>
      </w:pPr>
    </w:p>
    <w:p>
      <w:pPr>
        <w:widowControl/>
        <w:spacing w:line="560" w:lineRule="exact"/>
        <w:jc w:val="center"/>
        <w:rPr>
          <w:rFonts w:ascii="黑体" w:eastAsia="黑体" w:cs="MS-UIGothic,Bold"/>
          <w:bCs/>
          <w:kern w:val="0"/>
          <w:sz w:val="52"/>
          <w:szCs w:val="52"/>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r>
        <w:rPr>
          <w:rFonts w:hint="eastAsia" w:ascii="黑体" w:eastAsia="黑体"/>
          <w:color w:val="000000"/>
          <w:sz w:val="72"/>
          <w:szCs w:val="96"/>
        </w:rPr>
        <w:t>第二部分</w:t>
      </w:r>
    </w:p>
    <w:p>
      <w:pPr>
        <w:widowControl/>
        <w:spacing w:line="1200" w:lineRule="exact"/>
        <w:jc w:val="center"/>
        <w:rPr>
          <w:rFonts w:ascii="黑体" w:eastAsia="黑体"/>
          <w:color w:val="000000"/>
          <w:sz w:val="72"/>
          <w:szCs w:val="96"/>
        </w:rPr>
      </w:pPr>
      <w:r>
        <w:rPr>
          <w:rFonts w:ascii="黑体" w:eastAsia="黑体"/>
          <w:color w:val="000000"/>
          <w:sz w:val="72"/>
          <w:szCs w:val="96"/>
        </w:rPr>
        <w:t>2018</w:t>
      </w:r>
      <w:r>
        <w:rPr>
          <w:rFonts w:hint="eastAsia" w:ascii="黑体" w:eastAsia="黑体"/>
          <w:color w:val="000000"/>
          <w:sz w:val="72"/>
          <w:szCs w:val="96"/>
        </w:rPr>
        <w:t>年度部门决算报表</w:t>
      </w:r>
    </w:p>
    <w:p>
      <w:pPr>
        <w:widowControl/>
        <w:spacing w:line="1200" w:lineRule="exact"/>
        <w:jc w:val="center"/>
        <w:rPr>
          <w:rFonts w:eastAsia="黑体"/>
          <w:color w:val="000000"/>
          <w:sz w:val="72"/>
          <w:szCs w:val="96"/>
        </w:rPr>
      </w:pPr>
      <w:r>
        <w:rPr>
          <w:rFonts w:hint="eastAsia" w:ascii="黑体" w:eastAsia="黑体"/>
          <w:color w:val="000000"/>
          <w:sz w:val="72"/>
          <w:szCs w:val="96"/>
        </w:rPr>
        <w:t>（见附表）</w:t>
      </w: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rPr>
          <w:rFonts w:ascii="宋体" w:cs="ArialUnicodeMS"/>
          <w:color w:val="000000"/>
          <w:kern w:val="0"/>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第三部分</w:t>
      </w:r>
    </w:p>
    <w:p>
      <w:pPr>
        <w:widowControl/>
        <w:spacing w:line="1200" w:lineRule="exact"/>
        <w:jc w:val="center"/>
        <w:rPr>
          <w:rFonts w:ascii="宋体" w:cs="ArialUnicodeMS"/>
          <w:color w:val="000000"/>
          <w:kern w:val="0"/>
        </w:rPr>
        <w:sectPr>
          <w:pgSz w:w="11906" w:h="16838"/>
          <w:pgMar w:top="2098" w:right="1474" w:bottom="1984" w:left="1588" w:header="851" w:footer="992" w:gutter="0"/>
          <w:cols w:space="720" w:num="1"/>
          <w:docGrid w:type="lines" w:linePitch="312" w:charSpace="0"/>
        </w:sectPr>
      </w:pPr>
      <w:r>
        <w:rPr>
          <w:rFonts w:hint="eastAsia" w:ascii="黑体" w:eastAsia="黑体"/>
          <w:color w:val="000000"/>
          <w:sz w:val="96"/>
          <w:szCs w:val="96"/>
        </w:rPr>
        <w:t>部门决算情况说明</w:t>
      </w: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年度收入</w:t>
      </w:r>
      <w:r>
        <w:rPr>
          <w:rFonts w:ascii="仿宋_GB2312" w:eastAsia="仿宋_GB2312" w:cs="DengXian-Regular"/>
          <w:sz w:val="32"/>
          <w:szCs w:val="32"/>
        </w:rPr>
        <w:t>54.27</w:t>
      </w:r>
      <w:r>
        <w:rPr>
          <w:rFonts w:hint="eastAsia" w:ascii="仿宋_GB2312" w:eastAsia="仿宋_GB2312" w:cs="DengXian-Regular"/>
          <w:sz w:val="32"/>
          <w:szCs w:val="32"/>
        </w:rPr>
        <w:t>万元，支出</w:t>
      </w:r>
      <w:r>
        <w:rPr>
          <w:rFonts w:ascii="仿宋_GB2312" w:eastAsia="仿宋_GB2312" w:cs="DengXian-Regular"/>
          <w:sz w:val="32"/>
          <w:szCs w:val="32"/>
        </w:rPr>
        <w:t>52.63</w:t>
      </w:r>
      <w:r>
        <w:rPr>
          <w:rFonts w:hint="eastAsia" w:ascii="仿宋_GB2312" w:eastAsia="仿宋_GB2312" w:cs="DengXian-Regular"/>
          <w:sz w:val="32"/>
          <w:szCs w:val="32"/>
        </w:rPr>
        <w:t>万元，结转</w:t>
      </w:r>
      <w:r>
        <w:rPr>
          <w:rFonts w:ascii="仿宋_GB2312" w:eastAsia="仿宋_GB2312" w:cs="DengXian-Regular"/>
          <w:sz w:val="32"/>
          <w:szCs w:val="32"/>
        </w:rPr>
        <w:t>7.12</w:t>
      </w:r>
      <w:r>
        <w:rPr>
          <w:rFonts w:hint="eastAsia" w:ascii="仿宋_GB2312" w:eastAsia="仿宋_GB2312" w:cs="DengXian-Regular"/>
          <w:sz w:val="32"/>
          <w:szCs w:val="32"/>
        </w:rPr>
        <w:t>万元。与</w:t>
      </w:r>
      <w:r>
        <w:rPr>
          <w:rFonts w:ascii="仿宋_GB2312" w:eastAsia="仿宋_GB2312" w:cs="DengXian-Regular"/>
          <w:sz w:val="32"/>
          <w:szCs w:val="32"/>
        </w:rPr>
        <w:t>2017</w:t>
      </w:r>
      <w:r>
        <w:rPr>
          <w:rFonts w:hint="eastAsia" w:ascii="仿宋_GB2312" w:eastAsia="仿宋_GB2312" w:cs="DengXian-Regular"/>
          <w:sz w:val="32"/>
          <w:szCs w:val="32"/>
        </w:rPr>
        <w:t>年度决算相比，收入减少</w:t>
      </w:r>
      <w:r>
        <w:rPr>
          <w:rFonts w:ascii="仿宋_GB2312" w:eastAsia="仿宋_GB2312" w:cs="DengXian-Regular"/>
          <w:sz w:val="32"/>
          <w:szCs w:val="32"/>
        </w:rPr>
        <w:t>7.84</w:t>
      </w:r>
      <w:r>
        <w:rPr>
          <w:rFonts w:hint="eastAsia" w:ascii="仿宋_GB2312" w:eastAsia="仿宋_GB2312" w:cs="DengXian-Regular"/>
          <w:sz w:val="32"/>
          <w:szCs w:val="32"/>
        </w:rPr>
        <w:t>万元，下降</w:t>
      </w:r>
      <w:r>
        <w:rPr>
          <w:rFonts w:ascii="仿宋_GB2312" w:eastAsia="仿宋_GB2312" w:cs="DengXian-Regular"/>
          <w:sz w:val="32"/>
          <w:szCs w:val="32"/>
        </w:rPr>
        <w:t>14.45%</w:t>
      </w:r>
      <w:r>
        <w:rPr>
          <w:rFonts w:hint="eastAsia" w:ascii="仿宋_GB2312" w:eastAsia="仿宋_GB2312" w:cs="DengXian-Regular"/>
          <w:sz w:val="32"/>
          <w:szCs w:val="32"/>
        </w:rPr>
        <w:t>，主要原因是人员经费调整，项目金额调整。支出减少</w:t>
      </w:r>
      <w:r>
        <w:rPr>
          <w:rFonts w:ascii="仿宋_GB2312" w:eastAsia="仿宋_GB2312" w:cs="DengXian-Regular"/>
          <w:sz w:val="32"/>
          <w:szCs w:val="32"/>
        </w:rPr>
        <w:t>4</w:t>
      </w:r>
      <w:r>
        <w:rPr>
          <w:rFonts w:hint="eastAsia" w:ascii="仿宋_GB2312" w:eastAsia="仿宋_GB2312" w:cs="DengXian-Regular"/>
          <w:sz w:val="32"/>
          <w:szCs w:val="32"/>
        </w:rPr>
        <w:t>万元，降低</w:t>
      </w:r>
      <w:r>
        <w:rPr>
          <w:rFonts w:ascii="仿宋_GB2312" w:eastAsia="仿宋_GB2312" w:cs="DengXian-Regular"/>
          <w:sz w:val="32"/>
          <w:szCs w:val="32"/>
        </w:rPr>
        <w:t>7.6%</w:t>
      </w:r>
      <w:r>
        <w:rPr>
          <w:rFonts w:hint="eastAsia" w:ascii="仿宋_GB2312" w:eastAsia="仿宋_GB2312" w:cs="DengXian-Regular"/>
          <w:sz w:val="32"/>
          <w:szCs w:val="32"/>
        </w:rPr>
        <w:t>，主要原因压减支出，减少不必要财政资金支出。</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年度本年收入合计</w:t>
      </w:r>
      <w:r>
        <w:rPr>
          <w:rFonts w:ascii="仿宋_GB2312" w:eastAsia="仿宋_GB2312" w:cs="DengXian-Regular"/>
          <w:sz w:val="32"/>
          <w:szCs w:val="32"/>
        </w:rPr>
        <w:t>54.27</w:t>
      </w:r>
      <w:r>
        <w:rPr>
          <w:rFonts w:hint="eastAsia" w:ascii="仿宋_GB2312" w:eastAsia="仿宋_GB2312" w:cs="DengXian-Regular"/>
          <w:sz w:val="32"/>
          <w:szCs w:val="32"/>
        </w:rPr>
        <w:t>万元，其中：财政拨款收入</w:t>
      </w:r>
      <w:r>
        <w:rPr>
          <w:rFonts w:ascii="仿宋_GB2312" w:eastAsia="仿宋_GB2312" w:cs="DengXian-Regular"/>
          <w:sz w:val="32"/>
          <w:szCs w:val="32"/>
        </w:rPr>
        <w:t>54.27</w:t>
      </w:r>
      <w:r>
        <w:rPr>
          <w:rFonts w:hint="eastAsia" w:ascii="仿宋_GB2312" w:eastAsia="仿宋_GB2312" w:cs="DengXian-Regular"/>
          <w:sz w:val="32"/>
          <w:szCs w:val="32"/>
        </w:rPr>
        <w:t>万元，占</w:t>
      </w:r>
      <w:r>
        <w:rPr>
          <w:rFonts w:ascii="仿宋_GB2312" w:eastAsia="仿宋_GB2312" w:cs="DengXian-Regular"/>
          <w:sz w:val="32"/>
          <w:szCs w:val="32"/>
        </w:rPr>
        <w:t>100%</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hint="eastAsia" w:eastAsia="仿宋_GB2312"/>
          <w:sz w:val="32"/>
          <w:szCs w:val="32"/>
        </w:rPr>
        <w:t>图</w:t>
      </w:r>
      <w:r>
        <w:rPr>
          <w:rFonts w:eastAsia="仿宋_GB2312"/>
          <w:sz w:val="32"/>
          <w:szCs w:val="32"/>
        </w:rPr>
        <w:t>1</w:t>
      </w:r>
      <w:r>
        <w:rPr>
          <w:rFonts w:hint="eastAsia" w:eastAsia="仿宋_GB2312"/>
          <w:sz w:val="32"/>
          <w:szCs w:val="32"/>
        </w:rPr>
        <w:t>：收入决算结构饼状图</w:t>
      </w:r>
    </w:p>
    <w:p>
      <w:pPr>
        <w:adjustRightInd w:val="0"/>
        <w:snapToGrid w:val="0"/>
        <w:spacing w:line="240" w:lineRule="auto"/>
        <w:jc w:val="center"/>
        <w:rPr>
          <w:rFonts w:eastAsia="仿宋_GB2312"/>
          <w:sz w:val="32"/>
          <w:szCs w:val="32"/>
        </w:rPr>
      </w:pPr>
      <w:r>
        <w:rPr>
          <w:sz w:val="32"/>
        </w:rPr>
        <w:drawing>
          <wp:inline distT="0" distB="0" distL="0" distR="0">
            <wp:extent cx="4076700" cy="2446020"/>
            <wp:effectExtent l="0" t="0" r="33" b="38"/>
            <wp:docPr id="1" name="图片 6"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图片3"/>
                    <pic:cNvPicPr>
                      <a:picLocks noChangeAspect="1"/>
                    </pic:cNvPicPr>
                  </pic:nvPicPr>
                  <pic:blipFill>
                    <a:blip r:embed="rId6"/>
                    <a:stretch>
                      <a:fillRect/>
                    </a:stretch>
                  </pic:blipFill>
                  <pic:spPr>
                    <a:xfrm>
                      <a:off x="0" y="0"/>
                      <a:ext cx="4076700" cy="2446020"/>
                    </a:xfrm>
                    <a:prstGeom prst="rect">
                      <a:avLst/>
                    </a:prstGeom>
                    <a:noFill/>
                    <a:ln w="9525" cap="flat" cmpd="sng">
                      <a:noFill/>
                      <a:prstDash val="solid"/>
                      <a:miter/>
                    </a:ln>
                  </pic:spPr>
                </pic:pic>
              </a:graphicData>
            </a:graphic>
          </wp:inline>
        </w:drawing>
      </w:r>
    </w:p>
    <w:p>
      <w:pPr>
        <w:pStyle w:val="3"/>
        <w:spacing w:before="0" w:after="0" w:line="580" w:lineRule="exact"/>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年度本年支出合计</w:t>
      </w:r>
      <w:r>
        <w:rPr>
          <w:rFonts w:ascii="仿宋_GB2312" w:eastAsia="仿宋_GB2312" w:cs="DengXian-Regular"/>
          <w:sz w:val="32"/>
          <w:szCs w:val="32"/>
        </w:rPr>
        <w:t>52.63</w:t>
      </w:r>
      <w:r>
        <w:rPr>
          <w:rFonts w:hint="eastAsia" w:ascii="仿宋_GB2312" w:eastAsia="仿宋_GB2312" w:cs="DengXian-Regular"/>
          <w:sz w:val="32"/>
          <w:szCs w:val="32"/>
        </w:rPr>
        <w:t>万元，其中：基本支出</w:t>
      </w:r>
      <w:r>
        <w:rPr>
          <w:rFonts w:ascii="仿宋_GB2312" w:eastAsia="仿宋_GB2312" w:cs="DengXian-Regular"/>
          <w:sz w:val="32"/>
          <w:szCs w:val="32"/>
        </w:rPr>
        <w:t>41.24</w:t>
      </w:r>
      <w:r>
        <w:rPr>
          <w:rFonts w:hint="eastAsia" w:ascii="仿宋_GB2312" w:eastAsia="仿宋_GB2312" w:cs="DengXian-Regular"/>
          <w:sz w:val="32"/>
          <w:szCs w:val="32"/>
        </w:rPr>
        <w:t>万元，占</w:t>
      </w:r>
      <w:r>
        <w:rPr>
          <w:rFonts w:ascii="仿宋_GB2312" w:eastAsia="仿宋_GB2312" w:cs="DengXian-Regular"/>
          <w:sz w:val="32"/>
          <w:szCs w:val="32"/>
        </w:rPr>
        <w:t>78.36%</w:t>
      </w:r>
      <w:r>
        <w:rPr>
          <w:rFonts w:hint="eastAsia" w:ascii="仿宋_GB2312" w:eastAsia="仿宋_GB2312" w:cs="DengXian-Regular"/>
          <w:sz w:val="32"/>
          <w:szCs w:val="32"/>
        </w:rPr>
        <w:t>；项目支出</w:t>
      </w:r>
      <w:r>
        <w:rPr>
          <w:rFonts w:ascii="仿宋_GB2312" w:eastAsia="仿宋_GB2312" w:cs="DengXian-Regular"/>
          <w:sz w:val="32"/>
          <w:szCs w:val="32"/>
        </w:rPr>
        <w:t>11.38</w:t>
      </w:r>
      <w:r>
        <w:rPr>
          <w:rFonts w:hint="eastAsia" w:ascii="仿宋_GB2312" w:eastAsia="仿宋_GB2312" w:cs="DengXian-Regular"/>
          <w:sz w:val="32"/>
          <w:szCs w:val="32"/>
        </w:rPr>
        <w:t>万元，占</w:t>
      </w:r>
      <w:r>
        <w:rPr>
          <w:rFonts w:ascii="仿宋_GB2312" w:eastAsia="仿宋_GB2312" w:cs="DengXian-Regular"/>
          <w:sz w:val="32"/>
          <w:szCs w:val="32"/>
        </w:rPr>
        <w:t>21.64%</w:t>
      </w:r>
      <w:r>
        <w:rPr>
          <w:rFonts w:hint="eastAsia" w:ascii="仿宋_GB2312" w:eastAsia="仿宋_GB2312" w:cs="DengXian-Regular"/>
          <w:sz w:val="32"/>
          <w:szCs w:val="32"/>
        </w:rPr>
        <w:t>。如图所示：</w:t>
      </w:r>
    </w:p>
    <w:p>
      <w:pPr>
        <w:adjustRightInd w:val="0"/>
        <w:snapToGrid w:val="0"/>
        <w:spacing w:after="0" w:line="580" w:lineRule="exact"/>
        <w:jc w:val="center"/>
        <w:rPr>
          <w:rFonts w:eastAsia="仿宋_GB2312"/>
          <w:sz w:val="32"/>
          <w:szCs w:val="32"/>
        </w:rPr>
      </w:pPr>
      <w:r>
        <w:rPr>
          <w:rFonts w:hint="eastAsia" w:eastAsia="仿宋_GB2312"/>
          <w:sz w:val="32"/>
          <w:szCs w:val="32"/>
        </w:rPr>
        <w:t>图</w:t>
      </w:r>
      <w:r>
        <w:rPr>
          <w:rFonts w:eastAsia="仿宋_GB2312"/>
          <w:sz w:val="32"/>
          <w:szCs w:val="32"/>
        </w:rPr>
        <w:t>2</w:t>
      </w:r>
      <w:r>
        <w:rPr>
          <w:rFonts w:hint="eastAsia" w:eastAsia="仿宋_GB2312"/>
          <w:sz w:val="32"/>
          <w:szCs w:val="32"/>
        </w:rPr>
        <w:t>：支出决算结构饼状图</w:t>
      </w:r>
    </w:p>
    <w:p>
      <w:pPr>
        <w:adjustRightInd w:val="0"/>
        <w:snapToGrid w:val="0"/>
        <w:spacing w:after="0" w:line="240" w:lineRule="auto"/>
        <w:jc w:val="center"/>
      </w:pPr>
      <w:r>
        <w:drawing>
          <wp:inline distT="0" distB="0" distL="0" distR="0">
            <wp:extent cx="4579620" cy="2750820"/>
            <wp:effectExtent l="0" t="0" r="25" b="42"/>
            <wp:docPr id="4" name="图片 5"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图片2"/>
                    <pic:cNvPicPr>
                      <a:picLocks noChangeAspect="1"/>
                    </pic:cNvPicPr>
                  </pic:nvPicPr>
                  <pic:blipFill>
                    <a:blip r:embed="rId7"/>
                    <a:stretch>
                      <a:fillRect/>
                    </a:stretch>
                  </pic:blipFill>
                  <pic:spPr>
                    <a:xfrm>
                      <a:off x="0" y="0"/>
                      <a:ext cx="4579620" cy="2750820"/>
                    </a:xfrm>
                    <a:prstGeom prst="rect">
                      <a:avLst/>
                    </a:prstGeom>
                    <a:noFill/>
                    <a:ln w="9525" cap="flat" cmpd="sng">
                      <a:noFill/>
                      <a:prstDash val="solid"/>
                      <a:miter/>
                    </a:ln>
                  </pic:spPr>
                </pic:pic>
              </a:graphicData>
            </a:graphic>
          </wp:inline>
        </w:drawing>
      </w:r>
    </w:p>
    <w:p>
      <w:pPr>
        <w:pStyle w:val="3"/>
        <w:spacing w:before="0" w:after="0" w:line="580" w:lineRule="exact"/>
        <w:rPr>
          <w:rFonts w:ascii="黑体" w:eastAsia="黑体"/>
          <w:b w:val="0"/>
          <w:bCs w:val="0"/>
        </w:rPr>
      </w:pPr>
    </w:p>
    <w:p>
      <w:pPr>
        <w:pStyle w:val="3"/>
        <w:spacing w:before="0" w:after="0" w:line="580" w:lineRule="exact"/>
        <w:rPr>
          <w:rFonts w:ascii="黑体" w:eastAsia="黑体"/>
          <w:b w:val="0"/>
          <w:bCs w:val="0"/>
        </w:rPr>
      </w:pPr>
      <w:r>
        <w:rPr>
          <w:rFonts w:hint="eastAsia" w:ascii="黑体" w:eastAsia="黑体"/>
          <w:b w:val="0"/>
          <w:bCs w:val="0"/>
        </w:rPr>
        <w:t>四、</w:t>
      </w:r>
      <w:r>
        <w:rPr>
          <w:rFonts w:hint="eastAsia" w:ascii="黑体"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2017 </w:t>
      </w:r>
      <w:r>
        <w:rPr>
          <w:rFonts w:hint="eastAsia" w:ascii="楷体_GB2312" w:eastAsia="楷体_GB2312" w:cs="DengXian-Bold"/>
          <w:b/>
          <w:bCs/>
          <w:sz w:val="32"/>
          <w:szCs w:val="32"/>
        </w:rPr>
        <w:t>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年度形成的财政拨款收支均为一般公共预算财政拨款，其中一般公共预算财政拨款本年收入</w:t>
      </w:r>
      <w:r>
        <w:rPr>
          <w:rFonts w:ascii="仿宋_GB2312" w:eastAsia="仿宋_GB2312" w:cs="DengXian-Regular"/>
          <w:sz w:val="32"/>
          <w:szCs w:val="32"/>
        </w:rPr>
        <w:t>54.27</w:t>
      </w:r>
      <w:r>
        <w:rPr>
          <w:rFonts w:hint="eastAsia" w:ascii="仿宋_GB2312" w:eastAsia="仿宋_GB2312" w:cs="DengXian-Regular"/>
          <w:sz w:val="32"/>
          <w:szCs w:val="32"/>
        </w:rPr>
        <w:t>万元</w:t>
      </w:r>
      <w:r>
        <w:rPr>
          <w:rFonts w:ascii="仿宋_GB2312" w:eastAsia="仿宋_GB2312" w:cs="DengXian-Regular"/>
          <w:sz w:val="32"/>
          <w:szCs w:val="32"/>
        </w:rPr>
        <w:t>,</w:t>
      </w:r>
      <w:r>
        <w:rPr>
          <w:rFonts w:hint="eastAsia" w:ascii="仿宋_GB2312" w:eastAsia="仿宋_GB2312" w:cs="DengXian-Regular"/>
          <w:sz w:val="32"/>
          <w:szCs w:val="32"/>
        </w:rPr>
        <w:t>比</w:t>
      </w:r>
      <w:r>
        <w:rPr>
          <w:rFonts w:ascii="仿宋_GB2312" w:eastAsia="仿宋_GB2312" w:cs="DengXian-Regular"/>
          <w:sz w:val="32"/>
          <w:szCs w:val="32"/>
        </w:rPr>
        <w:t>2017</w:t>
      </w:r>
      <w:r>
        <w:rPr>
          <w:rFonts w:hint="eastAsia" w:ascii="仿宋_GB2312" w:eastAsia="仿宋_GB2312" w:cs="DengXian-Regular"/>
          <w:sz w:val="32"/>
          <w:szCs w:val="32"/>
        </w:rPr>
        <w:t>年度减少</w:t>
      </w:r>
      <w:r>
        <w:rPr>
          <w:rFonts w:ascii="仿宋_GB2312" w:eastAsia="仿宋_GB2312" w:cs="DengXian-Regular"/>
          <w:sz w:val="32"/>
          <w:szCs w:val="32"/>
        </w:rPr>
        <w:t>7.84</w:t>
      </w:r>
      <w:r>
        <w:rPr>
          <w:rFonts w:hint="eastAsia" w:ascii="仿宋_GB2312" w:eastAsia="仿宋_GB2312" w:cs="DengXian-Regular"/>
          <w:sz w:val="32"/>
          <w:szCs w:val="32"/>
        </w:rPr>
        <w:t>万元，下降</w:t>
      </w:r>
      <w:r>
        <w:rPr>
          <w:rFonts w:ascii="仿宋_GB2312" w:eastAsia="仿宋_GB2312" w:cs="DengXian-Regular"/>
          <w:sz w:val="32"/>
          <w:szCs w:val="32"/>
        </w:rPr>
        <w:t>14.45%</w:t>
      </w:r>
      <w:r>
        <w:rPr>
          <w:rFonts w:hint="eastAsia" w:ascii="仿宋_GB2312" w:eastAsia="仿宋_GB2312" w:cs="DengXian-Regular"/>
          <w:sz w:val="32"/>
          <w:szCs w:val="32"/>
        </w:rPr>
        <w:t>，主要是人员经费调整，项目资金调整；本年支出</w:t>
      </w:r>
      <w:r>
        <w:rPr>
          <w:rFonts w:ascii="仿宋_GB2312" w:eastAsia="仿宋_GB2312" w:cs="DengXian-Regular"/>
          <w:sz w:val="32"/>
          <w:szCs w:val="32"/>
        </w:rPr>
        <w:t>52.63</w:t>
      </w:r>
      <w:r>
        <w:rPr>
          <w:rFonts w:hint="eastAsia" w:ascii="仿宋_GB2312" w:eastAsia="仿宋_GB2312" w:cs="DengXian-Regular"/>
          <w:sz w:val="32"/>
          <w:szCs w:val="32"/>
        </w:rPr>
        <w:t>万元，结转</w:t>
      </w:r>
      <w:r>
        <w:rPr>
          <w:rFonts w:ascii="仿宋_GB2312" w:eastAsia="仿宋_GB2312" w:cs="DengXian-Regular"/>
          <w:sz w:val="32"/>
          <w:szCs w:val="32"/>
        </w:rPr>
        <w:t>7.12</w:t>
      </w:r>
      <w:r>
        <w:rPr>
          <w:rFonts w:hint="eastAsia" w:ascii="仿宋_GB2312" w:eastAsia="仿宋_GB2312" w:cs="DengXian-Regular"/>
          <w:sz w:val="32"/>
          <w:szCs w:val="32"/>
        </w:rPr>
        <w:t>万元，减少</w:t>
      </w:r>
      <w:r>
        <w:rPr>
          <w:rFonts w:ascii="仿宋_GB2312" w:eastAsia="仿宋_GB2312" w:cs="DengXian-Regular"/>
          <w:sz w:val="32"/>
          <w:szCs w:val="32"/>
        </w:rPr>
        <w:t>4</w:t>
      </w:r>
      <w:r>
        <w:rPr>
          <w:rFonts w:hint="eastAsia" w:ascii="仿宋_GB2312" w:eastAsia="仿宋_GB2312" w:cs="DengXian-Regular"/>
          <w:sz w:val="32"/>
          <w:szCs w:val="32"/>
        </w:rPr>
        <w:t>万元，降低</w:t>
      </w:r>
      <w:r>
        <w:rPr>
          <w:rFonts w:ascii="仿宋_GB2312" w:eastAsia="仿宋_GB2312" w:cs="DengXian-Regular"/>
          <w:sz w:val="32"/>
          <w:szCs w:val="32"/>
        </w:rPr>
        <w:t>7.6%</w:t>
      </w:r>
      <w:r>
        <w:rPr>
          <w:rFonts w:hint="eastAsia" w:ascii="仿宋_GB2312" w:eastAsia="仿宋_GB2312" w:cs="DengXian-Regular"/>
          <w:sz w:val="32"/>
          <w:szCs w:val="32"/>
        </w:rPr>
        <w:t>，主要是在保证人员经费及项目资金的正常支出下压减公用经费支出。</w:t>
      </w:r>
    </w:p>
    <w:p>
      <w:pPr>
        <w:adjustRightInd w:val="0"/>
        <w:snapToGrid w:val="0"/>
        <w:spacing w:after="0" w:line="580" w:lineRule="exact"/>
        <w:jc w:val="center"/>
        <w:rPr>
          <w:rFonts w:eastAsia="仿宋_GB2312"/>
          <w:sz w:val="32"/>
          <w:szCs w:val="32"/>
        </w:rPr>
      </w:pPr>
      <w:r>
        <w:rPr>
          <w:rFonts w:hint="eastAsia" w:eastAsia="仿宋_GB2312"/>
          <w:sz w:val="32"/>
          <w:szCs w:val="32"/>
        </w:rPr>
        <w:t>图</w:t>
      </w:r>
      <w:r>
        <w:rPr>
          <w:rFonts w:eastAsia="仿宋_GB2312"/>
          <w:sz w:val="32"/>
          <w:szCs w:val="32"/>
        </w:rPr>
        <w:t>3</w:t>
      </w:r>
      <w:r>
        <w:rPr>
          <w:rFonts w:hint="eastAsia" w:eastAsia="仿宋_GB2312"/>
          <w:sz w:val="32"/>
          <w:szCs w:val="32"/>
        </w:rPr>
        <w:t>：财政拨款收支情况</w:t>
      </w:r>
    </w:p>
    <w:p>
      <w:pPr>
        <w:adjustRightInd w:val="0"/>
        <w:snapToGrid w:val="0"/>
        <w:spacing w:after="0" w:line="240" w:lineRule="auto"/>
        <w:jc w:val="center"/>
        <w:rPr>
          <w:rFonts w:ascii="仿宋_GB2312" w:eastAsia="仿宋_GB2312" w:cs="DengXian-Regular"/>
          <w:sz w:val="32"/>
          <w:szCs w:val="32"/>
        </w:rPr>
      </w:pPr>
      <w:r>
        <w:rPr>
          <w:rFonts w:eastAsia="仿宋_GB2312"/>
          <w:sz w:val="32"/>
          <w:szCs w:val="32"/>
        </w:rPr>
        <w:drawing>
          <wp:inline distT="0" distB="0" distL="0" distR="0">
            <wp:extent cx="4579620" cy="2750820"/>
            <wp:effectExtent l="0" t="1" r="25" b="43"/>
            <wp:docPr id="7" name="图片 8"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图片4"/>
                    <pic:cNvPicPr>
                      <a:picLocks noChangeAspect="1"/>
                    </pic:cNvPicPr>
                  </pic:nvPicPr>
                  <pic:blipFill>
                    <a:blip r:embed="rId8"/>
                    <a:stretch>
                      <a:fillRect/>
                    </a:stretch>
                  </pic:blipFill>
                  <pic:spPr>
                    <a:xfrm>
                      <a:off x="0" y="0"/>
                      <a:ext cx="4579620" cy="2750820"/>
                    </a:xfrm>
                    <a:prstGeom prst="rect">
                      <a:avLst/>
                    </a:prstGeom>
                    <a:noFill/>
                    <a:ln w="9525" cap="flat" cmpd="sng">
                      <a:noFill/>
                      <a:prstDash val="solid"/>
                      <a:miter/>
                    </a:ln>
                  </pic:spPr>
                </pic:pic>
              </a:graphicData>
            </a:graphic>
          </wp:inline>
        </w:drawing>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年度一般公共预算财政拨款收入</w:t>
      </w:r>
      <w:r>
        <w:rPr>
          <w:rFonts w:ascii="仿宋_GB2312" w:eastAsia="仿宋_GB2312" w:cs="DengXian-Regular"/>
          <w:sz w:val="32"/>
          <w:szCs w:val="32"/>
        </w:rPr>
        <w:t>54.27</w:t>
      </w:r>
      <w:r>
        <w:rPr>
          <w:rFonts w:hint="eastAsia" w:ascii="仿宋_GB2312" w:eastAsia="仿宋_GB2312" w:cs="DengXian-Regular"/>
          <w:sz w:val="32"/>
          <w:szCs w:val="32"/>
        </w:rPr>
        <w:t>万元，完成年初预算的</w:t>
      </w:r>
      <w:r>
        <w:rPr>
          <w:rFonts w:ascii="仿宋_GB2312" w:eastAsia="仿宋_GB2312" w:cs="DengXian-Regular"/>
          <w:sz w:val="32"/>
          <w:szCs w:val="32"/>
        </w:rPr>
        <w:t>100%,</w:t>
      </w:r>
      <w:r>
        <w:rPr>
          <w:rFonts w:hint="eastAsia" w:ascii="仿宋_GB2312" w:eastAsia="仿宋_GB2312" w:cs="DengXian-Regular"/>
          <w:sz w:val="32"/>
          <w:szCs w:val="32"/>
        </w:rPr>
        <w:t>比年初预算无变化，；本年支出</w:t>
      </w:r>
      <w:r>
        <w:rPr>
          <w:rFonts w:ascii="仿宋_GB2312" w:eastAsia="仿宋_GB2312" w:cs="DengXian-Regular"/>
          <w:sz w:val="32"/>
          <w:szCs w:val="32"/>
        </w:rPr>
        <w:t>52.24</w:t>
      </w:r>
      <w:r>
        <w:rPr>
          <w:rFonts w:hint="eastAsia" w:ascii="仿宋_GB2312" w:eastAsia="仿宋_GB2312" w:cs="DengXian-Regular"/>
          <w:sz w:val="32"/>
          <w:szCs w:val="32"/>
        </w:rPr>
        <w:t>万元，结转</w:t>
      </w:r>
      <w:r>
        <w:rPr>
          <w:rFonts w:ascii="仿宋_GB2312" w:eastAsia="仿宋_GB2312" w:cs="DengXian-Regular"/>
          <w:sz w:val="32"/>
          <w:szCs w:val="32"/>
        </w:rPr>
        <w:t>2.03</w:t>
      </w:r>
      <w:r>
        <w:rPr>
          <w:rFonts w:hint="eastAsia" w:ascii="仿宋_GB2312" w:eastAsia="仿宋_GB2312" w:cs="DengXian-Regular"/>
          <w:sz w:val="32"/>
          <w:szCs w:val="32"/>
        </w:rPr>
        <w:t>万元。完成年初预算的</w:t>
      </w:r>
      <w:r>
        <w:rPr>
          <w:rFonts w:ascii="仿宋_GB2312" w:eastAsia="仿宋_GB2312" w:cs="DengXian-Regular"/>
          <w:sz w:val="32"/>
          <w:szCs w:val="32"/>
        </w:rPr>
        <w:t>99.94%,</w:t>
      </w:r>
      <w:r>
        <w:rPr>
          <w:rFonts w:hint="eastAsia" w:ascii="仿宋_GB2312" w:eastAsia="仿宋_GB2312" w:cs="DengXian-Regular"/>
          <w:sz w:val="32"/>
          <w:szCs w:val="32"/>
        </w:rPr>
        <w:t>比年初预算减少</w:t>
      </w:r>
      <w:r>
        <w:rPr>
          <w:rFonts w:ascii="仿宋_GB2312" w:eastAsia="仿宋_GB2312" w:cs="DengXian-Regular"/>
          <w:sz w:val="32"/>
          <w:szCs w:val="32"/>
        </w:rPr>
        <w:t>2.03</w:t>
      </w:r>
      <w:r>
        <w:rPr>
          <w:rFonts w:hint="eastAsia" w:ascii="仿宋_GB2312" w:eastAsia="仿宋_GB2312" w:cs="DengXian-Regular"/>
          <w:sz w:val="32"/>
          <w:szCs w:val="32"/>
        </w:rPr>
        <w:t>万元，决算数小于预算数主要是在保证人员经费及项目资金的正常支出下压减公用经费支出。</w:t>
      </w:r>
    </w:p>
    <w:p>
      <w:pPr>
        <w:adjustRightInd w:val="0"/>
        <w:snapToGrid w:val="0"/>
        <w:spacing w:after="0" w:line="580" w:lineRule="exact"/>
        <w:jc w:val="center"/>
        <w:rPr>
          <w:rFonts w:eastAsia="仿宋_GB2312"/>
          <w:sz w:val="32"/>
          <w:szCs w:val="32"/>
        </w:rPr>
      </w:pPr>
      <w:r>
        <w:rPr>
          <w:rFonts w:hint="eastAsia" w:eastAsia="仿宋_GB2312"/>
          <w:sz w:val="32"/>
          <w:szCs w:val="32"/>
        </w:rPr>
        <w:t>图</w:t>
      </w:r>
      <w:r>
        <w:rPr>
          <w:rFonts w:eastAsia="仿宋_GB2312"/>
          <w:sz w:val="32"/>
          <w:szCs w:val="32"/>
        </w:rPr>
        <w:t>4</w:t>
      </w:r>
      <w:r>
        <w:rPr>
          <w:rFonts w:hint="eastAsia" w:eastAsia="仿宋_GB2312"/>
          <w:sz w:val="32"/>
          <w:szCs w:val="32"/>
        </w:rPr>
        <w:t>：财政拨款收支预决算对比情况</w:t>
      </w:r>
    </w:p>
    <w:p>
      <w:pPr>
        <w:adjustRightInd w:val="0"/>
        <w:snapToGrid w:val="0"/>
        <w:spacing w:after="0" w:line="240" w:lineRule="auto"/>
        <w:ind w:firstLine="640" w:firstLineChars="200"/>
        <w:jc w:val="left"/>
        <w:rPr>
          <w:rFonts w:ascii="仿宋_GB2312" w:eastAsia="仿宋_GB2312" w:cs="DengXian-Regular"/>
          <w:sz w:val="32"/>
          <w:szCs w:val="32"/>
          <w:highlight w:val="yellow"/>
        </w:rPr>
      </w:pPr>
      <w:r>
        <w:rPr>
          <w:rFonts w:ascii="仿宋_GB2312" w:eastAsia="仿宋_GB2312" w:cs="DengXian-Regular"/>
          <w:sz w:val="32"/>
          <w:szCs w:val="32"/>
        </w:rPr>
        <w:drawing>
          <wp:inline distT="0" distB="0" distL="0" distR="0">
            <wp:extent cx="4678045" cy="2643505"/>
            <wp:effectExtent l="0" t="0" r="25" b="40"/>
            <wp:docPr id="10"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图片1"/>
                    <pic:cNvPicPr>
                      <a:picLocks noChangeAspect="1"/>
                    </pic:cNvPicPr>
                  </pic:nvPicPr>
                  <pic:blipFill>
                    <a:blip r:embed="rId9"/>
                    <a:stretch>
                      <a:fillRect/>
                    </a:stretch>
                  </pic:blipFill>
                  <pic:spPr>
                    <a:xfrm>
                      <a:off x="0" y="0"/>
                      <a:ext cx="4678679" cy="2644139"/>
                    </a:xfrm>
                    <a:prstGeom prst="rect">
                      <a:avLst/>
                    </a:prstGeom>
                    <a:noFill/>
                    <a:ln w="9525" cap="flat" cmpd="sng">
                      <a:noFill/>
                      <a:prstDash val="solid"/>
                      <a:miter/>
                    </a:ln>
                  </pic:spPr>
                </pic:pic>
              </a:graphicData>
            </a:graphic>
          </wp:inline>
        </w:drawing>
      </w: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年度财政拨款支出</w:t>
      </w:r>
      <w:r>
        <w:rPr>
          <w:rFonts w:ascii="仿宋_GB2312" w:eastAsia="仿宋_GB2312" w:cs="DengXian-Regular"/>
          <w:sz w:val="32"/>
          <w:szCs w:val="32"/>
        </w:rPr>
        <w:t>52.63</w:t>
      </w:r>
      <w:r>
        <w:rPr>
          <w:rFonts w:hint="eastAsia" w:ascii="仿宋_GB2312" w:eastAsia="仿宋_GB2312" w:cs="DengXian-Regular"/>
          <w:sz w:val="32"/>
          <w:szCs w:val="32"/>
        </w:rPr>
        <w:t>万元，主要用于以下方面一般公共服务（类）支出</w:t>
      </w:r>
      <w:r>
        <w:rPr>
          <w:rFonts w:ascii="仿宋_GB2312" w:eastAsia="仿宋_GB2312" w:cs="DengXian-Regular"/>
          <w:sz w:val="32"/>
          <w:szCs w:val="32"/>
        </w:rPr>
        <w:t>45.62</w:t>
      </w:r>
      <w:r>
        <w:rPr>
          <w:rFonts w:hint="eastAsia" w:ascii="仿宋_GB2312" w:eastAsia="仿宋_GB2312" w:cs="DengXian-Regular"/>
          <w:sz w:val="32"/>
          <w:szCs w:val="32"/>
        </w:rPr>
        <w:t>万元，占</w:t>
      </w:r>
      <w:r>
        <w:rPr>
          <w:rFonts w:ascii="仿宋_GB2312" w:eastAsia="仿宋_GB2312" w:cs="DengXian-Regular"/>
          <w:sz w:val="32"/>
          <w:szCs w:val="32"/>
        </w:rPr>
        <w:t>86.68%</w:t>
      </w:r>
      <w:r>
        <w:rPr>
          <w:rFonts w:hint="eastAsia" w:ascii="仿宋_GB2312" w:eastAsia="仿宋_GB2312" w:cs="DengXian-Regular"/>
          <w:sz w:val="32"/>
          <w:szCs w:val="32"/>
        </w:rPr>
        <w:t>；社会保障和就业（类）支出</w:t>
      </w:r>
      <w:r>
        <w:rPr>
          <w:rFonts w:ascii="仿宋_GB2312" w:eastAsia="仿宋_GB2312" w:cs="DengXian-Regular"/>
          <w:sz w:val="32"/>
          <w:szCs w:val="32"/>
        </w:rPr>
        <w:t xml:space="preserve"> 3.97</w:t>
      </w:r>
      <w:r>
        <w:rPr>
          <w:rFonts w:hint="eastAsia" w:ascii="仿宋_GB2312" w:eastAsia="仿宋_GB2312" w:cs="DengXian-Regular"/>
          <w:sz w:val="32"/>
          <w:szCs w:val="32"/>
        </w:rPr>
        <w:t>万元，占</w:t>
      </w:r>
      <w:r>
        <w:rPr>
          <w:rFonts w:ascii="仿宋_GB2312" w:eastAsia="仿宋_GB2312" w:cs="DengXian-Regular"/>
          <w:sz w:val="32"/>
          <w:szCs w:val="32"/>
        </w:rPr>
        <w:t>7.54%</w:t>
      </w:r>
      <w:r>
        <w:rPr>
          <w:rFonts w:hint="eastAsia" w:ascii="仿宋_GB2312" w:eastAsia="仿宋_GB2312" w:cs="DengXian-Regular"/>
          <w:sz w:val="32"/>
          <w:szCs w:val="32"/>
        </w:rPr>
        <w:t>；医疗卫生与计划生育（类）支出</w:t>
      </w:r>
      <w:r>
        <w:rPr>
          <w:rFonts w:ascii="仿宋_GB2312" w:eastAsia="仿宋_GB2312" w:cs="DengXian-Regular"/>
          <w:sz w:val="32"/>
          <w:szCs w:val="32"/>
        </w:rPr>
        <w:t>2.04</w:t>
      </w:r>
      <w:r>
        <w:rPr>
          <w:rFonts w:hint="eastAsia" w:ascii="仿宋_GB2312" w:eastAsia="仿宋_GB2312" w:cs="DengXian-Regular"/>
          <w:sz w:val="32"/>
          <w:szCs w:val="32"/>
        </w:rPr>
        <w:t>万元，占</w:t>
      </w:r>
      <w:r>
        <w:rPr>
          <w:rFonts w:ascii="仿宋_GB2312" w:eastAsia="仿宋_GB2312" w:cs="DengXian-Regular"/>
          <w:sz w:val="32"/>
          <w:szCs w:val="32"/>
        </w:rPr>
        <w:t>3.88%</w:t>
      </w:r>
      <w:r>
        <w:rPr>
          <w:rFonts w:hint="eastAsia" w:ascii="仿宋_GB2312" w:eastAsia="仿宋_GB2312" w:cs="DengXian-Regular"/>
          <w:sz w:val="32"/>
          <w:szCs w:val="32"/>
        </w:rPr>
        <w:t>，资源勘探信息等支出</w:t>
      </w:r>
      <w:r>
        <w:rPr>
          <w:rFonts w:ascii="仿宋_GB2312" w:eastAsia="仿宋_GB2312" w:cs="DengXian-Regular"/>
          <w:sz w:val="32"/>
          <w:szCs w:val="32"/>
        </w:rPr>
        <w:t>1</w:t>
      </w:r>
      <w:r>
        <w:rPr>
          <w:rFonts w:hint="eastAsia" w:ascii="仿宋_GB2312" w:eastAsia="仿宋_GB2312" w:cs="DengXian-Regular"/>
          <w:sz w:val="32"/>
          <w:szCs w:val="32"/>
        </w:rPr>
        <w:t>万元，占</w:t>
      </w:r>
      <w:r>
        <w:rPr>
          <w:rFonts w:ascii="仿宋_GB2312" w:eastAsia="仿宋_GB2312" w:cs="DengXian-Regular"/>
          <w:sz w:val="32"/>
          <w:szCs w:val="32"/>
        </w:rPr>
        <w:t>1.9%</w:t>
      </w:r>
      <w:r>
        <w:rPr>
          <w:rFonts w:hint="eastAsia" w:ascii="仿宋_GB2312" w:eastAsia="仿宋_GB2312" w:cs="DengXian-Regular"/>
          <w:sz w:val="32"/>
          <w:szCs w:val="32"/>
        </w:rPr>
        <w:t>。</w:t>
      </w:r>
    </w:p>
    <w:p>
      <w:pPr>
        <w:adjustRightInd w:val="0"/>
        <w:snapToGrid w:val="0"/>
        <w:spacing w:after="0" w:line="580" w:lineRule="exact"/>
        <w:jc w:val="center"/>
        <w:rPr>
          <w:rFonts w:eastAsia="仿宋_GB2312"/>
          <w:sz w:val="32"/>
          <w:szCs w:val="32"/>
        </w:rPr>
      </w:pPr>
      <w:r>
        <w:rPr>
          <w:rFonts w:hint="eastAsia" w:eastAsia="仿宋_GB2312"/>
          <w:sz w:val="32"/>
          <w:szCs w:val="32"/>
        </w:rPr>
        <w:t>图</w:t>
      </w:r>
      <w:r>
        <w:rPr>
          <w:rFonts w:eastAsia="仿宋_GB2312"/>
          <w:sz w:val="32"/>
          <w:szCs w:val="32"/>
        </w:rPr>
        <w:t>5</w:t>
      </w:r>
      <w:r>
        <w:rPr>
          <w:rFonts w:hint="eastAsia" w:eastAsia="仿宋_GB2312"/>
          <w:sz w:val="32"/>
          <w:szCs w:val="32"/>
        </w:rPr>
        <w:t>：财政拨款支出决算结构（按功能分类）</w:t>
      </w:r>
    </w:p>
    <w:p>
      <w:pPr>
        <w:adjustRightInd w:val="0"/>
        <w:snapToGrid w:val="0"/>
        <w:spacing w:after="0" w:line="240" w:lineRule="auto"/>
        <w:jc w:val="center"/>
        <w:rPr>
          <w:rFonts w:ascii="楷体_GB2312" w:eastAsia="楷体_GB2312" w:cs="DengXian-Bold"/>
          <w:b/>
          <w:bCs/>
          <w:sz w:val="32"/>
          <w:szCs w:val="32"/>
        </w:rPr>
      </w:pPr>
      <w:r>
        <w:rPr>
          <w:rFonts w:eastAsia="仿宋_GB2312"/>
          <w:sz w:val="32"/>
          <w:szCs w:val="32"/>
        </w:rPr>
        <w:drawing>
          <wp:inline distT="0" distB="0" distL="0" distR="0">
            <wp:extent cx="4579620" cy="2750820"/>
            <wp:effectExtent l="0" t="0" r="25" b="42"/>
            <wp:docPr id="13" name="图片 9"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descr="图片5"/>
                    <pic:cNvPicPr>
                      <a:picLocks noChangeAspect="1"/>
                    </pic:cNvPicPr>
                  </pic:nvPicPr>
                  <pic:blipFill>
                    <a:blip r:embed="rId10"/>
                    <a:stretch>
                      <a:fillRect/>
                    </a:stretch>
                  </pic:blipFill>
                  <pic:spPr>
                    <a:xfrm>
                      <a:off x="0" y="0"/>
                      <a:ext cx="4579620" cy="2750820"/>
                    </a:xfrm>
                    <a:prstGeom prst="rect">
                      <a:avLst/>
                    </a:prstGeom>
                    <a:noFill/>
                    <a:ln w="9525" cap="flat" cmpd="sng">
                      <a:noFill/>
                      <a:prstDash val="solid"/>
                      <a:miter/>
                    </a:ln>
                  </pic:spPr>
                </pic:pic>
              </a:graphicData>
            </a:graphic>
          </wp:inline>
        </w:drawing>
      </w: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年度一般公共预算财政拨款基本支出</w:t>
      </w:r>
      <w:r>
        <w:rPr>
          <w:rFonts w:ascii="仿宋_GB2312" w:eastAsia="仿宋_GB2312" w:cs="DengXian-Regular"/>
          <w:sz w:val="32"/>
          <w:szCs w:val="32"/>
        </w:rPr>
        <w:t>41.24</w:t>
      </w:r>
      <w:r>
        <w:rPr>
          <w:rFonts w:hint="eastAsia" w:ascii="仿宋_GB2312" w:eastAsia="仿宋_GB2312" w:cs="DengXian-Regular"/>
          <w:sz w:val="32"/>
          <w:szCs w:val="32"/>
        </w:rPr>
        <w:t>万元，其中：人员经费</w:t>
      </w:r>
      <w:r>
        <w:rPr>
          <w:rFonts w:ascii="仿宋_GB2312" w:eastAsia="仿宋_GB2312" w:cs="DengXian-Regular"/>
          <w:sz w:val="32"/>
          <w:szCs w:val="32"/>
        </w:rPr>
        <w:t xml:space="preserve"> 34.67</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DengXian-Regular"/>
          <w:sz w:val="32"/>
          <w:szCs w:val="32"/>
        </w:rPr>
        <w:t>6.57</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五、一般公共预算财政拨款“三公”经费支出决算情况说明</w:t>
      </w:r>
    </w:p>
    <w:p>
      <w:pPr>
        <w:adjustRightInd w:val="0"/>
        <w:snapToGrid w:val="0"/>
        <w:spacing w:line="584" w:lineRule="exact"/>
        <w:ind w:firstLine="640" w:firstLineChars="200"/>
        <w:rPr>
          <w:rFonts w:ascii="仿宋_GB2312" w:eastAsia="仿宋_GB2312"/>
          <w:sz w:val="32"/>
          <w:szCs w:val="32"/>
          <w:highlight w:val="yellow"/>
        </w:rPr>
      </w:pPr>
      <w:r>
        <w:rPr>
          <w:rFonts w:hint="eastAsia" w:ascii="仿宋_GB2312" w:eastAsia="仿宋_GB2312"/>
          <w:sz w:val="32"/>
          <w:szCs w:val="32"/>
        </w:rPr>
        <w:t>本部门2018年度一般公共预算财政拨款“三公”经费支出共计0万元，比年初预算减少1万元，降低100%，</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厉</w:t>
      </w:r>
      <w:r>
        <w:rPr>
          <w:rFonts w:hint="eastAsia" w:ascii="仿宋_GB2312" w:eastAsia="仿宋_GB2312" w:cs="DengXian-Regular"/>
          <w:sz w:val="32"/>
          <w:szCs w:val="32"/>
        </w:rPr>
        <w:t>行节约，压减经费支出</w:t>
      </w:r>
      <w:r>
        <w:rPr>
          <w:rFonts w:hint="eastAsia" w:ascii="仿宋_GB2312" w:eastAsia="仿宋_GB2312"/>
          <w:sz w:val="32"/>
          <w:szCs w:val="32"/>
        </w:rPr>
        <w:t>；比2017年度决算增加0万元，增长0%，主要是一般公共预算财政拨款“三公”经费支出较2017年度决算无增减变化。具体情况如下：</w:t>
      </w:r>
    </w:p>
    <w:p>
      <w:pPr>
        <w:adjustRightInd w:val="0"/>
        <w:snapToGrid w:val="0"/>
        <w:spacing w:line="584" w:lineRule="exact"/>
        <w:ind w:firstLine="641"/>
        <w:rPr>
          <w:rFonts w:eastAsia="仿宋_GB2312"/>
          <w:sz w:val="32"/>
          <w:szCs w:val="32"/>
        </w:rPr>
      </w:pPr>
      <w:r>
        <w:rPr>
          <w:rFonts w:hint="eastAsia" w:eastAsia="楷体_GB2312"/>
          <w:b/>
          <w:bCs/>
          <w:sz w:val="32"/>
          <w:szCs w:val="32"/>
        </w:rPr>
        <w:t>（一）因公出国（境）费支出</w:t>
      </w:r>
      <w:r>
        <w:rPr>
          <w:rFonts w:eastAsia="楷体_GB2312"/>
          <w:b/>
          <w:bCs/>
          <w:sz w:val="32"/>
          <w:szCs w:val="32"/>
        </w:rPr>
        <w:t>0</w:t>
      </w:r>
      <w:r>
        <w:rPr>
          <w:rFonts w:hint="eastAsia"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因公出国（境）团组0个、共0人/参加其他单位组织的因公出国（境）团组0个、共0人/无本单位组织的出国（境）团组。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w:t>
      </w:r>
      <w:r>
        <w:rPr>
          <w:rFonts w:hint="eastAsia" w:eastAsia="仿宋_GB2312"/>
          <w:sz w:val="32"/>
          <w:szCs w:val="32"/>
        </w:rPr>
        <w:t>增加0万元，增长0%，主要是</w:t>
      </w:r>
      <w:r>
        <w:rPr>
          <w:rFonts w:eastAsia="仿宋_GB2312"/>
          <w:sz w:val="32"/>
          <w:szCs w:val="32"/>
        </w:rPr>
        <w:t>因公出国（境）费支出</w:t>
      </w:r>
      <w:r>
        <w:rPr>
          <w:rFonts w:hint="eastAsia" w:eastAsia="仿宋_GB2312"/>
          <w:sz w:val="32"/>
          <w:szCs w:val="32"/>
        </w:rPr>
        <w:t>较年初预算无增减变化；比2017年度决算增加0万元，增长0%，主要是</w:t>
      </w:r>
      <w:r>
        <w:rPr>
          <w:rFonts w:eastAsia="仿宋_GB2312"/>
          <w:sz w:val="32"/>
          <w:szCs w:val="32"/>
        </w:rPr>
        <w:t>公出国（境）费支出</w:t>
      </w:r>
      <w:r>
        <w:rPr>
          <w:rFonts w:hint="eastAsia" w:eastAsia="仿宋_GB2312"/>
          <w:sz w:val="32"/>
          <w:szCs w:val="32"/>
        </w:rPr>
        <w:t>较2017年度决算无增减变化。</w:t>
      </w:r>
    </w:p>
    <w:p>
      <w:pPr>
        <w:adjustRightInd w:val="0"/>
        <w:snapToGrid w:val="0"/>
        <w:spacing w:line="584" w:lineRule="exact"/>
        <w:ind w:firstLine="641"/>
        <w:rPr>
          <w:rFonts w:eastAsia="仿宋_GB2312"/>
          <w:b/>
          <w:bCs/>
          <w:sz w:val="32"/>
          <w:szCs w:val="32"/>
        </w:rPr>
      </w:pPr>
      <w:r>
        <w:rPr>
          <w:rFonts w:hint="eastAsia" w:eastAsia="楷体_GB2312"/>
          <w:b/>
          <w:bCs/>
          <w:sz w:val="32"/>
          <w:szCs w:val="32"/>
        </w:rPr>
        <w:t>（二）公务用车购置及运行维护费支出</w:t>
      </w:r>
      <w:r>
        <w:rPr>
          <w:rFonts w:eastAsia="楷体_GB2312"/>
          <w:b/>
          <w:bCs/>
          <w:sz w:val="32"/>
          <w:szCs w:val="32"/>
        </w:rPr>
        <w:t>0</w:t>
      </w:r>
      <w:r>
        <w:rPr>
          <w:rFonts w:hint="eastAsia" w:eastAsia="楷体_GB2312"/>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年度公务用车购置及运行维护费支出，比年初预算</w:t>
      </w:r>
      <w:r>
        <w:rPr>
          <w:rFonts w:hint="eastAsia" w:eastAsia="仿宋_GB2312"/>
          <w:sz w:val="32"/>
          <w:szCs w:val="32"/>
        </w:rPr>
        <w:t>减少</w:t>
      </w:r>
      <w:r>
        <w:rPr>
          <w:rFonts w:eastAsia="仿宋_GB2312"/>
          <w:sz w:val="32"/>
          <w:szCs w:val="32"/>
        </w:rPr>
        <w:t>1</w:t>
      </w:r>
      <w:r>
        <w:rPr>
          <w:rFonts w:hint="eastAsia" w:eastAsia="仿宋_GB2312"/>
          <w:sz w:val="32"/>
          <w:szCs w:val="32"/>
        </w:rPr>
        <w:t>万元</w:t>
      </w:r>
      <w:r>
        <w:rPr>
          <w:rFonts w:hint="eastAsia" w:ascii="仿宋_GB2312" w:eastAsia="仿宋_GB2312" w:cs="DengXian-Regular"/>
          <w:sz w:val="32"/>
          <w:szCs w:val="32"/>
        </w:rPr>
        <w:t>，</w:t>
      </w:r>
      <w:r>
        <w:rPr>
          <w:rFonts w:hint="eastAsia" w:eastAsia="仿宋_GB2312"/>
          <w:sz w:val="32"/>
          <w:szCs w:val="32"/>
        </w:rPr>
        <w:t>降低</w:t>
      </w:r>
      <w:r>
        <w:rPr>
          <w:rFonts w:eastAsia="仿宋_GB2312"/>
          <w:sz w:val="32"/>
          <w:szCs w:val="32"/>
        </w:rPr>
        <w:t>100%</w:t>
      </w:r>
      <w:r>
        <w:rPr>
          <w:rFonts w:ascii="仿宋_GB2312" w:eastAsia="仿宋_GB2312" w:cs="DengXian-Regular"/>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厉</w:t>
      </w:r>
      <w:r>
        <w:rPr>
          <w:rFonts w:hint="eastAsia" w:ascii="仿宋_GB2312" w:eastAsia="仿宋_GB2312" w:cs="DengXian-Regular"/>
          <w:sz w:val="32"/>
          <w:szCs w:val="32"/>
        </w:rPr>
        <w:t>行节约，压减经费支出；</w:t>
      </w:r>
      <w:r>
        <w:rPr>
          <w:rFonts w:hint="eastAsia" w:eastAsia="仿宋_GB2312"/>
          <w:sz w:val="32"/>
          <w:szCs w:val="32"/>
        </w:rPr>
        <w:t>比2017年度决算增加0万元，增长0%，主要是</w:t>
      </w:r>
      <w:r>
        <w:rPr>
          <w:rFonts w:hint="eastAsia" w:ascii="仿宋_GB2312" w:eastAsia="仿宋_GB2312" w:cs="DengXian-Regular"/>
          <w:sz w:val="32"/>
          <w:szCs w:val="32"/>
        </w:rPr>
        <w:t>公务用车购置及运行维护费支出较2017年度决算无增减变化</w:t>
      </w:r>
      <w:r>
        <w:rPr>
          <w:rFonts w:hint="eastAsia" w:eastAsia="仿宋_GB2312"/>
          <w:sz w:val="32"/>
          <w:szCs w:val="32"/>
        </w:rPr>
        <w:t>。</w:t>
      </w:r>
      <w:r>
        <w:rPr>
          <w:rFonts w:hint="eastAsia" w:eastAsia="仿宋_GB2312"/>
          <w:b/>
          <w:bCs/>
          <w:sz w:val="32"/>
          <w:szCs w:val="32"/>
        </w:rPr>
        <w:t>其中：</w:t>
      </w:r>
    </w:p>
    <w:p>
      <w:pPr>
        <w:adjustRightInd w:val="0"/>
        <w:snapToGrid w:val="0"/>
        <w:spacing w:line="584" w:lineRule="exact"/>
        <w:ind w:firstLine="643" w:firstLineChars="200"/>
        <w:rPr>
          <w:rFonts w:eastAsia="仿宋_GB2312"/>
          <w:sz w:val="32"/>
          <w:szCs w:val="32"/>
        </w:rPr>
      </w:pPr>
      <w:r>
        <w:rPr>
          <w:rFonts w:hint="eastAsia" w:eastAsia="仿宋_GB2312"/>
          <w:b/>
          <w:sz w:val="32"/>
          <w:szCs w:val="32"/>
        </w:rPr>
        <w:t>公务用车购置费支出</w:t>
      </w:r>
      <w:r>
        <w:rPr>
          <w:rFonts w:eastAsia="仿宋_GB2312"/>
          <w:b/>
          <w:sz w:val="32"/>
          <w:szCs w:val="32"/>
        </w:rPr>
        <w:t>0</w:t>
      </w:r>
      <w:r>
        <w:rPr>
          <w:rFonts w:hint="eastAsia"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rPr>
        <w:t>0</w:t>
      </w:r>
      <w:r>
        <w:rPr>
          <w:rFonts w:eastAsia="仿宋_GB2312"/>
          <w:sz w:val="32"/>
          <w:szCs w:val="32"/>
        </w:rPr>
        <w:t>辆。公务用车购置费支出</w:t>
      </w:r>
      <w:r>
        <w:rPr>
          <w:rFonts w:hint="eastAsia" w:eastAsia="仿宋_GB2312"/>
          <w:sz w:val="32"/>
          <w:szCs w:val="32"/>
        </w:rPr>
        <w:t>比</w:t>
      </w:r>
      <w:r>
        <w:rPr>
          <w:rFonts w:eastAsia="仿宋_GB2312"/>
          <w:sz w:val="32"/>
          <w:szCs w:val="32"/>
        </w:rPr>
        <w:t>年初预算</w:t>
      </w:r>
      <w:r>
        <w:rPr>
          <w:rFonts w:hint="eastAsia" w:eastAsia="仿宋_GB2312"/>
          <w:sz w:val="32"/>
          <w:szCs w:val="32"/>
        </w:rPr>
        <w:t>增加0万元，增长0%，主要是</w:t>
      </w:r>
      <w:r>
        <w:rPr>
          <w:rFonts w:eastAsia="仿宋_GB2312"/>
          <w:sz w:val="32"/>
          <w:szCs w:val="32"/>
        </w:rPr>
        <w:t>公务用车购置费支出</w:t>
      </w:r>
      <w:r>
        <w:rPr>
          <w:rFonts w:hint="eastAsia" w:eastAsia="仿宋_GB2312"/>
          <w:sz w:val="32"/>
          <w:szCs w:val="32"/>
        </w:rPr>
        <w:t>较年初预算无增减变化；比2017年度决算增加0万元，增长0%，主要是</w:t>
      </w:r>
      <w:r>
        <w:rPr>
          <w:rFonts w:eastAsia="仿宋_GB2312"/>
          <w:sz w:val="32"/>
          <w:szCs w:val="32"/>
        </w:rPr>
        <w:t>公务用车购置费支出</w:t>
      </w:r>
      <w:r>
        <w:rPr>
          <w:rFonts w:hint="eastAsia" w:eastAsia="仿宋_GB2312"/>
          <w:sz w:val="32"/>
          <w:szCs w:val="32"/>
        </w:rPr>
        <w:t>较2017年度决算无增减变化。</w:t>
      </w:r>
    </w:p>
    <w:p>
      <w:pPr>
        <w:adjustRightInd w:val="0"/>
        <w:snapToGrid w:val="0"/>
        <w:spacing w:line="584" w:lineRule="exact"/>
        <w:ind w:firstLine="643" w:firstLineChars="200"/>
        <w:rPr>
          <w:rFonts w:eastAsia="仿宋_GB2312"/>
          <w:sz w:val="32"/>
          <w:szCs w:val="32"/>
          <w:highlight w:val="yellow"/>
        </w:rPr>
      </w:pPr>
      <w:r>
        <w:rPr>
          <w:rFonts w:hint="eastAsia" w:eastAsia="仿宋_GB2312"/>
          <w:b/>
          <w:sz w:val="32"/>
          <w:szCs w:val="32"/>
        </w:rPr>
        <w:t>公务用车运行维护费支出</w:t>
      </w:r>
      <w:r>
        <w:rPr>
          <w:rFonts w:eastAsia="仿宋_GB2312"/>
          <w:b/>
          <w:sz w:val="32"/>
          <w:szCs w:val="32"/>
        </w:rPr>
        <w:t>0</w:t>
      </w:r>
      <w:r>
        <w:rPr>
          <w:rFonts w:hint="eastAsia" w:eastAsia="仿宋_GB2312"/>
          <w:b/>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年末单位公务用车保有量</w:t>
      </w:r>
      <w:r>
        <w:rPr>
          <w:rFonts w:eastAsia="仿宋_GB2312"/>
          <w:sz w:val="32"/>
          <w:szCs w:val="32"/>
        </w:rPr>
        <w:t>0</w:t>
      </w:r>
      <w:r>
        <w:rPr>
          <w:rFonts w:hint="eastAsia" w:eastAsia="仿宋_GB2312"/>
          <w:sz w:val="32"/>
          <w:szCs w:val="32"/>
        </w:rPr>
        <w:t>辆。公车运行维护费支出比年初预算减少</w:t>
      </w:r>
      <w:r>
        <w:rPr>
          <w:rFonts w:eastAsia="仿宋_GB2312"/>
          <w:sz w:val="32"/>
          <w:szCs w:val="32"/>
        </w:rPr>
        <w:t>1</w:t>
      </w:r>
      <w:r>
        <w:rPr>
          <w:rFonts w:hint="eastAsia" w:eastAsia="仿宋_GB2312"/>
          <w:sz w:val="32"/>
          <w:szCs w:val="32"/>
        </w:rPr>
        <w:t>万元，降低</w:t>
      </w:r>
      <w:r>
        <w:rPr>
          <w:rFonts w:eastAsia="仿宋_GB2312"/>
          <w:sz w:val="32"/>
          <w:szCs w:val="32"/>
        </w:rPr>
        <w:t>100%</w:t>
      </w:r>
      <w:r>
        <w:rPr>
          <w:rFonts w:hint="eastAsia" w:eastAsia="仿宋_GB2312"/>
          <w:sz w:val="32"/>
          <w:szCs w:val="32"/>
        </w:rPr>
        <w:t>，主要是</w:t>
      </w:r>
      <w:r>
        <w:rPr>
          <w:rFonts w:hint="eastAsia" w:eastAsia="仿宋_GB2312"/>
          <w:sz w:val="32"/>
          <w:szCs w:val="32"/>
          <w:lang w:eastAsia="zh-CN"/>
        </w:rPr>
        <w:t>厉</w:t>
      </w:r>
      <w:bookmarkStart w:id="0" w:name="_GoBack"/>
      <w:bookmarkEnd w:id="0"/>
      <w:r>
        <w:rPr>
          <w:rFonts w:hint="eastAsia" w:eastAsia="仿宋_GB2312"/>
          <w:sz w:val="32"/>
          <w:szCs w:val="32"/>
        </w:rPr>
        <w:t>行节约，压减经费支出；比</w:t>
      </w:r>
      <w:r>
        <w:rPr>
          <w:rFonts w:eastAsia="仿宋_GB2312"/>
          <w:sz w:val="32"/>
          <w:szCs w:val="32"/>
        </w:rPr>
        <w:t>2017</w:t>
      </w:r>
      <w:r>
        <w:rPr>
          <w:rFonts w:hint="eastAsia" w:eastAsia="仿宋_GB2312"/>
          <w:sz w:val="32"/>
          <w:szCs w:val="32"/>
        </w:rPr>
        <w:t>年度决算增加0万元，增长0%，主要是公车运行维护费支出较2017年度决算无增减变化。</w:t>
      </w:r>
    </w:p>
    <w:p>
      <w:pPr>
        <w:adjustRightInd w:val="0"/>
        <w:snapToGrid w:val="0"/>
        <w:spacing w:line="584" w:lineRule="exact"/>
        <w:ind w:firstLine="643" w:firstLineChars="200"/>
        <w:rPr>
          <w:rFonts w:eastAsia="仿宋_GB2312"/>
          <w:sz w:val="32"/>
          <w:szCs w:val="32"/>
          <w:highlight w:val="yellow"/>
        </w:rPr>
      </w:pPr>
      <w:r>
        <w:rPr>
          <w:rFonts w:hint="eastAsia" w:eastAsia="楷体_GB2312"/>
          <w:b/>
          <w:bCs/>
          <w:sz w:val="32"/>
          <w:szCs w:val="32"/>
        </w:rPr>
        <w:t>（三）公务接待费支出</w:t>
      </w:r>
      <w:r>
        <w:rPr>
          <w:rFonts w:eastAsia="楷体_GB2312"/>
          <w:b/>
          <w:bCs/>
          <w:sz w:val="32"/>
          <w:szCs w:val="32"/>
        </w:rPr>
        <w:t>0</w:t>
      </w:r>
      <w:r>
        <w:rPr>
          <w:rFonts w:hint="eastAsia"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rPr>
        <w:t>0</w:t>
      </w:r>
      <w:r>
        <w:rPr>
          <w:rFonts w:eastAsia="仿宋_GB2312"/>
          <w:sz w:val="32"/>
          <w:szCs w:val="32"/>
        </w:rPr>
        <w:t>批次、</w:t>
      </w:r>
      <w:r>
        <w:rPr>
          <w:rFonts w:hint="eastAsia" w:eastAsia="仿宋_GB2312"/>
          <w:sz w:val="32"/>
          <w:szCs w:val="32"/>
        </w:rPr>
        <w:t>0</w:t>
      </w:r>
      <w:r>
        <w:rPr>
          <w:rFonts w:eastAsia="仿宋_GB2312"/>
          <w:sz w:val="32"/>
          <w:szCs w:val="32"/>
        </w:rPr>
        <w:t>人次。</w:t>
      </w:r>
      <w:r>
        <w:rPr>
          <w:rFonts w:hint="eastAsia" w:ascii="仿宋_GB2312" w:eastAsia="仿宋_GB2312" w:cs="DengXian-Regular"/>
          <w:sz w:val="32"/>
          <w:szCs w:val="32"/>
        </w:rPr>
        <w:t>公务接待费支出比年初预算</w:t>
      </w:r>
      <w:r>
        <w:rPr>
          <w:rFonts w:hint="eastAsia" w:ascii="仿宋_GB2312" w:eastAsia="仿宋_GB2312"/>
          <w:sz w:val="32"/>
          <w:szCs w:val="32"/>
        </w:rPr>
        <w:t>增加0万元，增长0%，主要是</w:t>
      </w:r>
      <w:r>
        <w:rPr>
          <w:rFonts w:hint="eastAsia" w:ascii="仿宋_GB2312" w:eastAsia="仿宋_GB2312" w:cs="DengXian-Regular"/>
          <w:sz w:val="32"/>
          <w:szCs w:val="32"/>
        </w:rPr>
        <w:t>公务接待费支出较年初预算无增减变化</w:t>
      </w:r>
      <w:r>
        <w:rPr>
          <w:rFonts w:hint="eastAsia" w:ascii="仿宋_GB2312" w:eastAsia="仿宋_GB2312"/>
          <w:sz w:val="32"/>
          <w:szCs w:val="32"/>
        </w:rPr>
        <w:t>；</w:t>
      </w:r>
      <w:r>
        <w:rPr>
          <w:rFonts w:hint="eastAsia" w:ascii="仿宋_GB2312" w:eastAsia="仿宋_GB2312" w:cs="DengXian-Regular"/>
          <w:sz w:val="32"/>
          <w:szCs w:val="32"/>
        </w:rPr>
        <w:t>比2017年度决算</w:t>
      </w:r>
      <w:r>
        <w:rPr>
          <w:rFonts w:hint="eastAsia" w:ascii="仿宋_GB2312" w:eastAsia="仿宋_GB2312"/>
          <w:sz w:val="32"/>
          <w:szCs w:val="32"/>
        </w:rPr>
        <w:t>增加0万元，增长0%</w:t>
      </w:r>
      <w:r>
        <w:rPr>
          <w:rFonts w:hint="eastAsia" w:ascii="仿宋_GB2312" w:eastAsia="仿宋_GB2312" w:cs="DengXian-Regular"/>
          <w:sz w:val="32"/>
          <w:szCs w:val="32"/>
        </w:rPr>
        <w:t>，主要是公务接待费支出较2017年度决算无增减变化</w:t>
      </w:r>
      <w:r>
        <w:rPr>
          <w:rFonts w:hint="eastAsia" w:eastAsia="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（一）预算绩效管理工作开展情况。</w:t>
      </w:r>
    </w:p>
    <w:p>
      <w:pPr>
        <w:spacing w:line="560" w:lineRule="exact"/>
        <w:ind w:firstLine="560"/>
        <w:rPr>
          <w:rFonts w:ascii="仿宋" w:eastAsia="仿宋" w:cs="仿宋_GB2312"/>
          <w:sz w:val="32"/>
          <w:szCs w:val="32"/>
        </w:rPr>
      </w:pPr>
      <w:r>
        <w:rPr>
          <w:rFonts w:hint="eastAsia" w:ascii="仿宋" w:eastAsia="仿宋" w:cs="仿宋_GB2312"/>
          <w:sz w:val="32"/>
          <w:szCs w:val="32"/>
        </w:rPr>
        <w:t>根据市财政预算绩效管理要求，中国共产主义青年团大城县委员会以“部门职责</w:t>
      </w:r>
      <w:r>
        <w:rPr>
          <w:rFonts w:ascii="仿宋" w:eastAsia="仿宋" w:cs="仿宋_GB2312"/>
          <w:sz w:val="32"/>
          <w:szCs w:val="32"/>
        </w:rPr>
        <w:t>-</w:t>
      </w:r>
      <w:r>
        <w:rPr>
          <w:rFonts w:hint="eastAsia" w:ascii="仿宋" w:eastAsia="仿宋" w:cs="仿宋_GB2312"/>
          <w:sz w:val="32"/>
          <w:szCs w:val="32"/>
        </w:rPr>
        <w:t>工作活动”为依据，确定部门预算和预算额度，清晰描述预算项目开支范围和内容，确定预算项目的绩效目标、绩效指标和评价标准，为预算绩效控制、绩效分析、绩效评价打下良好的基础。领导全县共青团工作，管理全县青、学联、少先队、青年志愿者和青年社会组织工作；对青少年活动阵地和青少年服务机构的建设等进行规划和管理；协助县政府教育部门做好学生教育管理工作。各级基层团组织和青年组织建设加强，活力明显提升。构建团的网络新媒体工作阵地，运用新媒体全方位推进团的工作；利用重要节点节日、各类阵地、各种形式进行思想引导，培养青年骨干，打造适应青少年特点的文化产品。维护青少年队伍稳定，促进和谐社会建设。围绕青年思想动态和青年工作现况，不断加强青少年社会主义核心价值观教育；加强青年统战工作；围绕党政中心工作开展各项活动。做好青年统战对象的团结教育、引导、服务工作，为全县经济社会发展贡献力量。工作任务圆满完成，促进共青团事业发展。高质量完成全县青少年发展规划和方针政策的制定，圆满完成县委、县政府和省市团委交办的各项任务。</w:t>
      </w:r>
    </w:p>
    <w:p>
      <w:pPr>
        <w:spacing w:line="560" w:lineRule="exact"/>
        <w:ind w:firstLine="560"/>
        <w:rPr>
          <w:rFonts w:ascii="仿宋" w:eastAsia="仿宋" w:cs="仿宋_GB2312"/>
          <w:sz w:val="32"/>
          <w:szCs w:val="32"/>
        </w:rPr>
      </w:pPr>
      <w:r>
        <w:rPr>
          <w:rFonts w:hint="eastAsia" w:ascii="TimesNewRoman" w:hAnsi="TimesNewRoman" w:eastAsia="TimesNewRoman"/>
          <w:sz w:val="32"/>
        </w:rPr>
        <w:t>“</w:t>
      </w:r>
      <w:r>
        <w:rPr>
          <w:rFonts w:hint="eastAsia" w:ascii="宋体" w:cs="宋体"/>
          <w:sz w:val="32"/>
        </w:rPr>
        <w:t>基层党建带团建</w:t>
      </w:r>
      <w:r>
        <w:rPr>
          <w:rFonts w:hint="eastAsia" w:ascii="TimesNewRoman" w:hAnsi="TimesNewRoman" w:eastAsia="TimesNewRoman"/>
          <w:sz w:val="32"/>
        </w:rPr>
        <w:t>”</w:t>
      </w:r>
      <w:r>
        <w:rPr>
          <w:rFonts w:hint="eastAsia" w:ascii="宋体" w:cs="宋体"/>
          <w:sz w:val="32"/>
        </w:rPr>
        <w:t>项目。为加强预算绩效管理</w:t>
      </w:r>
      <w:r>
        <w:rPr>
          <w:rFonts w:eastAsia="Times New Roman"/>
          <w:sz w:val="32"/>
        </w:rPr>
        <w:t>,</w:t>
      </w:r>
      <w:r>
        <w:rPr>
          <w:rFonts w:hint="eastAsia" w:ascii="宋体" w:cs="宋体"/>
          <w:sz w:val="32"/>
        </w:rPr>
        <w:t>切实提高财政资金使用效益，进一步做好</w:t>
      </w:r>
      <w:r>
        <w:rPr>
          <w:rFonts w:eastAsia="Times New Roman"/>
          <w:sz w:val="32"/>
        </w:rPr>
        <w:t>201</w:t>
      </w:r>
      <w:r>
        <w:rPr>
          <w:sz w:val="32"/>
        </w:rPr>
        <w:t>8</w:t>
      </w:r>
      <w:r>
        <w:rPr>
          <w:rFonts w:hint="eastAsia" w:ascii="宋体" w:cs="宋体"/>
          <w:sz w:val="32"/>
        </w:rPr>
        <w:t>年绩效评价工作，</w:t>
      </w:r>
      <w:r>
        <w:rPr>
          <w:rFonts w:hint="eastAsia" w:ascii="??_GB2312" w:hAnsi="??_GB2312" w:cs="??_GB2312"/>
          <w:color w:val="484747"/>
          <w:sz w:val="32"/>
          <w:szCs w:val="32"/>
        </w:rPr>
        <w:t>中国共产主义青年团大城县委员会</w:t>
      </w:r>
      <w:r>
        <w:rPr>
          <w:rFonts w:hint="eastAsia" w:ascii="宋体" w:cs="宋体"/>
          <w:sz w:val="32"/>
        </w:rPr>
        <w:t>继续对专项项目进行重点绩效评价，同时积极创新开展</w:t>
      </w:r>
      <w:r>
        <w:rPr>
          <w:rFonts w:ascii="FangSong_GB2312" w:hAnsi="FangSong_GB2312" w:eastAsia="Times New Roman"/>
          <w:sz w:val="32"/>
        </w:rPr>
        <w:t>“</w:t>
      </w:r>
      <w:r>
        <w:rPr>
          <w:rFonts w:hint="eastAsia" w:ascii="宋体" w:cs="宋体"/>
          <w:sz w:val="32"/>
        </w:rPr>
        <w:t>工作活动</w:t>
      </w:r>
      <w:r>
        <w:rPr>
          <w:rFonts w:ascii="FangSong_GB2312" w:hAnsi="FangSong_GB2312" w:eastAsia="Times New Roman"/>
          <w:sz w:val="32"/>
        </w:rPr>
        <w:t>”</w:t>
      </w:r>
      <w:r>
        <w:rPr>
          <w:rFonts w:hint="eastAsia" w:ascii="宋体" w:cs="宋体"/>
          <w:sz w:val="32"/>
        </w:rPr>
        <w:t>层面的绩效评价。</w:t>
      </w:r>
      <w:r>
        <w:rPr>
          <w:rFonts w:eastAsia="Times New Roman"/>
          <w:sz w:val="32"/>
        </w:rPr>
        <w:t>201</w:t>
      </w:r>
      <w:r>
        <w:rPr>
          <w:sz w:val="32"/>
        </w:rPr>
        <w:t>8</w:t>
      </w:r>
      <w:r>
        <w:rPr>
          <w:rFonts w:hint="eastAsia" w:ascii="宋体" w:cs="宋体"/>
          <w:sz w:val="32"/>
        </w:rPr>
        <w:t>年筛选了</w:t>
      </w:r>
      <w:r>
        <w:rPr>
          <w:sz w:val="32"/>
        </w:rPr>
        <w:t>9</w:t>
      </w:r>
      <w:r>
        <w:rPr>
          <w:rFonts w:hint="eastAsia" w:ascii="宋体" w:cs="宋体"/>
          <w:sz w:val="32"/>
        </w:rPr>
        <w:t>个项目开展重点绩效评价工作。截止到</w:t>
      </w:r>
      <w:r>
        <w:rPr>
          <w:rFonts w:eastAsia="Times New Roman"/>
          <w:sz w:val="32"/>
        </w:rPr>
        <w:t>12</w:t>
      </w:r>
      <w:r>
        <w:rPr>
          <w:rFonts w:hint="eastAsia" w:ascii="宋体" w:cs="宋体"/>
          <w:sz w:val="32"/>
        </w:rPr>
        <w:t>月</w:t>
      </w:r>
      <w:r>
        <w:rPr>
          <w:rFonts w:eastAsia="Times New Roman"/>
          <w:sz w:val="32"/>
        </w:rPr>
        <w:t>31</w:t>
      </w:r>
      <w:r>
        <w:rPr>
          <w:rFonts w:hint="eastAsia" w:ascii="宋体" w:cs="宋体"/>
          <w:sz w:val="32"/>
        </w:rPr>
        <w:t>日这项工作已全部完成，取得了良好的成效，并将评价结果分别报送有关部门和局领导。</w:t>
      </w:r>
    </w:p>
    <w:p>
      <w:pPr>
        <w:numPr>
          <w:ilvl w:val="0"/>
          <w:numId w:val="2"/>
        </w:num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项目绩效自评结果。</w:t>
      </w:r>
    </w:p>
    <w:p>
      <w:pPr>
        <w:spacing w:line="500" w:lineRule="exact"/>
        <w:ind w:firstLine="640" w:firstLineChars="200"/>
        <w:rPr>
          <w:rFonts w:ascii="仿宋" w:eastAsia="仿宋" w:cs="仿宋"/>
          <w:sz w:val="32"/>
          <w:szCs w:val="32"/>
        </w:rPr>
      </w:pPr>
      <w:r>
        <w:rPr>
          <w:rFonts w:hint="eastAsia" w:ascii="仿宋" w:eastAsia="仿宋" w:cs="仿宋"/>
          <w:sz w:val="32"/>
          <w:szCs w:val="32"/>
        </w:rPr>
        <w:t>指导全县青联、学联和少先队工作，对全县性青年社团组织进行指导和管理。</w:t>
      </w:r>
    </w:p>
    <w:p>
      <w:pPr>
        <w:spacing w:line="500" w:lineRule="exact"/>
        <w:ind w:firstLine="560"/>
        <w:rPr>
          <w:rFonts w:ascii="仿宋" w:eastAsia="仿宋" w:cs="仿宋"/>
          <w:sz w:val="32"/>
          <w:szCs w:val="32"/>
        </w:rPr>
      </w:pPr>
      <w:r>
        <w:rPr>
          <w:rFonts w:hint="eastAsia" w:ascii="仿宋" w:eastAsia="仿宋" w:cs="仿宋"/>
          <w:sz w:val="32"/>
          <w:szCs w:val="32"/>
        </w:rPr>
        <w:t>有效利用网络和新媒体加强对青年的宣传力度，加强网络和新媒体正面宣传，用科学理论武装青年，用共同理想感召青年，用核心价值观引领青年，协助县政府教育部门做好大、中、小学学生的教育管理工作，维护学校稳定和社会安定团结。</w:t>
      </w:r>
    </w:p>
    <w:p>
      <w:pPr>
        <w:spacing w:line="500" w:lineRule="exact"/>
        <w:ind w:firstLine="560"/>
        <w:rPr>
          <w:rFonts w:ascii="仿宋" w:eastAsia="仿宋" w:cs="仿宋"/>
          <w:sz w:val="32"/>
          <w:szCs w:val="32"/>
        </w:rPr>
      </w:pPr>
      <w:r>
        <w:rPr>
          <w:rFonts w:hint="eastAsia" w:ascii="仿宋" w:eastAsia="仿宋" w:cs="仿宋"/>
          <w:sz w:val="32"/>
          <w:szCs w:val="32"/>
        </w:rPr>
        <w:t>围绕青年思想动态和青年工作状况，研究青少年运动、青少年工作理论和思想教育问题开展调研活动；围绕经济建设开展团的各项活动；参与制定有关本县的青年统战工作的政策，做好青年统战对象的团结教育工作。</w:t>
      </w:r>
    </w:p>
    <w:p>
      <w:pPr>
        <w:spacing w:line="500" w:lineRule="exact"/>
        <w:ind w:firstLine="560"/>
        <w:rPr>
          <w:rFonts w:ascii="仿宋" w:eastAsia="仿宋" w:cs="仿宋"/>
          <w:sz w:val="32"/>
          <w:szCs w:val="32"/>
        </w:rPr>
      </w:pPr>
      <w:r>
        <w:rPr>
          <w:rFonts w:hint="eastAsia" w:ascii="仿宋" w:eastAsia="仿宋" w:cs="仿宋"/>
          <w:sz w:val="32"/>
          <w:szCs w:val="32"/>
        </w:rPr>
        <w:t>做好大中小学学生的教育管理工作，维护学校稳定和社会安定团结；推动青少年事务社会工作开展，提高源头治理力度，做好预防青少年违法犯罪工作。</w:t>
      </w:r>
    </w:p>
    <w:p>
      <w:pPr>
        <w:spacing w:line="500" w:lineRule="exact"/>
        <w:ind w:firstLine="560"/>
        <w:rPr>
          <w:rFonts w:ascii="仿宋_GB2312" w:eastAsia="仿宋_GB2312" w:cs="DengXian-Regular"/>
          <w:sz w:val="32"/>
          <w:szCs w:val="32"/>
        </w:rPr>
      </w:pPr>
      <w:r>
        <w:rPr>
          <w:rFonts w:hint="eastAsia" w:ascii="仿宋" w:eastAsia="仿宋" w:cs="仿宋"/>
          <w:sz w:val="32"/>
          <w:szCs w:val="32"/>
        </w:rPr>
        <w:t>参与制定全县的青少年事业发展规划和青少年工作方针、政策</w:t>
      </w:r>
      <w:r>
        <w:rPr>
          <w:rFonts w:ascii="仿宋" w:eastAsia="仿宋" w:cs="仿宋"/>
          <w:sz w:val="32"/>
          <w:szCs w:val="32"/>
        </w:rPr>
        <w:t>;</w:t>
      </w:r>
      <w:r>
        <w:rPr>
          <w:rFonts w:hint="eastAsia" w:ascii="仿宋" w:eastAsia="仿宋" w:cs="仿宋"/>
          <w:sz w:val="32"/>
          <w:szCs w:val="32"/>
        </w:rPr>
        <w:t>承担县委、县政府和团中央交办的有关事项</w:t>
      </w:r>
    </w:p>
    <w:p>
      <w:pPr>
        <w:numPr>
          <w:ilvl w:val="0"/>
          <w:numId w:val="2"/>
        </w:numPr>
        <w:adjustRightInd w:val="0"/>
        <w:snapToGrid w:val="0"/>
        <w:spacing w:after="0" w:line="580" w:lineRule="exact"/>
        <w:ind w:firstLine="640" w:firstLineChars="200"/>
        <w:jc w:val="center"/>
        <w:rPr>
          <w:rFonts w:ascii="仿宋_GB2312" w:eastAsia="仿宋_GB2312" w:cs="DengXian-Regular"/>
          <w:sz w:val="32"/>
          <w:szCs w:val="32"/>
        </w:rPr>
      </w:pPr>
      <w:r>
        <w:rPr>
          <w:rFonts w:hint="eastAsia" w:ascii="仿宋_GB2312" w:eastAsia="仿宋_GB2312" w:cs="DengXian-Regular"/>
          <w:sz w:val="32"/>
          <w:szCs w:val="32"/>
        </w:rPr>
        <w:t>重点项目绩效评价结果。</w:t>
      </w:r>
    </w:p>
    <w:tbl>
      <w:tblPr>
        <w:tblStyle w:val="12"/>
        <w:tblW w:w="991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7"/>
        <w:gridCol w:w="593"/>
        <w:gridCol w:w="2430"/>
        <w:gridCol w:w="2160"/>
        <w:gridCol w:w="1723"/>
        <w:gridCol w:w="447"/>
        <w:gridCol w:w="375"/>
        <w:gridCol w:w="390"/>
        <w:gridCol w:w="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8383"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712</w:t>
            </w:r>
            <w:r>
              <w:rPr>
                <w:rFonts w:hint="eastAsia" w:ascii="方正小标宋_GBK" w:eastAsia="方正小标宋_GBK"/>
                <w:sz w:val="24"/>
              </w:rPr>
              <w:t>中国共产主义青年团大城县委员会</w:t>
            </w:r>
          </w:p>
        </w:tc>
        <w:tc>
          <w:tcPr>
            <w:tcW w:w="1527"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477"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593"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430"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160"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723"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1527"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477" w:type="dxa"/>
            <w:vMerge w:val="continue"/>
            <w:vAlign w:val="center"/>
          </w:tcPr>
          <w:p/>
        </w:tc>
        <w:tc>
          <w:tcPr>
            <w:tcW w:w="593" w:type="dxa"/>
            <w:vMerge w:val="continue"/>
            <w:vAlign w:val="center"/>
          </w:tcPr>
          <w:p/>
        </w:tc>
        <w:tc>
          <w:tcPr>
            <w:tcW w:w="2430" w:type="dxa"/>
            <w:vMerge w:val="continue"/>
            <w:vAlign w:val="center"/>
          </w:tcPr>
          <w:p/>
        </w:tc>
        <w:tc>
          <w:tcPr>
            <w:tcW w:w="2160" w:type="dxa"/>
            <w:vMerge w:val="continue"/>
            <w:vAlign w:val="center"/>
          </w:tcPr>
          <w:p/>
        </w:tc>
        <w:tc>
          <w:tcPr>
            <w:tcW w:w="1723" w:type="dxa"/>
            <w:vMerge w:val="continue"/>
            <w:vAlign w:val="center"/>
          </w:tcPr>
          <w:p/>
        </w:tc>
        <w:tc>
          <w:tcPr>
            <w:tcW w:w="44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375"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390"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315"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77" w:type="dxa"/>
            <w:vAlign w:val="center"/>
          </w:tcPr>
          <w:p>
            <w:pPr>
              <w:spacing w:line="300" w:lineRule="exact"/>
              <w:jc w:val="left"/>
              <w:rPr>
                <w:rFonts w:ascii="方正书宋_GBK" w:eastAsia="方正书宋_GBK"/>
                <w:b/>
              </w:rPr>
            </w:pPr>
            <w:r>
              <w:rPr>
                <w:rFonts w:hint="eastAsia" w:ascii="方正书宋_GBK" w:eastAsia="方正书宋_GBK"/>
                <w:b/>
              </w:rPr>
              <w:t>一、组织建设和宣传教育</w:t>
            </w:r>
          </w:p>
        </w:tc>
        <w:tc>
          <w:tcPr>
            <w:tcW w:w="593" w:type="dxa"/>
            <w:vAlign w:val="center"/>
          </w:tcPr>
          <w:p>
            <w:pPr>
              <w:spacing w:line="300" w:lineRule="exact"/>
              <w:jc w:val="left"/>
              <w:rPr>
                <w:rFonts w:ascii="方正书宋_GBK" w:eastAsia="方正书宋_GBK"/>
              </w:rPr>
            </w:pPr>
            <w:r>
              <w:rPr>
                <w:rFonts w:ascii="方正书宋_GBK" w:eastAsia="方正书宋_GBK"/>
              </w:rPr>
              <w:t>10.00</w:t>
            </w:r>
          </w:p>
        </w:tc>
        <w:tc>
          <w:tcPr>
            <w:tcW w:w="2430" w:type="dxa"/>
            <w:vAlign w:val="center"/>
          </w:tcPr>
          <w:p>
            <w:pPr>
              <w:spacing w:line="300" w:lineRule="exact"/>
              <w:jc w:val="left"/>
              <w:rPr>
                <w:rFonts w:ascii="方正书宋_GBK" w:eastAsia="方正书宋_GBK"/>
              </w:rPr>
            </w:pPr>
            <w:r>
              <w:rPr>
                <w:rFonts w:hint="eastAsia" w:ascii="方正书宋_GBK" w:eastAsia="方正书宋_GBK"/>
              </w:rPr>
              <w:t>领导全县共青团工作，管理全县青、学联、少先队、青年志愿者和青年社会组织工作；对青少年活动阵地和青少年服务机构的建设等进行规划和管理；协助县政府教育部门做好学生教育管理工作。</w:t>
            </w:r>
          </w:p>
        </w:tc>
        <w:tc>
          <w:tcPr>
            <w:tcW w:w="2160" w:type="dxa"/>
            <w:vAlign w:val="center"/>
          </w:tcPr>
          <w:p>
            <w:pPr>
              <w:spacing w:line="300" w:lineRule="exact"/>
              <w:jc w:val="left"/>
              <w:rPr>
                <w:rFonts w:ascii="方正书宋_GBK" w:eastAsia="方正书宋_GBK"/>
              </w:rPr>
            </w:pPr>
            <w:r>
              <w:rPr>
                <w:rFonts w:hint="eastAsia" w:ascii="方正书宋_GBK" w:eastAsia="方正书宋_GBK"/>
              </w:rPr>
              <w:t>各级基层团组织和青年组织建设加强，活力明显提升。</w:t>
            </w:r>
          </w:p>
        </w:tc>
        <w:tc>
          <w:tcPr>
            <w:tcW w:w="1723" w:type="dxa"/>
            <w:vAlign w:val="center"/>
          </w:tcPr>
          <w:p>
            <w:pPr>
              <w:spacing w:line="300" w:lineRule="exact"/>
              <w:jc w:val="left"/>
              <w:rPr>
                <w:rFonts w:ascii="方正书宋_GBK" w:eastAsia="方正书宋_GBK"/>
              </w:rPr>
            </w:pPr>
          </w:p>
        </w:tc>
        <w:tc>
          <w:tcPr>
            <w:tcW w:w="447" w:type="dxa"/>
            <w:vAlign w:val="center"/>
          </w:tcPr>
          <w:p>
            <w:pPr>
              <w:spacing w:line="300" w:lineRule="exact"/>
              <w:jc w:val="center"/>
              <w:rPr>
                <w:rFonts w:ascii="方正书宋_GBK" w:eastAsia="方正书宋_GBK"/>
              </w:rPr>
            </w:pPr>
          </w:p>
        </w:tc>
        <w:tc>
          <w:tcPr>
            <w:tcW w:w="375" w:type="dxa"/>
            <w:vAlign w:val="center"/>
          </w:tcPr>
          <w:p>
            <w:pPr>
              <w:spacing w:line="300" w:lineRule="exact"/>
              <w:jc w:val="center"/>
              <w:rPr>
                <w:rFonts w:ascii="方正书宋_GBK" w:eastAsia="方正书宋_GBK"/>
              </w:rPr>
            </w:pPr>
          </w:p>
        </w:tc>
        <w:tc>
          <w:tcPr>
            <w:tcW w:w="390" w:type="dxa"/>
            <w:vAlign w:val="center"/>
          </w:tcPr>
          <w:p>
            <w:pPr>
              <w:spacing w:line="300" w:lineRule="exact"/>
              <w:jc w:val="center"/>
              <w:rPr>
                <w:rFonts w:ascii="方正书宋_GBK" w:eastAsia="方正书宋_GBK"/>
              </w:rPr>
            </w:pPr>
          </w:p>
        </w:tc>
        <w:tc>
          <w:tcPr>
            <w:tcW w:w="315"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77" w:type="dxa"/>
            <w:vMerge w:val="restart"/>
            <w:vAlign w:val="center"/>
          </w:tcPr>
          <w:p>
            <w:pPr>
              <w:spacing w:line="300" w:lineRule="exact"/>
              <w:jc w:val="left"/>
              <w:rPr>
                <w:rFonts w:ascii="方正书宋_GBK" w:eastAsia="方正书宋_GBK"/>
                <w:b/>
              </w:rPr>
            </w:pPr>
            <w:r>
              <w:rPr>
                <w:rFonts w:ascii="方正书宋_GBK" w:eastAsia="方正书宋_GBK"/>
                <w:b/>
              </w:rPr>
              <w:t>1</w:t>
            </w:r>
            <w:r>
              <w:rPr>
                <w:rFonts w:hint="eastAsia" w:ascii="方正书宋_GBK" w:eastAsia="方正书宋_GBK"/>
                <w:b/>
              </w:rPr>
              <w:t>、组织建设</w:t>
            </w:r>
          </w:p>
        </w:tc>
        <w:tc>
          <w:tcPr>
            <w:tcW w:w="593" w:type="dxa"/>
            <w:vMerge w:val="restart"/>
            <w:vAlign w:val="center"/>
          </w:tcPr>
          <w:p>
            <w:pPr>
              <w:spacing w:line="300" w:lineRule="exact"/>
              <w:jc w:val="left"/>
              <w:rPr>
                <w:rFonts w:ascii="方正书宋_GBK" w:eastAsia="方正书宋_GBK"/>
              </w:rPr>
            </w:pPr>
            <w:r>
              <w:rPr>
                <w:rFonts w:ascii="方正书宋_GBK" w:eastAsia="方正书宋_GBK"/>
              </w:rPr>
              <w:t>10.00</w:t>
            </w:r>
          </w:p>
        </w:tc>
        <w:tc>
          <w:tcPr>
            <w:tcW w:w="2430" w:type="dxa"/>
            <w:vMerge w:val="restart"/>
            <w:vAlign w:val="center"/>
          </w:tcPr>
          <w:p>
            <w:pPr>
              <w:spacing w:line="300" w:lineRule="exact"/>
              <w:jc w:val="left"/>
              <w:rPr>
                <w:rFonts w:ascii="方正书宋_GBK" w:eastAsia="方正书宋_GBK"/>
              </w:rPr>
            </w:pPr>
            <w:r>
              <w:rPr>
                <w:rFonts w:hint="eastAsia" w:ascii="方正书宋_GBK" w:eastAsia="方正书宋_GBK"/>
              </w:rPr>
              <w:t>指导县青联、学联和少先队工作，对全县青年志愿组织和青年社会组织进行指导和管理；对青少年活动阵地、青年志愿组织和青年社会组织阵地和青少年服务机构建设等事务进行规划和管理。</w:t>
            </w:r>
          </w:p>
        </w:tc>
        <w:tc>
          <w:tcPr>
            <w:tcW w:w="2160" w:type="dxa"/>
            <w:vMerge w:val="restart"/>
            <w:vAlign w:val="center"/>
          </w:tcPr>
          <w:p>
            <w:pPr>
              <w:spacing w:line="300" w:lineRule="exact"/>
              <w:jc w:val="left"/>
              <w:rPr>
                <w:rFonts w:ascii="方正书宋_GBK" w:eastAsia="方正书宋_GBK"/>
              </w:rPr>
            </w:pPr>
            <w:r>
              <w:rPr>
                <w:rFonts w:hint="eastAsia" w:ascii="方正书宋_GBK" w:eastAsia="方正书宋_GBK"/>
              </w:rPr>
              <w:t>强化团干部教育培训，加强思想和作风建设；加强青联、学联、少工委组织建设，加强青年志愿组织和青年社会组织及青少年活动阵地的指导和管理；基层团组织服务能力不断提高。</w:t>
            </w:r>
          </w:p>
        </w:tc>
        <w:tc>
          <w:tcPr>
            <w:tcW w:w="1723" w:type="dxa"/>
            <w:vAlign w:val="center"/>
          </w:tcPr>
          <w:p>
            <w:pPr>
              <w:spacing w:line="300" w:lineRule="exact"/>
              <w:jc w:val="left"/>
              <w:rPr>
                <w:rFonts w:ascii="方正书宋_GBK" w:eastAsia="方正书宋_GBK"/>
              </w:rPr>
            </w:pPr>
            <w:r>
              <w:rPr>
                <w:rFonts w:hint="eastAsia" w:ascii="方正书宋_GBK" w:eastAsia="方正书宋_GBK"/>
              </w:rPr>
              <w:t>青年志愿者队伍新增注册比例</w:t>
            </w:r>
          </w:p>
        </w:tc>
        <w:tc>
          <w:tcPr>
            <w:tcW w:w="447" w:type="dxa"/>
            <w:vAlign w:val="center"/>
          </w:tcPr>
          <w:p>
            <w:pPr>
              <w:spacing w:line="300" w:lineRule="exact"/>
              <w:jc w:val="center"/>
              <w:rPr>
                <w:rFonts w:ascii="方正书宋_GBK" w:eastAsia="方正书宋_GBK"/>
              </w:rPr>
            </w:pPr>
            <w:r>
              <w:rPr>
                <w:rFonts w:hint="eastAsia" w:ascii="方正书宋_GBK" w:eastAsia="方正书宋_GBK"/>
                <w:bCs/>
              </w:rPr>
              <w:t>优</w:t>
            </w:r>
          </w:p>
        </w:tc>
        <w:tc>
          <w:tcPr>
            <w:tcW w:w="375" w:type="dxa"/>
            <w:vAlign w:val="center"/>
          </w:tcPr>
          <w:p>
            <w:pPr>
              <w:spacing w:line="300" w:lineRule="exact"/>
              <w:jc w:val="center"/>
              <w:rPr>
                <w:rFonts w:ascii="方正书宋_GBK" w:eastAsia="方正书宋_GBK"/>
              </w:rPr>
            </w:pPr>
          </w:p>
        </w:tc>
        <w:tc>
          <w:tcPr>
            <w:tcW w:w="390" w:type="dxa"/>
            <w:vAlign w:val="center"/>
          </w:tcPr>
          <w:p>
            <w:pPr>
              <w:spacing w:line="300" w:lineRule="exact"/>
              <w:jc w:val="center"/>
              <w:rPr>
                <w:rFonts w:ascii="方正书宋_GBK" w:eastAsia="方正书宋_GBK"/>
              </w:rPr>
            </w:pPr>
          </w:p>
        </w:tc>
        <w:tc>
          <w:tcPr>
            <w:tcW w:w="315"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77" w:type="dxa"/>
            <w:vMerge w:val="continue"/>
            <w:vAlign w:val="center"/>
          </w:tcPr>
          <w:p/>
        </w:tc>
        <w:tc>
          <w:tcPr>
            <w:tcW w:w="593" w:type="dxa"/>
            <w:vMerge w:val="continue"/>
            <w:vAlign w:val="center"/>
          </w:tcPr>
          <w:p/>
        </w:tc>
        <w:tc>
          <w:tcPr>
            <w:tcW w:w="2430" w:type="dxa"/>
            <w:vMerge w:val="continue"/>
            <w:vAlign w:val="center"/>
          </w:tcPr>
          <w:p/>
        </w:tc>
        <w:tc>
          <w:tcPr>
            <w:tcW w:w="2160" w:type="dxa"/>
            <w:vMerge w:val="continue"/>
            <w:vAlign w:val="center"/>
          </w:tcPr>
          <w:p/>
        </w:tc>
        <w:tc>
          <w:tcPr>
            <w:tcW w:w="1723" w:type="dxa"/>
            <w:vAlign w:val="center"/>
          </w:tcPr>
          <w:p>
            <w:pPr>
              <w:spacing w:line="300" w:lineRule="exact"/>
              <w:jc w:val="left"/>
              <w:rPr>
                <w:rFonts w:ascii="方正书宋_GBK" w:eastAsia="方正书宋_GBK"/>
              </w:rPr>
            </w:pPr>
            <w:r>
              <w:rPr>
                <w:rFonts w:hint="eastAsia" w:ascii="方正书宋_GBK" w:eastAsia="方正书宋_GBK"/>
              </w:rPr>
              <w:t>各类组织建设规范化程度</w:t>
            </w:r>
          </w:p>
        </w:tc>
        <w:tc>
          <w:tcPr>
            <w:tcW w:w="447" w:type="dxa"/>
            <w:vAlign w:val="center"/>
          </w:tcPr>
          <w:p>
            <w:pPr>
              <w:spacing w:line="300" w:lineRule="exact"/>
              <w:jc w:val="center"/>
              <w:rPr>
                <w:rFonts w:ascii="方正书宋_GBK" w:eastAsia="方正书宋_GBK"/>
              </w:rPr>
            </w:pPr>
            <w:r>
              <w:rPr>
                <w:rFonts w:hint="eastAsia" w:ascii="方正书宋_GBK" w:eastAsia="方正书宋_GBK"/>
                <w:bCs/>
              </w:rPr>
              <w:t>优</w:t>
            </w:r>
          </w:p>
        </w:tc>
        <w:tc>
          <w:tcPr>
            <w:tcW w:w="375" w:type="dxa"/>
            <w:vAlign w:val="center"/>
          </w:tcPr>
          <w:p>
            <w:pPr>
              <w:spacing w:line="300" w:lineRule="exact"/>
              <w:jc w:val="center"/>
              <w:rPr>
                <w:rFonts w:ascii="方正书宋_GBK" w:eastAsia="方正书宋_GBK"/>
              </w:rPr>
            </w:pPr>
          </w:p>
        </w:tc>
        <w:tc>
          <w:tcPr>
            <w:tcW w:w="390" w:type="dxa"/>
            <w:vAlign w:val="center"/>
          </w:tcPr>
          <w:p>
            <w:pPr>
              <w:spacing w:line="300" w:lineRule="exact"/>
              <w:jc w:val="center"/>
              <w:rPr>
                <w:rFonts w:ascii="方正书宋_GBK" w:eastAsia="方正书宋_GBK"/>
              </w:rPr>
            </w:pPr>
          </w:p>
        </w:tc>
        <w:tc>
          <w:tcPr>
            <w:tcW w:w="315"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77" w:type="dxa"/>
            <w:vMerge w:val="continue"/>
            <w:vAlign w:val="center"/>
          </w:tcPr>
          <w:p/>
        </w:tc>
        <w:tc>
          <w:tcPr>
            <w:tcW w:w="593" w:type="dxa"/>
            <w:vMerge w:val="continue"/>
            <w:vAlign w:val="center"/>
          </w:tcPr>
          <w:p/>
        </w:tc>
        <w:tc>
          <w:tcPr>
            <w:tcW w:w="2430" w:type="dxa"/>
            <w:vMerge w:val="continue"/>
            <w:vAlign w:val="center"/>
          </w:tcPr>
          <w:p/>
        </w:tc>
        <w:tc>
          <w:tcPr>
            <w:tcW w:w="2160" w:type="dxa"/>
            <w:vMerge w:val="continue"/>
            <w:vAlign w:val="center"/>
          </w:tcPr>
          <w:p/>
        </w:tc>
        <w:tc>
          <w:tcPr>
            <w:tcW w:w="1723" w:type="dxa"/>
            <w:vAlign w:val="center"/>
          </w:tcPr>
          <w:p>
            <w:pPr>
              <w:spacing w:line="300" w:lineRule="exact"/>
              <w:jc w:val="left"/>
              <w:rPr>
                <w:rFonts w:ascii="方正书宋_GBK" w:eastAsia="方正书宋_GBK"/>
              </w:rPr>
            </w:pPr>
            <w:r>
              <w:rPr>
                <w:rFonts w:hint="eastAsia" w:ascii="方正书宋_GBK" w:eastAsia="方正书宋_GBK"/>
              </w:rPr>
              <w:t>青年中心标准化建设阵地数</w:t>
            </w:r>
          </w:p>
        </w:tc>
        <w:tc>
          <w:tcPr>
            <w:tcW w:w="447" w:type="dxa"/>
            <w:vAlign w:val="center"/>
          </w:tcPr>
          <w:p>
            <w:pPr>
              <w:spacing w:line="300" w:lineRule="exact"/>
              <w:jc w:val="center"/>
              <w:rPr>
                <w:rFonts w:ascii="方正书宋_GBK" w:eastAsia="方正书宋_GBK"/>
              </w:rPr>
            </w:pPr>
            <w:r>
              <w:rPr>
                <w:rFonts w:hint="eastAsia" w:ascii="方正书宋_GBK" w:eastAsia="方正书宋_GBK"/>
                <w:bCs/>
              </w:rPr>
              <w:t>优</w:t>
            </w:r>
          </w:p>
        </w:tc>
        <w:tc>
          <w:tcPr>
            <w:tcW w:w="375" w:type="dxa"/>
            <w:vAlign w:val="center"/>
          </w:tcPr>
          <w:p>
            <w:pPr>
              <w:spacing w:line="300" w:lineRule="exact"/>
              <w:jc w:val="center"/>
              <w:rPr>
                <w:rFonts w:ascii="方正书宋_GBK" w:eastAsia="方正书宋_GBK"/>
              </w:rPr>
            </w:pPr>
          </w:p>
        </w:tc>
        <w:tc>
          <w:tcPr>
            <w:tcW w:w="390" w:type="dxa"/>
            <w:vAlign w:val="center"/>
          </w:tcPr>
          <w:p>
            <w:pPr>
              <w:spacing w:line="300" w:lineRule="exact"/>
              <w:jc w:val="center"/>
              <w:rPr>
                <w:rFonts w:ascii="方正书宋_GBK" w:eastAsia="方正书宋_GBK"/>
              </w:rPr>
            </w:pPr>
          </w:p>
        </w:tc>
        <w:tc>
          <w:tcPr>
            <w:tcW w:w="315"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77" w:type="dxa"/>
            <w:vMerge w:val="continue"/>
            <w:vAlign w:val="center"/>
          </w:tcPr>
          <w:p/>
        </w:tc>
        <w:tc>
          <w:tcPr>
            <w:tcW w:w="593" w:type="dxa"/>
            <w:vMerge w:val="continue"/>
            <w:vAlign w:val="center"/>
          </w:tcPr>
          <w:p/>
        </w:tc>
        <w:tc>
          <w:tcPr>
            <w:tcW w:w="2430" w:type="dxa"/>
            <w:vMerge w:val="continue"/>
            <w:vAlign w:val="center"/>
          </w:tcPr>
          <w:p/>
        </w:tc>
        <w:tc>
          <w:tcPr>
            <w:tcW w:w="2160" w:type="dxa"/>
            <w:vMerge w:val="continue"/>
            <w:vAlign w:val="center"/>
          </w:tcPr>
          <w:p/>
        </w:tc>
        <w:tc>
          <w:tcPr>
            <w:tcW w:w="1723" w:type="dxa"/>
            <w:vAlign w:val="center"/>
          </w:tcPr>
          <w:p>
            <w:pPr>
              <w:spacing w:line="300" w:lineRule="exact"/>
              <w:jc w:val="left"/>
              <w:rPr>
                <w:rFonts w:ascii="方正书宋_GBK" w:eastAsia="方正书宋_GBK"/>
              </w:rPr>
            </w:pPr>
            <w:r>
              <w:rPr>
                <w:rFonts w:hint="eastAsia" w:ascii="方正书宋_GBK" w:eastAsia="方正书宋_GBK"/>
              </w:rPr>
              <w:t>县青联委员、学联代表参加活动或培训覆盖率</w:t>
            </w:r>
          </w:p>
        </w:tc>
        <w:tc>
          <w:tcPr>
            <w:tcW w:w="447" w:type="dxa"/>
            <w:vAlign w:val="center"/>
          </w:tcPr>
          <w:p>
            <w:pPr>
              <w:spacing w:line="300" w:lineRule="exact"/>
              <w:jc w:val="center"/>
              <w:rPr>
                <w:rFonts w:ascii="方正书宋_GBK" w:eastAsia="方正书宋_GBK"/>
              </w:rPr>
            </w:pPr>
            <w:r>
              <w:rPr>
                <w:rFonts w:hint="eastAsia" w:ascii="方正书宋_GBK" w:eastAsia="方正书宋_GBK"/>
                <w:bCs/>
              </w:rPr>
              <w:t>优</w:t>
            </w:r>
          </w:p>
        </w:tc>
        <w:tc>
          <w:tcPr>
            <w:tcW w:w="375" w:type="dxa"/>
            <w:vAlign w:val="center"/>
          </w:tcPr>
          <w:p>
            <w:pPr>
              <w:spacing w:line="300" w:lineRule="exact"/>
              <w:jc w:val="center"/>
              <w:rPr>
                <w:rFonts w:ascii="方正书宋_GBK" w:eastAsia="方正书宋_GBK"/>
              </w:rPr>
            </w:pPr>
          </w:p>
        </w:tc>
        <w:tc>
          <w:tcPr>
            <w:tcW w:w="390" w:type="dxa"/>
            <w:vAlign w:val="center"/>
          </w:tcPr>
          <w:p>
            <w:pPr>
              <w:spacing w:line="300" w:lineRule="exact"/>
              <w:jc w:val="center"/>
              <w:rPr>
                <w:rFonts w:ascii="方正书宋_GBK" w:eastAsia="方正书宋_GBK"/>
              </w:rPr>
            </w:pPr>
          </w:p>
        </w:tc>
        <w:tc>
          <w:tcPr>
            <w:tcW w:w="315"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77" w:type="dxa"/>
            <w:vMerge w:val="continue"/>
            <w:vAlign w:val="center"/>
          </w:tcPr>
          <w:p/>
        </w:tc>
        <w:tc>
          <w:tcPr>
            <w:tcW w:w="593" w:type="dxa"/>
            <w:vMerge w:val="continue"/>
            <w:vAlign w:val="center"/>
          </w:tcPr>
          <w:p/>
        </w:tc>
        <w:tc>
          <w:tcPr>
            <w:tcW w:w="2430" w:type="dxa"/>
            <w:vMerge w:val="continue"/>
            <w:vAlign w:val="center"/>
          </w:tcPr>
          <w:p/>
        </w:tc>
        <w:tc>
          <w:tcPr>
            <w:tcW w:w="2160" w:type="dxa"/>
            <w:vMerge w:val="continue"/>
            <w:vAlign w:val="center"/>
          </w:tcPr>
          <w:p/>
        </w:tc>
        <w:tc>
          <w:tcPr>
            <w:tcW w:w="1723" w:type="dxa"/>
            <w:vAlign w:val="center"/>
          </w:tcPr>
          <w:p>
            <w:pPr>
              <w:spacing w:line="300" w:lineRule="exact"/>
              <w:jc w:val="left"/>
              <w:rPr>
                <w:rFonts w:ascii="方正书宋_GBK" w:eastAsia="方正书宋_GBK"/>
              </w:rPr>
            </w:pPr>
            <w:r>
              <w:rPr>
                <w:rFonts w:hint="eastAsia" w:ascii="方正书宋_GBK" w:eastAsia="方正书宋_GBK"/>
              </w:rPr>
              <w:t>县少工委培训少先队工作者人数</w:t>
            </w:r>
          </w:p>
        </w:tc>
        <w:tc>
          <w:tcPr>
            <w:tcW w:w="447" w:type="dxa"/>
            <w:vAlign w:val="center"/>
          </w:tcPr>
          <w:p>
            <w:pPr>
              <w:spacing w:line="300" w:lineRule="exact"/>
              <w:jc w:val="center"/>
              <w:rPr>
                <w:rFonts w:ascii="方正书宋_GBK" w:eastAsia="方正书宋_GBK"/>
              </w:rPr>
            </w:pPr>
            <w:r>
              <w:rPr>
                <w:rFonts w:hint="eastAsia" w:ascii="方正书宋_GBK" w:eastAsia="方正书宋_GBK"/>
                <w:bCs/>
              </w:rPr>
              <w:t>优</w:t>
            </w:r>
          </w:p>
        </w:tc>
        <w:tc>
          <w:tcPr>
            <w:tcW w:w="375" w:type="dxa"/>
            <w:vAlign w:val="center"/>
          </w:tcPr>
          <w:p>
            <w:pPr>
              <w:spacing w:line="300" w:lineRule="exact"/>
              <w:jc w:val="center"/>
              <w:rPr>
                <w:rFonts w:ascii="方正书宋_GBK" w:eastAsia="方正书宋_GBK"/>
              </w:rPr>
            </w:pPr>
          </w:p>
        </w:tc>
        <w:tc>
          <w:tcPr>
            <w:tcW w:w="390" w:type="dxa"/>
            <w:vAlign w:val="center"/>
          </w:tcPr>
          <w:p>
            <w:pPr>
              <w:spacing w:line="300" w:lineRule="exact"/>
              <w:jc w:val="center"/>
              <w:rPr>
                <w:rFonts w:ascii="方正书宋_GBK" w:eastAsia="方正书宋_GBK"/>
              </w:rPr>
            </w:pPr>
          </w:p>
        </w:tc>
        <w:tc>
          <w:tcPr>
            <w:tcW w:w="315"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77" w:type="dxa"/>
            <w:vMerge w:val="restart"/>
            <w:vAlign w:val="center"/>
          </w:tcPr>
          <w:p>
            <w:pPr>
              <w:spacing w:line="300" w:lineRule="exact"/>
              <w:jc w:val="left"/>
              <w:rPr>
                <w:rFonts w:ascii="方正书宋_GBK" w:eastAsia="方正书宋_GBK"/>
                <w:b/>
              </w:rPr>
            </w:pPr>
            <w:r>
              <w:rPr>
                <w:rFonts w:ascii="方正书宋_GBK" w:eastAsia="方正书宋_GBK"/>
                <w:b/>
              </w:rPr>
              <w:t>2</w:t>
            </w:r>
            <w:r>
              <w:rPr>
                <w:rFonts w:hint="eastAsia" w:ascii="方正书宋_GBK" w:eastAsia="方正书宋_GBK"/>
                <w:b/>
              </w:rPr>
              <w:t>、宣传教育</w:t>
            </w:r>
          </w:p>
        </w:tc>
        <w:tc>
          <w:tcPr>
            <w:tcW w:w="593" w:type="dxa"/>
            <w:vMerge w:val="restart"/>
            <w:vAlign w:val="center"/>
          </w:tcPr>
          <w:p>
            <w:pPr>
              <w:spacing w:line="300" w:lineRule="exact"/>
              <w:jc w:val="left"/>
              <w:rPr>
                <w:rFonts w:ascii="方正书宋_GBK" w:eastAsia="方正书宋_GBK"/>
              </w:rPr>
            </w:pPr>
          </w:p>
        </w:tc>
        <w:tc>
          <w:tcPr>
            <w:tcW w:w="2430" w:type="dxa"/>
            <w:vMerge w:val="restart"/>
            <w:vAlign w:val="center"/>
          </w:tcPr>
          <w:p>
            <w:pPr>
              <w:spacing w:line="300" w:lineRule="exact"/>
              <w:jc w:val="left"/>
              <w:rPr>
                <w:rFonts w:ascii="方正书宋_GBK" w:eastAsia="方正书宋_GBK"/>
              </w:rPr>
            </w:pPr>
            <w:r>
              <w:rPr>
                <w:rFonts w:hint="eastAsia" w:ascii="方正书宋_GBK" w:eastAsia="方正书宋_GBK"/>
              </w:rPr>
              <w:t>有效利用网络和新媒体加强对青年的宣传力度，加强网络和新媒体正面宣传，用科学理论武装青年，用共同理想感召青年，用核心价值观引领青年，协助县政府教育部门做好中、小学学生的教育管理工作。</w:t>
            </w:r>
          </w:p>
        </w:tc>
        <w:tc>
          <w:tcPr>
            <w:tcW w:w="2160" w:type="dxa"/>
            <w:vMerge w:val="restart"/>
            <w:vAlign w:val="center"/>
          </w:tcPr>
          <w:p>
            <w:pPr>
              <w:spacing w:line="300" w:lineRule="exact"/>
              <w:jc w:val="left"/>
              <w:rPr>
                <w:rFonts w:ascii="方正书宋_GBK" w:eastAsia="方正书宋_GBK"/>
              </w:rPr>
            </w:pPr>
            <w:r>
              <w:rPr>
                <w:rFonts w:hint="eastAsia" w:ascii="方正书宋_GBK" w:eastAsia="方正书宋_GBK"/>
              </w:rPr>
              <w:t>构建团的网络新媒体工作阵地，运用新媒体全方位推进团的工作；利用重要节点节日、各类阵地、各种形式进行思想引导，培养青年骨干，打造适应青少年特点的文化产品。维护青少年队伍稳定，促进和谐社会建设。</w:t>
            </w:r>
          </w:p>
        </w:tc>
        <w:tc>
          <w:tcPr>
            <w:tcW w:w="1723" w:type="dxa"/>
            <w:vAlign w:val="center"/>
          </w:tcPr>
          <w:p>
            <w:pPr>
              <w:spacing w:line="300" w:lineRule="exact"/>
              <w:jc w:val="left"/>
              <w:rPr>
                <w:rFonts w:ascii="方正书宋_GBK" w:eastAsia="方正书宋_GBK"/>
              </w:rPr>
            </w:pPr>
            <w:r>
              <w:rPr>
                <w:rFonts w:hint="eastAsia" w:ascii="方正书宋_GBK" w:eastAsia="方正书宋_GBK"/>
              </w:rPr>
              <w:t>青少年纪念</w:t>
            </w:r>
            <w:r>
              <w:t>“</w:t>
            </w:r>
            <w:r>
              <w:rPr>
                <w:rFonts w:hint="eastAsia" w:ascii="方正书宋_GBK" w:eastAsia="方正书宋_GBK"/>
              </w:rPr>
              <w:t>五四</w:t>
            </w:r>
            <w:r>
              <w:t>”</w:t>
            </w:r>
            <w:r>
              <w:rPr>
                <w:rFonts w:hint="eastAsia" w:ascii="方正书宋_GBK" w:eastAsia="方正书宋_GBK"/>
              </w:rPr>
              <w:t>、</w:t>
            </w:r>
            <w:r>
              <w:t>“</w:t>
            </w:r>
            <w:r>
              <w:rPr>
                <w:rFonts w:hint="eastAsia" w:ascii="方正书宋_GBK" w:eastAsia="方正书宋_GBK"/>
              </w:rPr>
              <w:t>六一</w:t>
            </w:r>
            <w:r>
              <w:t>”</w:t>
            </w:r>
            <w:r>
              <w:rPr>
                <w:rFonts w:hint="eastAsia" w:ascii="方正书宋_GBK" w:eastAsia="方正书宋_GBK"/>
              </w:rPr>
              <w:t>等各类思想引导类活动的参与度</w:t>
            </w:r>
          </w:p>
        </w:tc>
        <w:tc>
          <w:tcPr>
            <w:tcW w:w="447" w:type="dxa"/>
            <w:vAlign w:val="center"/>
          </w:tcPr>
          <w:p>
            <w:pPr>
              <w:spacing w:line="300" w:lineRule="exact"/>
              <w:jc w:val="center"/>
              <w:rPr>
                <w:rFonts w:ascii="方正书宋_GBK" w:eastAsia="方正书宋_GBK"/>
              </w:rPr>
            </w:pPr>
            <w:r>
              <w:rPr>
                <w:rFonts w:hint="eastAsia" w:ascii="方正书宋_GBK" w:eastAsia="方正书宋_GBK"/>
                <w:bCs/>
              </w:rPr>
              <w:t>优</w:t>
            </w:r>
          </w:p>
        </w:tc>
        <w:tc>
          <w:tcPr>
            <w:tcW w:w="375" w:type="dxa"/>
            <w:vAlign w:val="center"/>
          </w:tcPr>
          <w:p>
            <w:pPr>
              <w:spacing w:line="300" w:lineRule="exact"/>
              <w:jc w:val="center"/>
              <w:rPr>
                <w:rFonts w:ascii="方正书宋_GBK" w:eastAsia="方正书宋_GBK"/>
              </w:rPr>
            </w:pPr>
          </w:p>
        </w:tc>
        <w:tc>
          <w:tcPr>
            <w:tcW w:w="390" w:type="dxa"/>
            <w:vAlign w:val="center"/>
          </w:tcPr>
          <w:p>
            <w:pPr>
              <w:spacing w:line="300" w:lineRule="exact"/>
              <w:jc w:val="center"/>
              <w:rPr>
                <w:rFonts w:ascii="方正书宋_GBK" w:eastAsia="方正书宋_GBK"/>
              </w:rPr>
            </w:pPr>
          </w:p>
        </w:tc>
        <w:tc>
          <w:tcPr>
            <w:tcW w:w="315"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77" w:type="dxa"/>
            <w:vMerge w:val="continue"/>
            <w:vAlign w:val="center"/>
          </w:tcPr>
          <w:p/>
        </w:tc>
        <w:tc>
          <w:tcPr>
            <w:tcW w:w="593" w:type="dxa"/>
            <w:vMerge w:val="continue"/>
            <w:vAlign w:val="center"/>
          </w:tcPr>
          <w:p/>
        </w:tc>
        <w:tc>
          <w:tcPr>
            <w:tcW w:w="2430" w:type="dxa"/>
            <w:vMerge w:val="continue"/>
            <w:vAlign w:val="center"/>
          </w:tcPr>
          <w:p/>
        </w:tc>
        <w:tc>
          <w:tcPr>
            <w:tcW w:w="2160" w:type="dxa"/>
            <w:vMerge w:val="continue"/>
            <w:vAlign w:val="center"/>
          </w:tcPr>
          <w:p/>
        </w:tc>
        <w:tc>
          <w:tcPr>
            <w:tcW w:w="1723" w:type="dxa"/>
            <w:vAlign w:val="center"/>
          </w:tcPr>
          <w:p>
            <w:pPr>
              <w:spacing w:line="300" w:lineRule="exact"/>
              <w:jc w:val="left"/>
              <w:rPr>
                <w:rFonts w:ascii="方正书宋_GBK" w:eastAsia="方正书宋_GBK"/>
              </w:rPr>
            </w:pPr>
            <w:r>
              <w:rPr>
                <w:rFonts w:hint="eastAsia" w:ascii="方正书宋_GBK" w:eastAsia="方正书宋_GBK"/>
              </w:rPr>
              <w:t>青年网宣员新增比率</w:t>
            </w:r>
          </w:p>
        </w:tc>
        <w:tc>
          <w:tcPr>
            <w:tcW w:w="447" w:type="dxa"/>
            <w:vAlign w:val="center"/>
          </w:tcPr>
          <w:p>
            <w:pPr>
              <w:spacing w:line="300" w:lineRule="exact"/>
              <w:jc w:val="center"/>
              <w:rPr>
                <w:rFonts w:ascii="方正书宋_GBK" w:eastAsia="方正书宋_GBK"/>
              </w:rPr>
            </w:pPr>
            <w:r>
              <w:rPr>
                <w:rFonts w:hint="eastAsia" w:ascii="方正书宋_GBK" w:eastAsia="方正书宋_GBK"/>
                <w:bCs/>
              </w:rPr>
              <w:t>优</w:t>
            </w:r>
          </w:p>
        </w:tc>
        <w:tc>
          <w:tcPr>
            <w:tcW w:w="375" w:type="dxa"/>
            <w:vAlign w:val="center"/>
          </w:tcPr>
          <w:p>
            <w:pPr>
              <w:spacing w:line="300" w:lineRule="exact"/>
              <w:jc w:val="center"/>
              <w:rPr>
                <w:rFonts w:ascii="方正书宋_GBK" w:eastAsia="方正书宋_GBK"/>
              </w:rPr>
            </w:pPr>
          </w:p>
        </w:tc>
        <w:tc>
          <w:tcPr>
            <w:tcW w:w="390" w:type="dxa"/>
            <w:vAlign w:val="center"/>
          </w:tcPr>
          <w:p>
            <w:pPr>
              <w:spacing w:line="300" w:lineRule="exact"/>
              <w:jc w:val="center"/>
              <w:rPr>
                <w:rFonts w:ascii="方正书宋_GBK" w:eastAsia="方正书宋_GBK"/>
              </w:rPr>
            </w:pPr>
          </w:p>
        </w:tc>
        <w:tc>
          <w:tcPr>
            <w:tcW w:w="315"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77" w:type="dxa"/>
            <w:vMerge w:val="continue"/>
            <w:vAlign w:val="center"/>
          </w:tcPr>
          <w:p/>
        </w:tc>
        <w:tc>
          <w:tcPr>
            <w:tcW w:w="593" w:type="dxa"/>
            <w:vMerge w:val="continue"/>
            <w:vAlign w:val="center"/>
          </w:tcPr>
          <w:p/>
        </w:tc>
        <w:tc>
          <w:tcPr>
            <w:tcW w:w="2430" w:type="dxa"/>
            <w:vMerge w:val="continue"/>
            <w:vAlign w:val="center"/>
          </w:tcPr>
          <w:p/>
        </w:tc>
        <w:tc>
          <w:tcPr>
            <w:tcW w:w="2160" w:type="dxa"/>
            <w:vMerge w:val="continue"/>
            <w:vAlign w:val="center"/>
          </w:tcPr>
          <w:p/>
        </w:tc>
        <w:tc>
          <w:tcPr>
            <w:tcW w:w="1723" w:type="dxa"/>
            <w:vAlign w:val="center"/>
          </w:tcPr>
          <w:p>
            <w:pPr>
              <w:spacing w:line="300" w:lineRule="exact"/>
              <w:jc w:val="left"/>
              <w:rPr>
                <w:rFonts w:ascii="方正书宋_GBK" w:eastAsia="方正书宋_GBK"/>
              </w:rPr>
            </w:pPr>
            <w:r>
              <w:rPr>
                <w:rFonts w:hint="eastAsia" w:ascii="方正书宋_GBK" w:eastAsia="方正书宋_GBK"/>
              </w:rPr>
              <w:t>团干部教育和培训覆盖率</w:t>
            </w:r>
          </w:p>
        </w:tc>
        <w:tc>
          <w:tcPr>
            <w:tcW w:w="447" w:type="dxa"/>
            <w:vAlign w:val="center"/>
          </w:tcPr>
          <w:p>
            <w:pPr>
              <w:spacing w:line="300" w:lineRule="exact"/>
              <w:jc w:val="center"/>
              <w:rPr>
                <w:rFonts w:ascii="方正书宋_GBK" w:eastAsia="方正书宋_GBK"/>
              </w:rPr>
            </w:pPr>
            <w:r>
              <w:rPr>
                <w:rFonts w:hint="eastAsia" w:ascii="方正书宋_GBK" w:eastAsia="方正书宋_GBK"/>
                <w:bCs/>
              </w:rPr>
              <w:t>优</w:t>
            </w:r>
          </w:p>
        </w:tc>
        <w:tc>
          <w:tcPr>
            <w:tcW w:w="375" w:type="dxa"/>
            <w:vAlign w:val="center"/>
          </w:tcPr>
          <w:p>
            <w:pPr>
              <w:spacing w:line="300" w:lineRule="exact"/>
              <w:jc w:val="center"/>
              <w:rPr>
                <w:rFonts w:ascii="方正书宋_GBK" w:eastAsia="方正书宋_GBK"/>
              </w:rPr>
            </w:pPr>
          </w:p>
        </w:tc>
        <w:tc>
          <w:tcPr>
            <w:tcW w:w="390" w:type="dxa"/>
            <w:vAlign w:val="center"/>
          </w:tcPr>
          <w:p>
            <w:pPr>
              <w:spacing w:line="300" w:lineRule="exact"/>
              <w:jc w:val="center"/>
              <w:rPr>
                <w:rFonts w:ascii="方正书宋_GBK" w:eastAsia="方正书宋_GBK"/>
              </w:rPr>
            </w:pPr>
          </w:p>
        </w:tc>
        <w:tc>
          <w:tcPr>
            <w:tcW w:w="315"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77" w:type="dxa"/>
            <w:vAlign w:val="center"/>
          </w:tcPr>
          <w:p>
            <w:pPr>
              <w:spacing w:line="300" w:lineRule="exact"/>
              <w:jc w:val="left"/>
              <w:rPr>
                <w:rFonts w:ascii="方正书宋_GBK" w:eastAsia="方正书宋_GBK"/>
                <w:b/>
              </w:rPr>
            </w:pPr>
            <w:r>
              <w:rPr>
                <w:rFonts w:hint="eastAsia" w:ascii="方正书宋_GBK" w:eastAsia="方正书宋_GBK"/>
                <w:b/>
              </w:rPr>
              <w:t>二、服务、引导青少年工作</w:t>
            </w:r>
          </w:p>
        </w:tc>
        <w:tc>
          <w:tcPr>
            <w:tcW w:w="593" w:type="dxa"/>
            <w:vAlign w:val="center"/>
          </w:tcPr>
          <w:p>
            <w:pPr>
              <w:spacing w:line="300" w:lineRule="exact"/>
              <w:jc w:val="left"/>
              <w:rPr>
                <w:rFonts w:ascii="方正书宋_GBK" w:eastAsia="方正书宋_GBK"/>
              </w:rPr>
            </w:pPr>
          </w:p>
        </w:tc>
        <w:tc>
          <w:tcPr>
            <w:tcW w:w="2430" w:type="dxa"/>
            <w:vAlign w:val="center"/>
          </w:tcPr>
          <w:p>
            <w:pPr>
              <w:spacing w:line="300" w:lineRule="exact"/>
              <w:jc w:val="left"/>
              <w:rPr>
                <w:rFonts w:ascii="方正书宋_GBK" w:eastAsia="方正书宋_GBK"/>
              </w:rPr>
            </w:pPr>
            <w:r>
              <w:rPr>
                <w:rFonts w:hint="eastAsia" w:ascii="方正书宋_GBK" w:eastAsia="方正书宋_GBK"/>
              </w:rPr>
              <w:t>深入学习习近平总书记系列重要讲话精神；深化</w:t>
            </w:r>
            <w:r>
              <w:t>“</w:t>
            </w:r>
            <w:r>
              <w:rPr>
                <w:rFonts w:hint="eastAsia" w:ascii="方正书宋_GBK" w:eastAsia="方正书宋_GBK"/>
              </w:rPr>
              <w:t>中国梦</w:t>
            </w:r>
            <w:r>
              <w:t>”</w:t>
            </w:r>
            <w:r>
              <w:rPr>
                <w:rFonts w:hint="eastAsia" w:ascii="方正书宋_GBK" w:eastAsia="方正书宋_GBK"/>
              </w:rPr>
              <w:t>和社会主义核心价值观教育；调查研究青年思想动态，服务青年创新创业、交流交友、社会融入等需求，组织和带领青年及青年社会组织为全县经济和社会发展作贡献。</w:t>
            </w:r>
          </w:p>
        </w:tc>
        <w:tc>
          <w:tcPr>
            <w:tcW w:w="2160" w:type="dxa"/>
            <w:vAlign w:val="center"/>
          </w:tcPr>
          <w:p>
            <w:pPr>
              <w:spacing w:line="300" w:lineRule="exact"/>
              <w:jc w:val="left"/>
              <w:rPr>
                <w:rFonts w:ascii="方正书宋_GBK" w:eastAsia="方正书宋_GBK"/>
              </w:rPr>
            </w:pPr>
            <w:r>
              <w:rPr>
                <w:rFonts w:hint="eastAsia" w:ascii="方正书宋_GBK" w:eastAsia="方正书宋_GBK"/>
              </w:rPr>
              <w:t>围绕青年思想动态和青年工作现况，不断加强青少年社会主义核心价值观教育；加强青年统战工作；围绕党政中心工作开展各项活动。</w:t>
            </w:r>
          </w:p>
        </w:tc>
        <w:tc>
          <w:tcPr>
            <w:tcW w:w="1723" w:type="dxa"/>
            <w:vAlign w:val="center"/>
          </w:tcPr>
          <w:p>
            <w:pPr>
              <w:spacing w:line="300" w:lineRule="exact"/>
              <w:jc w:val="left"/>
              <w:rPr>
                <w:rFonts w:ascii="方正书宋_GBK" w:eastAsia="方正书宋_GBK"/>
              </w:rPr>
            </w:pPr>
          </w:p>
        </w:tc>
        <w:tc>
          <w:tcPr>
            <w:tcW w:w="447" w:type="dxa"/>
            <w:vAlign w:val="center"/>
          </w:tcPr>
          <w:p>
            <w:pPr>
              <w:spacing w:line="300" w:lineRule="exact"/>
              <w:jc w:val="center"/>
              <w:rPr>
                <w:rFonts w:ascii="方正书宋_GBK" w:eastAsia="方正书宋_GBK"/>
              </w:rPr>
            </w:pPr>
          </w:p>
        </w:tc>
        <w:tc>
          <w:tcPr>
            <w:tcW w:w="375" w:type="dxa"/>
            <w:vAlign w:val="center"/>
          </w:tcPr>
          <w:p>
            <w:pPr>
              <w:spacing w:line="300" w:lineRule="exact"/>
              <w:jc w:val="center"/>
              <w:rPr>
                <w:rFonts w:ascii="方正书宋_GBK" w:eastAsia="方正书宋_GBK"/>
              </w:rPr>
            </w:pPr>
          </w:p>
        </w:tc>
        <w:tc>
          <w:tcPr>
            <w:tcW w:w="390" w:type="dxa"/>
            <w:vAlign w:val="center"/>
          </w:tcPr>
          <w:p>
            <w:pPr>
              <w:spacing w:line="300" w:lineRule="exact"/>
              <w:jc w:val="center"/>
              <w:rPr>
                <w:rFonts w:ascii="方正书宋_GBK" w:eastAsia="方正书宋_GBK"/>
              </w:rPr>
            </w:pPr>
          </w:p>
        </w:tc>
        <w:tc>
          <w:tcPr>
            <w:tcW w:w="315"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77" w:type="dxa"/>
            <w:vMerge w:val="restart"/>
            <w:vAlign w:val="center"/>
          </w:tcPr>
          <w:p>
            <w:pPr>
              <w:spacing w:line="300" w:lineRule="exact"/>
              <w:jc w:val="left"/>
              <w:rPr>
                <w:rFonts w:ascii="方正书宋_GBK" w:eastAsia="方正书宋_GBK"/>
                <w:b/>
              </w:rPr>
            </w:pPr>
            <w:r>
              <w:rPr>
                <w:rFonts w:ascii="方正书宋_GBK" w:eastAsia="方正书宋_GBK"/>
                <w:b/>
              </w:rPr>
              <w:t>1</w:t>
            </w:r>
            <w:r>
              <w:rPr>
                <w:rFonts w:hint="eastAsia" w:ascii="方正书宋_GBK" w:eastAsia="方正书宋_GBK"/>
                <w:b/>
              </w:rPr>
              <w:t>、青少年服务引导工作</w:t>
            </w:r>
          </w:p>
        </w:tc>
        <w:tc>
          <w:tcPr>
            <w:tcW w:w="593" w:type="dxa"/>
            <w:vMerge w:val="restart"/>
            <w:vAlign w:val="center"/>
          </w:tcPr>
          <w:p>
            <w:pPr>
              <w:spacing w:line="300" w:lineRule="exact"/>
              <w:jc w:val="left"/>
              <w:rPr>
                <w:rFonts w:ascii="方正书宋_GBK" w:eastAsia="方正书宋_GBK"/>
              </w:rPr>
            </w:pPr>
          </w:p>
        </w:tc>
        <w:tc>
          <w:tcPr>
            <w:tcW w:w="2430" w:type="dxa"/>
            <w:vMerge w:val="restart"/>
            <w:vAlign w:val="center"/>
          </w:tcPr>
          <w:p>
            <w:pPr>
              <w:spacing w:line="300" w:lineRule="exact"/>
              <w:jc w:val="left"/>
              <w:rPr>
                <w:rFonts w:ascii="方正书宋_GBK" w:eastAsia="方正书宋_GBK"/>
              </w:rPr>
            </w:pPr>
            <w:r>
              <w:rPr>
                <w:rFonts w:hint="eastAsia" w:ascii="方正书宋_GBK" w:eastAsia="方正书宋_GBK"/>
              </w:rPr>
              <w:t>围绕青年思想动态和青年工作现况，调查研究青少年运动、青少年工作理论和思想教育、青年社会组织发展问题；服务青年创新创业、婚恋交友等需求；做好青年统战对象的团结教育工作；围绕党政中心开展团的各项活动。</w:t>
            </w:r>
          </w:p>
        </w:tc>
        <w:tc>
          <w:tcPr>
            <w:tcW w:w="2160" w:type="dxa"/>
            <w:vMerge w:val="restart"/>
            <w:vAlign w:val="center"/>
          </w:tcPr>
          <w:p>
            <w:pPr>
              <w:spacing w:line="300" w:lineRule="exact"/>
              <w:jc w:val="left"/>
              <w:rPr>
                <w:rFonts w:ascii="方正书宋_GBK" w:eastAsia="方正书宋_GBK"/>
              </w:rPr>
            </w:pPr>
            <w:r>
              <w:rPr>
                <w:rFonts w:hint="eastAsia" w:ascii="方正书宋_GBK" w:eastAsia="方正书宋_GBK"/>
              </w:rPr>
              <w:t>做好青年统战对象的团结教育、引导、服务工作，为全县经济社会发展贡献力量。</w:t>
            </w:r>
          </w:p>
        </w:tc>
        <w:tc>
          <w:tcPr>
            <w:tcW w:w="1723" w:type="dxa"/>
            <w:vAlign w:val="center"/>
          </w:tcPr>
          <w:p>
            <w:pPr>
              <w:spacing w:line="300" w:lineRule="exact"/>
              <w:jc w:val="left"/>
              <w:rPr>
                <w:rFonts w:ascii="方正书宋_GBK" w:eastAsia="方正书宋_GBK"/>
              </w:rPr>
            </w:pPr>
            <w:r>
              <w:rPr>
                <w:rFonts w:hint="eastAsia" w:ascii="方正书宋_GBK" w:eastAsia="方正书宋_GBK"/>
              </w:rPr>
              <w:t>青少年植树面积（亩）</w:t>
            </w:r>
          </w:p>
        </w:tc>
        <w:tc>
          <w:tcPr>
            <w:tcW w:w="447" w:type="dxa"/>
            <w:vAlign w:val="center"/>
          </w:tcPr>
          <w:p>
            <w:pPr>
              <w:spacing w:line="300" w:lineRule="exact"/>
              <w:jc w:val="center"/>
              <w:rPr>
                <w:rFonts w:ascii="方正书宋_GBK" w:eastAsia="方正书宋_GBK"/>
              </w:rPr>
            </w:pPr>
            <w:r>
              <w:rPr>
                <w:rFonts w:hint="eastAsia" w:ascii="方正书宋_GBK" w:eastAsia="方正书宋_GBK"/>
                <w:bCs/>
              </w:rPr>
              <w:t>优</w:t>
            </w:r>
          </w:p>
        </w:tc>
        <w:tc>
          <w:tcPr>
            <w:tcW w:w="375" w:type="dxa"/>
            <w:vAlign w:val="center"/>
          </w:tcPr>
          <w:p>
            <w:pPr>
              <w:spacing w:line="300" w:lineRule="exact"/>
              <w:jc w:val="center"/>
              <w:rPr>
                <w:rFonts w:ascii="方正书宋_GBK" w:eastAsia="方正书宋_GBK"/>
              </w:rPr>
            </w:pPr>
          </w:p>
        </w:tc>
        <w:tc>
          <w:tcPr>
            <w:tcW w:w="390" w:type="dxa"/>
            <w:vAlign w:val="center"/>
          </w:tcPr>
          <w:p>
            <w:pPr>
              <w:spacing w:line="300" w:lineRule="exact"/>
              <w:jc w:val="center"/>
              <w:rPr>
                <w:rFonts w:ascii="方正书宋_GBK" w:eastAsia="方正书宋_GBK"/>
              </w:rPr>
            </w:pPr>
          </w:p>
        </w:tc>
        <w:tc>
          <w:tcPr>
            <w:tcW w:w="315"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77" w:type="dxa"/>
            <w:vMerge w:val="continue"/>
            <w:vAlign w:val="center"/>
          </w:tcPr>
          <w:p/>
        </w:tc>
        <w:tc>
          <w:tcPr>
            <w:tcW w:w="593" w:type="dxa"/>
            <w:vMerge w:val="continue"/>
            <w:vAlign w:val="center"/>
          </w:tcPr>
          <w:p/>
        </w:tc>
        <w:tc>
          <w:tcPr>
            <w:tcW w:w="2430" w:type="dxa"/>
            <w:vMerge w:val="continue"/>
            <w:vAlign w:val="center"/>
          </w:tcPr>
          <w:p/>
        </w:tc>
        <w:tc>
          <w:tcPr>
            <w:tcW w:w="2160" w:type="dxa"/>
            <w:vMerge w:val="continue"/>
            <w:vAlign w:val="center"/>
          </w:tcPr>
          <w:p/>
        </w:tc>
        <w:tc>
          <w:tcPr>
            <w:tcW w:w="1723" w:type="dxa"/>
            <w:vAlign w:val="center"/>
          </w:tcPr>
          <w:p>
            <w:pPr>
              <w:spacing w:line="300" w:lineRule="exact"/>
              <w:jc w:val="left"/>
              <w:rPr>
                <w:rFonts w:ascii="方正书宋_GBK" w:eastAsia="方正书宋_GBK"/>
              </w:rPr>
            </w:pPr>
            <w:r>
              <w:rPr>
                <w:rFonts w:hint="eastAsia" w:ascii="方正书宋_GBK" w:eastAsia="方正书宋_GBK"/>
              </w:rPr>
              <w:t>举办学习贯彻习近平总书记系列重要讲话精神青年读书班期数</w:t>
            </w:r>
          </w:p>
        </w:tc>
        <w:tc>
          <w:tcPr>
            <w:tcW w:w="447" w:type="dxa"/>
            <w:vAlign w:val="center"/>
          </w:tcPr>
          <w:p>
            <w:pPr>
              <w:spacing w:line="300" w:lineRule="exact"/>
              <w:jc w:val="center"/>
              <w:rPr>
                <w:rFonts w:ascii="方正书宋_GBK" w:eastAsia="方正书宋_GBK"/>
              </w:rPr>
            </w:pPr>
            <w:r>
              <w:rPr>
                <w:rFonts w:hint="eastAsia" w:ascii="方正书宋_GBK" w:eastAsia="方正书宋_GBK"/>
                <w:bCs/>
              </w:rPr>
              <w:t>优</w:t>
            </w:r>
          </w:p>
        </w:tc>
        <w:tc>
          <w:tcPr>
            <w:tcW w:w="375" w:type="dxa"/>
            <w:vAlign w:val="center"/>
          </w:tcPr>
          <w:p>
            <w:pPr>
              <w:spacing w:line="300" w:lineRule="exact"/>
              <w:jc w:val="center"/>
              <w:rPr>
                <w:rFonts w:ascii="方正书宋_GBK" w:eastAsia="方正书宋_GBK"/>
              </w:rPr>
            </w:pPr>
          </w:p>
        </w:tc>
        <w:tc>
          <w:tcPr>
            <w:tcW w:w="390" w:type="dxa"/>
            <w:vAlign w:val="center"/>
          </w:tcPr>
          <w:p>
            <w:pPr>
              <w:spacing w:line="300" w:lineRule="exact"/>
              <w:jc w:val="center"/>
              <w:rPr>
                <w:rFonts w:ascii="方正书宋_GBK" w:eastAsia="方正书宋_GBK"/>
              </w:rPr>
            </w:pPr>
          </w:p>
        </w:tc>
        <w:tc>
          <w:tcPr>
            <w:tcW w:w="315"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77" w:type="dxa"/>
            <w:vAlign w:val="center"/>
          </w:tcPr>
          <w:p>
            <w:pPr>
              <w:spacing w:line="300" w:lineRule="exact"/>
              <w:jc w:val="left"/>
              <w:rPr>
                <w:rFonts w:ascii="方正书宋_GBK" w:eastAsia="方正书宋_GBK"/>
                <w:b/>
              </w:rPr>
            </w:pPr>
            <w:r>
              <w:rPr>
                <w:rFonts w:hint="eastAsia" w:ascii="方正书宋_GBK" w:eastAsia="方正书宋_GBK"/>
                <w:b/>
              </w:rPr>
              <w:t>三、维护青少年权益工作</w:t>
            </w:r>
          </w:p>
        </w:tc>
        <w:tc>
          <w:tcPr>
            <w:tcW w:w="593" w:type="dxa"/>
            <w:vAlign w:val="center"/>
          </w:tcPr>
          <w:p>
            <w:pPr>
              <w:spacing w:line="300" w:lineRule="exact"/>
              <w:jc w:val="left"/>
              <w:rPr>
                <w:rFonts w:ascii="方正书宋_GBK" w:eastAsia="方正书宋_GBK"/>
              </w:rPr>
            </w:pPr>
          </w:p>
        </w:tc>
        <w:tc>
          <w:tcPr>
            <w:tcW w:w="2430" w:type="dxa"/>
            <w:vAlign w:val="center"/>
          </w:tcPr>
          <w:p>
            <w:pPr>
              <w:spacing w:line="300" w:lineRule="exact"/>
              <w:jc w:val="left"/>
              <w:rPr>
                <w:rFonts w:ascii="方正书宋_GBK" w:eastAsia="方正书宋_GBK"/>
              </w:rPr>
            </w:pPr>
            <w:r>
              <w:rPr>
                <w:rFonts w:hint="eastAsia" w:ascii="方正书宋_GBK" w:eastAsia="方正书宋_GBK"/>
              </w:rPr>
              <w:t>研究有关青少年发展问题，贯彻落实保护青少年健康成长的法律、地方性法规；构建和完善维护青少年发展权益的机制化、社会化、专业化工作体系。</w:t>
            </w:r>
          </w:p>
        </w:tc>
        <w:tc>
          <w:tcPr>
            <w:tcW w:w="2160" w:type="dxa"/>
            <w:vAlign w:val="center"/>
          </w:tcPr>
          <w:p>
            <w:pPr>
              <w:spacing w:line="300" w:lineRule="exact"/>
              <w:jc w:val="left"/>
              <w:rPr>
                <w:rFonts w:ascii="方正书宋_GBK" w:eastAsia="方正书宋_GBK"/>
              </w:rPr>
            </w:pPr>
            <w:r>
              <w:rPr>
                <w:rFonts w:hint="eastAsia" w:ascii="方正书宋_GBK" w:eastAsia="方正书宋_GBK"/>
              </w:rPr>
              <w:t>加强青少年事务社会工作，加强法治宣传教育，促进青少年健康成长。</w:t>
            </w:r>
          </w:p>
        </w:tc>
        <w:tc>
          <w:tcPr>
            <w:tcW w:w="1723" w:type="dxa"/>
            <w:vAlign w:val="center"/>
          </w:tcPr>
          <w:p>
            <w:pPr>
              <w:spacing w:line="300" w:lineRule="exact"/>
              <w:jc w:val="left"/>
              <w:rPr>
                <w:rFonts w:ascii="方正书宋_GBK" w:eastAsia="方正书宋_GBK"/>
              </w:rPr>
            </w:pPr>
          </w:p>
        </w:tc>
        <w:tc>
          <w:tcPr>
            <w:tcW w:w="447" w:type="dxa"/>
            <w:vAlign w:val="center"/>
          </w:tcPr>
          <w:p>
            <w:pPr>
              <w:spacing w:line="300" w:lineRule="exact"/>
              <w:jc w:val="center"/>
              <w:rPr>
                <w:rFonts w:ascii="方正书宋_GBK" w:eastAsia="方正书宋_GBK"/>
              </w:rPr>
            </w:pPr>
          </w:p>
        </w:tc>
        <w:tc>
          <w:tcPr>
            <w:tcW w:w="375" w:type="dxa"/>
            <w:vAlign w:val="center"/>
          </w:tcPr>
          <w:p>
            <w:pPr>
              <w:spacing w:line="300" w:lineRule="exact"/>
              <w:jc w:val="center"/>
              <w:rPr>
                <w:rFonts w:ascii="方正书宋_GBK" w:eastAsia="方正书宋_GBK"/>
              </w:rPr>
            </w:pPr>
          </w:p>
        </w:tc>
        <w:tc>
          <w:tcPr>
            <w:tcW w:w="390" w:type="dxa"/>
            <w:vAlign w:val="center"/>
          </w:tcPr>
          <w:p>
            <w:pPr>
              <w:spacing w:line="300" w:lineRule="exact"/>
              <w:jc w:val="center"/>
              <w:rPr>
                <w:rFonts w:ascii="方正书宋_GBK" w:eastAsia="方正书宋_GBK"/>
              </w:rPr>
            </w:pPr>
          </w:p>
        </w:tc>
        <w:tc>
          <w:tcPr>
            <w:tcW w:w="315"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77" w:type="dxa"/>
            <w:vAlign w:val="center"/>
          </w:tcPr>
          <w:p>
            <w:pPr>
              <w:spacing w:line="300" w:lineRule="exact"/>
              <w:jc w:val="left"/>
              <w:rPr>
                <w:rFonts w:ascii="方正书宋_GBK" w:eastAsia="方正书宋_GBK"/>
                <w:b/>
              </w:rPr>
            </w:pPr>
            <w:r>
              <w:rPr>
                <w:rFonts w:ascii="方正书宋_GBK" w:eastAsia="方正书宋_GBK"/>
                <w:b/>
              </w:rPr>
              <w:t>1</w:t>
            </w:r>
            <w:r>
              <w:rPr>
                <w:rFonts w:hint="eastAsia" w:ascii="方正书宋_GBK" w:eastAsia="方正书宋_GBK"/>
                <w:b/>
              </w:rPr>
              <w:t>、预防青少年违法犯罪</w:t>
            </w:r>
          </w:p>
        </w:tc>
        <w:tc>
          <w:tcPr>
            <w:tcW w:w="593" w:type="dxa"/>
            <w:vAlign w:val="center"/>
          </w:tcPr>
          <w:p>
            <w:pPr>
              <w:spacing w:line="300" w:lineRule="exact"/>
              <w:jc w:val="left"/>
              <w:rPr>
                <w:rFonts w:ascii="方正书宋_GBK" w:eastAsia="方正书宋_GBK"/>
              </w:rPr>
            </w:pPr>
          </w:p>
        </w:tc>
        <w:tc>
          <w:tcPr>
            <w:tcW w:w="2430" w:type="dxa"/>
            <w:vAlign w:val="center"/>
          </w:tcPr>
          <w:p>
            <w:pPr>
              <w:spacing w:line="300" w:lineRule="exact"/>
              <w:jc w:val="left"/>
              <w:rPr>
                <w:rFonts w:ascii="方正书宋_GBK" w:eastAsia="方正书宋_GBK"/>
              </w:rPr>
            </w:pPr>
            <w:r>
              <w:rPr>
                <w:rFonts w:hint="eastAsia" w:ascii="方正书宋_GBK" w:eastAsia="方正书宋_GBK"/>
              </w:rPr>
              <w:t>推动青少年事务社会工作开展；提高源头治理力度，做好预防青少年违法犯罪工作；做好青少年法治宣传教育工作。</w:t>
            </w:r>
          </w:p>
        </w:tc>
        <w:tc>
          <w:tcPr>
            <w:tcW w:w="2160" w:type="dxa"/>
            <w:vAlign w:val="center"/>
          </w:tcPr>
          <w:p>
            <w:pPr>
              <w:spacing w:line="300" w:lineRule="exact"/>
              <w:jc w:val="left"/>
              <w:rPr>
                <w:rFonts w:ascii="方正书宋_GBK" w:eastAsia="方正书宋_GBK"/>
              </w:rPr>
            </w:pPr>
            <w:r>
              <w:rPr>
                <w:rFonts w:hint="eastAsia" w:ascii="方正书宋_GBK" w:eastAsia="方正书宋_GBK"/>
              </w:rPr>
              <w:t>增强青少年学法、尊法、守法、用法意识，推动青少年事务社会工作有效开展。</w:t>
            </w:r>
          </w:p>
        </w:tc>
        <w:tc>
          <w:tcPr>
            <w:tcW w:w="1723" w:type="dxa"/>
            <w:vAlign w:val="center"/>
          </w:tcPr>
          <w:p>
            <w:pPr>
              <w:spacing w:line="300" w:lineRule="exact"/>
              <w:jc w:val="left"/>
              <w:rPr>
                <w:rFonts w:ascii="方正书宋_GBK" w:eastAsia="方正书宋_GBK"/>
              </w:rPr>
            </w:pPr>
            <w:r>
              <w:rPr>
                <w:rFonts w:hint="eastAsia" w:ascii="方正书宋_GBK" w:eastAsia="方正书宋_GBK"/>
              </w:rPr>
              <w:t>组织团干部和社会工作人员参与培训人数（人）</w:t>
            </w:r>
          </w:p>
        </w:tc>
        <w:tc>
          <w:tcPr>
            <w:tcW w:w="447" w:type="dxa"/>
            <w:vAlign w:val="center"/>
          </w:tcPr>
          <w:p>
            <w:pPr>
              <w:spacing w:line="300" w:lineRule="exact"/>
              <w:jc w:val="center"/>
              <w:rPr>
                <w:rFonts w:ascii="方正书宋_GBK" w:eastAsia="方正书宋_GBK"/>
              </w:rPr>
            </w:pPr>
            <w:r>
              <w:rPr>
                <w:rFonts w:hint="eastAsia" w:ascii="方正书宋_GBK" w:eastAsia="方正书宋_GBK"/>
                <w:bCs/>
              </w:rPr>
              <w:t>优</w:t>
            </w:r>
          </w:p>
        </w:tc>
        <w:tc>
          <w:tcPr>
            <w:tcW w:w="375" w:type="dxa"/>
            <w:vAlign w:val="center"/>
          </w:tcPr>
          <w:p>
            <w:pPr>
              <w:spacing w:line="300" w:lineRule="exact"/>
              <w:jc w:val="center"/>
              <w:rPr>
                <w:rFonts w:ascii="方正书宋_GBK" w:eastAsia="方正书宋_GBK"/>
              </w:rPr>
            </w:pPr>
          </w:p>
        </w:tc>
        <w:tc>
          <w:tcPr>
            <w:tcW w:w="390" w:type="dxa"/>
            <w:vAlign w:val="center"/>
          </w:tcPr>
          <w:p>
            <w:pPr>
              <w:spacing w:line="300" w:lineRule="exact"/>
              <w:jc w:val="center"/>
              <w:rPr>
                <w:rFonts w:ascii="方正书宋_GBK" w:eastAsia="方正书宋_GBK"/>
              </w:rPr>
            </w:pPr>
          </w:p>
        </w:tc>
        <w:tc>
          <w:tcPr>
            <w:tcW w:w="315"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77" w:type="dxa"/>
            <w:vAlign w:val="center"/>
          </w:tcPr>
          <w:p>
            <w:pPr>
              <w:spacing w:line="300" w:lineRule="exact"/>
              <w:jc w:val="left"/>
              <w:rPr>
                <w:rFonts w:ascii="方正书宋_GBK" w:eastAsia="方正书宋_GBK"/>
                <w:b/>
              </w:rPr>
            </w:pPr>
            <w:r>
              <w:rPr>
                <w:rFonts w:hint="eastAsia" w:ascii="方正书宋_GBK" w:eastAsia="方正书宋_GBK"/>
                <w:b/>
              </w:rPr>
              <w:t>四、团委事务管理</w:t>
            </w:r>
          </w:p>
        </w:tc>
        <w:tc>
          <w:tcPr>
            <w:tcW w:w="593" w:type="dxa"/>
            <w:vAlign w:val="center"/>
          </w:tcPr>
          <w:p>
            <w:pPr>
              <w:spacing w:line="300" w:lineRule="exact"/>
              <w:jc w:val="left"/>
              <w:rPr>
                <w:rFonts w:ascii="方正书宋_GBK" w:eastAsia="方正书宋_GBK"/>
              </w:rPr>
            </w:pPr>
            <w:r>
              <w:rPr>
                <w:rFonts w:ascii="方正书宋_GBK" w:eastAsia="方正书宋_GBK"/>
              </w:rPr>
              <w:t>1.00</w:t>
            </w:r>
          </w:p>
        </w:tc>
        <w:tc>
          <w:tcPr>
            <w:tcW w:w="2430" w:type="dxa"/>
            <w:vAlign w:val="center"/>
          </w:tcPr>
          <w:p>
            <w:pPr>
              <w:spacing w:line="300" w:lineRule="exact"/>
              <w:jc w:val="left"/>
              <w:rPr>
                <w:rFonts w:ascii="方正书宋_GBK" w:eastAsia="方正书宋_GBK"/>
              </w:rPr>
            </w:pPr>
            <w:r>
              <w:rPr>
                <w:rFonts w:hint="eastAsia" w:ascii="方正书宋_GBK" w:eastAsia="方正书宋_GBK"/>
              </w:rPr>
              <w:t>负责团县委综合业务管理。</w:t>
            </w:r>
          </w:p>
        </w:tc>
        <w:tc>
          <w:tcPr>
            <w:tcW w:w="2160" w:type="dxa"/>
            <w:vAlign w:val="center"/>
          </w:tcPr>
          <w:p>
            <w:pPr>
              <w:spacing w:line="300" w:lineRule="exact"/>
              <w:jc w:val="left"/>
              <w:rPr>
                <w:rFonts w:ascii="方正书宋_GBK" w:eastAsia="方正书宋_GBK"/>
              </w:rPr>
            </w:pPr>
            <w:r>
              <w:rPr>
                <w:rFonts w:hint="eastAsia" w:ascii="方正书宋_GBK" w:eastAsia="方正书宋_GBK"/>
              </w:rPr>
              <w:t>工作任务圆满完成，促进共青团事业发展。</w:t>
            </w:r>
          </w:p>
        </w:tc>
        <w:tc>
          <w:tcPr>
            <w:tcW w:w="1723" w:type="dxa"/>
            <w:vAlign w:val="center"/>
          </w:tcPr>
          <w:p>
            <w:pPr>
              <w:spacing w:line="300" w:lineRule="exact"/>
              <w:jc w:val="left"/>
              <w:rPr>
                <w:rFonts w:ascii="方正书宋_GBK" w:eastAsia="方正书宋_GBK"/>
              </w:rPr>
            </w:pPr>
          </w:p>
        </w:tc>
        <w:tc>
          <w:tcPr>
            <w:tcW w:w="447" w:type="dxa"/>
            <w:vAlign w:val="center"/>
          </w:tcPr>
          <w:p>
            <w:pPr>
              <w:spacing w:line="300" w:lineRule="exact"/>
              <w:jc w:val="center"/>
              <w:rPr>
                <w:rFonts w:ascii="方正书宋_GBK" w:eastAsia="方正书宋_GBK"/>
              </w:rPr>
            </w:pPr>
          </w:p>
        </w:tc>
        <w:tc>
          <w:tcPr>
            <w:tcW w:w="375" w:type="dxa"/>
            <w:vAlign w:val="center"/>
          </w:tcPr>
          <w:p>
            <w:pPr>
              <w:spacing w:line="300" w:lineRule="exact"/>
              <w:jc w:val="center"/>
              <w:rPr>
                <w:rFonts w:ascii="方正书宋_GBK" w:eastAsia="方正书宋_GBK"/>
              </w:rPr>
            </w:pPr>
          </w:p>
        </w:tc>
        <w:tc>
          <w:tcPr>
            <w:tcW w:w="390" w:type="dxa"/>
            <w:vAlign w:val="center"/>
          </w:tcPr>
          <w:p>
            <w:pPr>
              <w:spacing w:line="300" w:lineRule="exact"/>
              <w:jc w:val="center"/>
              <w:rPr>
                <w:rFonts w:ascii="方正书宋_GBK" w:eastAsia="方正书宋_GBK"/>
              </w:rPr>
            </w:pPr>
          </w:p>
        </w:tc>
        <w:tc>
          <w:tcPr>
            <w:tcW w:w="315"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77" w:type="dxa"/>
            <w:vMerge w:val="restart"/>
            <w:vAlign w:val="center"/>
          </w:tcPr>
          <w:p>
            <w:pPr>
              <w:spacing w:line="300" w:lineRule="exact"/>
              <w:jc w:val="left"/>
              <w:rPr>
                <w:rFonts w:ascii="方正书宋_GBK" w:eastAsia="方正书宋_GBK"/>
                <w:b/>
              </w:rPr>
            </w:pPr>
            <w:r>
              <w:rPr>
                <w:rFonts w:ascii="方正书宋_GBK" w:eastAsia="方正书宋_GBK"/>
                <w:b/>
              </w:rPr>
              <w:t>1</w:t>
            </w:r>
            <w:r>
              <w:rPr>
                <w:rFonts w:hint="eastAsia" w:ascii="方正书宋_GBK" w:eastAsia="方正书宋_GBK"/>
                <w:b/>
              </w:rPr>
              <w:t>、综合业务管理</w:t>
            </w:r>
          </w:p>
        </w:tc>
        <w:tc>
          <w:tcPr>
            <w:tcW w:w="593" w:type="dxa"/>
            <w:vMerge w:val="restart"/>
            <w:vAlign w:val="center"/>
          </w:tcPr>
          <w:p>
            <w:pPr>
              <w:spacing w:line="300" w:lineRule="exact"/>
              <w:jc w:val="left"/>
              <w:rPr>
                <w:rFonts w:ascii="方正书宋_GBK" w:eastAsia="方正书宋_GBK"/>
              </w:rPr>
            </w:pPr>
            <w:r>
              <w:rPr>
                <w:rFonts w:ascii="方正书宋_GBK" w:eastAsia="方正书宋_GBK"/>
              </w:rPr>
              <w:t>1.00</w:t>
            </w:r>
          </w:p>
        </w:tc>
        <w:tc>
          <w:tcPr>
            <w:tcW w:w="2430" w:type="dxa"/>
            <w:vMerge w:val="restart"/>
            <w:vAlign w:val="center"/>
          </w:tcPr>
          <w:p>
            <w:pPr>
              <w:spacing w:line="300" w:lineRule="exact"/>
              <w:jc w:val="left"/>
              <w:rPr>
                <w:rFonts w:ascii="方正书宋_GBK" w:eastAsia="方正书宋_GBK"/>
              </w:rPr>
            </w:pPr>
            <w:r>
              <w:rPr>
                <w:rFonts w:hint="eastAsia" w:ascii="方正书宋_GBK" w:eastAsia="方正书宋_GBK"/>
              </w:rPr>
              <w:t>参与制定全县的青少年事业发展规划和青少年工作方针、政策</w:t>
            </w:r>
            <w:r>
              <w:rPr>
                <w:rFonts w:ascii="方正书宋_GBK" w:eastAsia="方正书宋_GBK"/>
              </w:rPr>
              <w:t>;</w:t>
            </w:r>
            <w:r>
              <w:rPr>
                <w:rFonts w:hint="eastAsia" w:ascii="方正书宋_GBK" w:eastAsia="方正书宋_GBK"/>
              </w:rPr>
              <w:t>承担县委、县政府和省市团委交办的有关事项。</w:t>
            </w:r>
          </w:p>
        </w:tc>
        <w:tc>
          <w:tcPr>
            <w:tcW w:w="2160" w:type="dxa"/>
            <w:vMerge w:val="restart"/>
            <w:vAlign w:val="center"/>
          </w:tcPr>
          <w:p>
            <w:pPr>
              <w:spacing w:line="300" w:lineRule="exact"/>
              <w:jc w:val="left"/>
              <w:rPr>
                <w:rFonts w:ascii="方正书宋_GBK" w:eastAsia="方正书宋_GBK"/>
              </w:rPr>
            </w:pPr>
            <w:r>
              <w:rPr>
                <w:rFonts w:hint="eastAsia" w:ascii="方正书宋_GBK" w:eastAsia="方正书宋_GBK"/>
              </w:rPr>
              <w:t>高质量完成全县青少年发展规划和方针政策的制定，圆满完成县委、县政府和省市团委交办的各项任务。</w:t>
            </w:r>
          </w:p>
        </w:tc>
        <w:tc>
          <w:tcPr>
            <w:tcW w:w="1723" w:type="dxa"/>
            <w:vAlign w:val="center"/>
          </w:tcPr>
          <w:p>
            <w:pPr>
              <w:spacing w:line="300" w:lineRule="exact"/>
              <w:jc w:val="left"/>
              <w:rPr>
                <w:rFonts w:ascii="方正书宋_GBK" w:eastAsia="方正书宋_GBK"/>
              </w:rPr>
            </w:pPr>
            <w:r>
              <w:rPr>
                <w:rFonts w:hint="eastAsia" w:ascii="方正书宋_GBK" w:eastAsia="方正书宋_GBK"/>
              </w:rPr>
              <w:t>受到县委、省市团领导肯定性批示数</w:t>
            </w:r>
          </w:p>
        </w:tc>
        <w:tc>
          <w:tcPr>
            <w:tcW w:w="447" w:type="dxa"/>
            <w:vAlign w:val="center"/>
          </w:tcPr>
          <w:p>
            <w:pPr>
              <w:spacing w:line="300" w:lineRule="exact"/>
              <w:jc w:val="center"/>
              <w:rPr>
                <w:rFonts w:ascii="方正书宋_GBK" w:eastAsia="方正书宋_GBK"/>
              </w:rPr>
            </w:pPr>
            <w:r>
              <w:rPr>
                <w:rFonts w:hint="eastAsia" w:ascii="方正书宋_GBK" w:eastAsia="方正书宋_GBK"/>
                <w:bCs/>
              </w:rPr>
              <w:t>优</w:t>
            </w:r>
          </w:p>
        </w:tc>
        <w:tc>
          <w:tcPr>
            <w:tcW w:w="375" w:type="dxa"/>
            <w:vAlign w:val="center"/>
          </w:tcPr>
          <w:p>
            <w:pPr>
              <w:spacing w:line="300" w:lineRule="exact"/>
              <w:jc w:val="center"/>
              <w:rPr>
                <w:rFonts w:ascii="方正书宋_GBK" w:eastAsia="方正书宋_GBK"/>
              </w:rPr>
            </w:pPr>
          </w:p>
        </w:tc>
        <w:tc>
          <w:tcPr>
            <w:tcW w:w="390" w:type="dxa"/>
            <w:vAlign w:val="center"/>
          </w:tcPr>
          <w:p>
            <w:pPr>
              <w:spacing w:line="300" w:lineRule="exact"/>
              <w:jc w:val="center"/>
              <w:rPr>
                <w:rFonts w:ascii="方正书宋_GBK" w:eastAsia="方正书宋_GBK"/>
              </w:rPr>
            </w:pPr>
          </w:p>
        </w:tc>
        <w:tc>
          <w:tcPr>
            <w:tcW w:w="315"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77" w:type="dxa"/>
            <w:vMerge w:val="continue"/>
            <w:vAlign w:val="center"/>
          </w:tcPr>
          <w:p/>
        </w:tc>
        <w:tc>
          <w:tcPr>
            <w:tcW w:w="593" w:type="dxa"/>
            <w:vMerge w:val="continue"/>
            <w:vAlign w:val="center"/>
          </w:tcPr>
          <w:p/>
        </w:tc>
        <w:tc>
          <w:tcPr>
            <w:tcW w:w="2430" w:type="dxa"/>
            <w:vMerge w:val="continue"/>
            <w:vAlign w:val="center"/>
          </w:tcPr>
          <w:p/>
        </w:tc>
        <w:tc>
          <w:tcPr>
            <w:tcW w:w="2160" w:type="dxa"/>
            <w:vMerge w:val="continue"/>
            <w:vAlign w:val="center"/>
          </w:tcPr>
          <w:p/>
        </w:tc>
        <w:tc>
          <w:tcPr>
            <w:tcW w:w="1723" w:type="dxa"/>
            <w:vAlign w:val="center"/>
          </w:tcPr>
          <w:p>
            <w:pPr>
              <w:spacing w:line="300" w:lineRule="exact"/>
              <w:jc w:val="left"/>
              <w:rPr>
                <w:rFonts w:ascii="方正书宋_GBK" w:eastAsia="方正书宋_GBK"/>
              </w:rPr>
            </w:pPr>
            <w:r>
              <w:rPr>
                <w:rFonts w:hint="eastAsia" w:ascii="方正书宋_GBK" w:eastAsia="方正书宋_GBK"/>
              </w:rPr>
              <w:t>常态化下沉基层完成情况（人）</w:t>
            </w:r>
          </w:p>
        </w:tc>
        <w:tc>
          <w:tcPr>
            <w:tcW w:w="447" w:type="dxa"/>
            <w:vAlign w:val="center"/>
          </w:tcPr>
          <w:p>
            <w:pPr>
              <w:spacing w:line="300" w:lineRule="exact"/>
              <w:jc w:val="center"/>
              <w:rPr>
                <w:rFonts w:ascii="方正书宋_GBK" w:eastAsia="方正书宋_GBK"/>
              </w:rPr>
            </w:pPr>
            <w:r>
              <w:rPr>
                <w:rFonts w:hint="eastAsia" w:ascii="方正书宋_GBK" w:eastAsia="方正书宋_GBK"/>
                <w:bCs/>
              </w:rPr>
              <w:t>优</w:t>
            </w:r>
          </w:p>
        </w:tc>
        <w:tc>
          <w:tcPr>
            <w:tcW w:w="375" w:type="dxa"/>
            <w:vAlign w:val="center"/>
          </w:tcPr>
          <w:p>
            <w:pPr>
              <w:spacing w:line="300" w:lineRule="exact"/>
              <w:jc w:val="center"/>
              <w:rPr>
                <w:rFonts w:ascii="方正书宋_GBK" w:eastAsia="方正书宋_GBK"/>
              </w:rPr>
            </w:pPr>
          </w:p>
        </w:tc>
        <w:tc>
          <w:tcPr>
            <w:tcW w:w="390" w:type="dxa"/>
            <w:vAlign w:val="center"/>
          </w:tcPr>
          <w:p>
            <w:pPr>
              <w:spacing w:line="300" w:lineRule="exact"/>
              <w:jc w:val="center"/>
              <w:rPr>
                <w:rFonts w:ascii="方正书宋_GBK" w:eastAsia="方正书宋_GBK"/>
              </w:rPr>
            </w:pPr>
          </w:p>
        </w:tc>
        <w:tc>
          <w:tcPr>
            <w:tcW w:w="315" w:type="dxa"/>
            <w:vAlign w:val="center"/>
          </w:tcPr>
          <w:p>
            <w:pPr>
              <w:spacing w:line="300" w:lineRule="exact"/>
              <w:jc w:val="center"/>
              <w:rPr>
                <w:rFonts w:ascii="方正书宋_GBK" w:eastAsia="方正书宋_GBK"/>
              </w:rPr>
            </w:pPr>
          </w:p>
        </w:tc>
      </w:tr>
    </w:tbl>
    <w:p>
      <w:pPr>
        <w:spacing w:line="300" w:lineRule="exact"/>
        <w:jc w:val="left"/>
        <w:outlineLvl w:val="0"/>
      </w:pP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年度机关运行经费支出</w:t>
      </w:r>
      <w:r>
        <w:rPr>
          <w:rFonts w:ascii="仿宋_GB2312" w:eastAsia="仿宋_GB2312" w:cs="DengXian-Regular"/>
          <w:sz w:val="32"/>
          <w:szCs w:val="32"/>
        </w:rPr>
        <w:t>6.57</w:t>
      </w:r>
      <w:r>
        <w:rPr>
          <w:rFonts w:hint="eastAsia" w:ascii="仿宋_GB2312" w:eastAsia="仿宋_GB2312" w:cs="DengXian-Regular"/>
          <w:sz w:val="32"/>
          <w:szCs w:val="32"/>
        </w:rPr>
        <w:t>万元，</w:t>
      </w:r>
      <w:r>
        <w:rPr>
          <w:rFonts w:ascii="仿宋_GB2312" w:eastAsia="仿宋_GB2312" w:cs="DengXian-Regular"/>
          <w:sz w:val="32"/>
          <w:szCs w:val="32"/>
        </w:rPr>
        <w:t>比</w:t>
      </w:r>
      <w:r>
        <w:rPr>
          <w:rFonts w:hint="eastAsia" w:ascii="仿宋_GB2312" w:eastAsia="仿宋_GB2312" w:cs="DengXian-Regular"/>
          <w:sz w:val="32"/>
          <w:szCs w:val="32"/>
        </w:rPr>
        <w:t>年初预算数</w:t>
      </w:r>
      <w:r>
        <w:rPr>
          <w:rFonts w:ascii="仿宋_GB2312" w:eastAsia="仿宋_GB2312" w:cs="DengXian-Regular"/>
          <w:sz w:val="32"/>
          <w:szCs w:val="32"/>
        </w:rPr>
        <w:t>增加0万元，增长0%，主要是没有人员增减变化</w:t>
      </w:r>
      <w:r>
        <w:rPr>
          <w:rFonts w:hint="eastAsia" w:ascii="仿宋_GB2312" w:eastAsia="仿宋_GB2312" w:cs="DengXian-Regular"/>
          <w:sz w:val="32"/>
          <w:szCs w:val="32"/>
        </w:rPr>
        <w:t>。</w:t>
      </w:r>
      <w:r>
        <w:rPr>
          <w:rFonts w:hint="eastAsia" w:eastAsia="仿宋_GB2312"/>
          <w:sz w:val="32"/>
          <w:szCs w:val="32"/>
        </w:rPr>
        <w:t>较</w:t>
      </w:r>
      <w:r>
        <w:rPr>
          <w:rFonts w:eastAsia="仿宋_GB2312"/>
          <w:sz w:val="32"/>
          <w:szCs w:val="32"/>
        </w:rPr>
        <w:t>2017</w:t>
      </w:r>
      <w:r>
        <w:rPr>
          <w:rFonts w:hint="eastAsia" w:eastAsia="仿宋_GB2312"/>
          <w:sz w:val="32"/>
          <w:szCs w:val="32"/>
        </w:rPr>
        <w:t>年度决算减少</w:t>
      </w:r>
      <w:r>
        <w:rPr>
          <w:rFonts w:eastAsia="仿宋_GB2312"/>
          <w:sz w:val="32"/>
          <w:szCs w:val="32"/>
        </w:rPr>
        <w:t>6.13</w:t>
      </w:r>
      <w:r>
        <w:rPr>
          <w:rFonts w:hint="eastAsia" w:eastAsia="仿宋_GB2312"/>
          <w:sz w:val="32"/>
          <w:szCs w:val="32"/>
        </w:rPr>
        <w:t>万元，降低</w:t>
      </w:r>
      <w:r>
        <w:rPr>
          <w:rFonts w:eastAsia="仿宋_GB2312"/>
          <w:sz w:val="32"/>
          <w:szCs w:val="32"/>
        </w:rPr>
        <w:t>48%</w:t>
      </w:r>
      <w:r>
        <w:rPr>
          <w:rFonts w:hint="eastAsia" w:eastAsia="仿宋_GB2312"/>
          <w:sz w:val="32"/>
          <w:szCs w:val="32"/>
        </w:rPr>
        <w:t>，主要是</w:t>
      </w:r>
      <w:r>
        <w:rPr>
          <w:rFonts w:eastAsia="仿宋_GB2312"/>
          <w:sz w:val="32"/>
          <w:szCs w:val="32"/>
        </w:rPr>
        <w:t>2017</w:t>
      </w:r>
      <w:r>
        <w:rPr>
          <w:rFonts w:hint="eastAsia" w:eastAsia="仿宋_GB2312"/>
          <w:sz w:val="32"/>
          <w:szCs w:val="32"/>
        </w:rPr>
        <w:t>年机关工作量较大，</w:t>
      </w:r>
      <w:r>
        <w:rPr>
          <w:rFonts w:eastAsia="仿宋_GB2312"/>
          <w:sz w:val="32"/>
          <w:szCs w:val="32"/>
        </w:rPr>
        <w:t>2018</w:t>
      </w:r>
      <w:r>
        <w:rPr>
          <w:rFonts w:hint="eastAsia" w:eastAsia="仿宋_GB2312"/>
          <w:sz w:val="32"/>
          <w:szCs w:val="32"/>
        </w:rPr>
        <w:t>年在保证机关运行的情况下尽量减少不必要支出。</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pStyle w:val="4"/>
        <w:spacing w:before="0" w:after="0" w:line="580" w:lineRule="exact"/>
        <w:ind w:firstLine="640" w:firstLineChars="200"/>
        <w:rPr>
          <w:rFonts w:ascii="楷体_GB2312" w:eastAsia="楷体_GB2312" w:cs="DengXian-Bold"/>
        </w:rPr>
      </w:pPr>
      <w:r>
        <w:rPr>
          <w:rFonts w:hint="eastAsia" w:ascii="仿宋_GB2312" w:eastAsia="仿宋_GB2312" w:cs="DengXian-Regular"/>
          <w:b w:val="0"/>
        </w:rPr>
        <w:t>本部门2018年度政府采购支出总额0万元，从采购类型来看，</w:t>
      </w:r>
      <w:r>
        <w:rPr>
          <w:rFonts w:ascii="仿宋_GB2312" w:eastAsia="仿宋_GB2312" w:cs="仿宋_GB2312"/>
          <w:b w:val="0"/>
          <w:color w:val="000000"/>
          <w:kern w:val="0"/>
        </w:rPr>
        <w:t>政府采购货物支出</w:t>
      </w:r>
      <w:r>
        <w:rPr>
          <w:rFonts w:hint="eastAsia" w:ascii="仿宋_GB2312" w:eastAsia="仿宋_GB2312" w:cs="仿宋_GB2312"/>
          <w:b w:val="0"/>
          <w:color w:val="000000"/>
          <w:kern w:val="0"/>
        </w:rPr>
        <w:t>0</w:t>
      </w:r>
      <w:r>
        <w:rPr>
          <w:rFonts w:ascii="仿宋_GB2312" w:eastAsia="仿宋_GB2312" w:cs="仿宋_GB2312"/>
          <w:b w:val="0"/>
          <w:color w:val="000000"/>
          <w:kern w:val="0"/>
        </w:rPr>
        <w:t xml:space="preserve"> 万元、政府采购工程支出</w:t>
      </w:r>
      <w:r>
        <w:rPr>
          <w:rFonts w:hint="eastAsia" w:ascii="仿宋_GB2312" w:eastAsia="仿宋_GB2312" w:cs="仿宋_GB2312"/>
          <w:b w:val="0"/>
          <w:color w:val="000000"/>
          <w:kern w:val="0"/>
        </w:rPr>
        <w:t>0</w:t>
      </w:r>
      <w:r>
        <w:rPr>
          <w:rFonts w:ascii="仿宋_GB2312" w:eastAsia="仿宋_GB2312" w:cs="仿宋_GB2312"/>
          <w:b w:val="0"/>
          <w:color w:val="000000"/>
          <w:kern w:val="0"/>
        </w:rPr>
        <w:t>万元、政府采购服务支出</w:t>
      </w:r>
      <w:r>
        <w:rPr>
          <w:rFonts w:hint="eastAsia" w:ascii="仿宋_GB2312" w:eastAsia="仿宋_GB2312" w:cs="仿宋_GB2312"/>
          <w:b w:val="0"/>
          <w:color w:val="000000"/>
          <w:kern w:val="0"/>
        </w:rPr>
        <w:t>0</w:t>
      </w:r>
      <w:r>
        <w:rPr>
          <w:rFonts w:ascii="仿宋_GB2312" w:eastAsia="仿宋_GB2312" w:cs="仿宋_GB2312"/>
          <w:b w:val="0"/>
          <w:color w:val="000000"/>
          <w:kern w:val="0"/>
        </w:rPr>
        <w:t>万元。授予中小企业合同金</w:t>
      </w:r>
      <w:r>
        <w:rPr>
          <w:rFonts w:hint="eastAsia" w:ascii="仿宋_GB2312" w:eastAsia="仿宋_GB2312" w:cs="仿宋_GB2312"/>
          <w:b w:val="0"/>
          <w:color w:val="000000"/>
          <w:kern w:val="0"/>
        </w:rPr>
        <w:t>0</w:t>
      </w:r>
      <w:r>
        <w:rPr>
          <w:rFonts w:ascii="仿宋_GB2312" w:eastAsia="仿宋_GB2312" w:cs="仿宋_GB2312"/>
          <w:b w:val="0"/>
          <w:color w:val="000000"/>
          <w:kern w:val="0"/>
        </w:rPr>
        <w:t>万元，占政府采购支出总额的</w:t>
      </w:r>
      <w:r>
        <w:rPr>
          <w:rFonts w:hint="eastAsia" w:ascii="仿宋_GB2312" w:eastAsia="仿宋_GB2312" w:cs="仿宋_GB2312"/>
          <w:b w:val="0"/>
          <w:color w:val="000000"/>
          <w:kern w:val="0"/>
        </w:rPr>
        <w:t>0%，</w:t>
      </w:r>
      <w:r>
        <w:rPr>
          <w:rFonts w:ascii="仿宋_GB2312" w:eastAsia="仿宋_GB2312" w:cs="仿宋_GB2312"/>
          <w:b w:val="0"/>
          <w:color w:val="000000"/>
          <w:kern w:val="0"/>
        </w:rPr>
        <w:t>其中授予小微企业合同金额</w:t>
      </w:r>
      <w:r>
        <w:rPr>
          <w:rFonts w:hint="eastAsia" w:ascii="仿宋_GB2312" w:eastAsia="仿宋_GB2312" w:cs="仿宋_GB2312"/>
          <w:b w:val="0"/>
          <w:color w:val="000000"/>
          <w:kern w:val="0"/>
        </w:rPr>
        <w:t>0</w:t>
      </w:r>
      <w:r>
        <w:rPr>
          <w:rFonts w:ascii="仿宋_GB2312" w:eastAsia="仿宋_GB2312" w:cs="仿宋_GB2312"/>
          <w:b w:val="0"/>
          <w:color w:val="000000"/>
          <w:kern w:val="0"/>
        </w:rPr>
        <w:t xml:space="preserve">万元，占政府采购支出总额的 </w:t>
      </w:r>
      <w:r>
        <w:rPr>
          <w:rFonts w:hint="eastAsia" w:ascii="仿宋_GB2312" w:eastAsia="仿宋_GB2312" w:cs="仿宋_GB2312"/>
          <w:b w:val="0"/>
          <w:color w:val="000000"/>
          <w:kern w:val="0"/>
        </w:rPr>
        <w:t>0</w:t>
      </w:r>
      <w:r>
        <w:rPr>
          <w:rFonts w:ascii="仿宋_GB2312" w:eastAsia="仿宋_GB2312" w:cs="仿宋_GB2312"/>
          <w:b w:val="0"/>
          <w:color w:val="000000"/>
          <w:kern w:val="0"/>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截至2018年12月31日，本部门共有车辆0辆，比上年</w:t>
      </w:r>
      <w:r>
        <w:rPr>
          <w:rFonts w:hint="eastAsia" w:ascii="仿宋_GB2312" w:eastAsia="仿宋_GB2312" w:cs="宋体"/>
          <w:sz w:val="32"/>
          <w:szCs w:val="32"/>
        </w:rPr>
        <w:t>持平</w:t>
      </w:r>
      <w:r>
        <w:rPr>
          <w:rFonts w:hint="eastAsia" w:ascii="仿宋_GB2312" w:eastAsia="仿宋_GB2312" w:cs="DengXian-Regular"/>
          <w:sz w:val="32"/>
          <w:szCs w:val="32"/>
        </w:rPr>
        <w:t>。其中，副部（省）级及以上领导用车0辆，主要领导干部用车0辆，机要通信用车0辆，应急保障用车0辆，执法执勤用车0辆，特种专业技术用车0辆，离退休干部用车0辆，其他用车0辆0；单位价值</w:t>
      </w:r>
      <w:r>
        <w:rPr>
          <w:rFonts w:hint="eastAsia" w:ascii="仿宋_GB2312" w:eastAsia="仿宋_GB2312" w:cs="TimesNewRomanPSMT"/>
          <w:sz w:val="32"/>
          <w:szCs w:val="32"/>
        </w:rPr>
        <w:t>50</w:t>
      </w:r>
      <w:r>
        <w:rPr>
          <w:rFonts w:hint="eastAsia" w:ascii="仿宋_GB2312" w:eastAsia="仿宋_GB2312" w:cs="DengXian-Regular"/>
          <w:sz w:val="32"/>
          <w:szCs w:val="32"/>
        </w:rPr>
        <w:t>万元以上通用设备0台，比上年</w:t>
      </w:r>
      <w:r>
        <w:rPr>
          <w:rFonts w:hint="eastAsia" w:ascii="仿宋_GB2312" w:eastAsia="仿宋_GB2312" w:cs="宋体"/>
          <w:sz w:val="32"/>
          <w:szCs w:val="32"/>
        </w:rPr>
        <w:t>持平</w:t>
      </w:r>
      <w:r>
        <w:rPr>
          <w:rFonts w:hint="eastAsia" w:ascii="仿宋_GB2312" w:eastAsia="仿宋_GB2312" w:cs="DengXian-Regular"/>
          <w:sz w:val="32"/>
          <w:szCs w:val="32"/>
        </w:rPr>
        <w:t>，单位价值</w:t>
      </w:r>
      <w:r>
        <w:rPr>
          <w:rFonts w:hint="eastAsia" w:ascii="仿宋_GB2312" w:eastAsia="仿宋_GB2312" w:cs="TimesNewRomanPSMT"/>
          <w:sz w:val="32"/>
          <w:szCs w:val="32"/>
        </w:rPr>
        <w:t>100</w:t>
      </w:r>
      <w:r>
        <w:rPr>
          <w:rFonts w:hint="eastAsia" w:ascii="仿宋_GB2312" w:eastAsia="仿宋_GB2312" w:cs="DengXian-Regular"/>
          <w:sz w:val="32"/>
          <w:szCs w:val="32"/>
        </w:rPr>
        <w:t>万元以上专用设备0台，比上年</w:t>
      </w:r>
      <w:r>
        <w:rPr>
          <w:rFonts w:hint="eastAsia" w:ascii="仿宋_GB2312" w:eastAsia="仿宋_GB2312" w:cs="宋体"/>
          <w:sz w:val="32"/>
          <w:szCs w:val="32"/>
        </w:rPr>
        <w:t>持平</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1</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年度结转资金</w:t>
      </w:r>
      <w:r>
        <w:rPr>
          <w:rFonts w:ascii="仿宋_GB2312" w:eastAsia="仿宋_GB2312" w:cs="DengXian-Regular"/>
          <w:sz w:val="32"/>
          <w:szCs w:val="32"/>
        </w:rPr>
        <w:t>2.03</w:t>
      </w:r>
      <w:r>
        <w:rPr>
          <w:rFonts w:hint="eastAsia" w:ascii="仿宋_GB2312" w:eastAsia="仿宋_GB2312" w:cs="DengXian-Regular"/>
          <w:sz w:val="32"/>
          <w:szCs w:val="32"/>
        </w:rPr>
        <w:t>万元，结转资金为人员增资补助及部分项目资金。</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2</w:t>
      </w:r>
      <w:r>
        <w:rPr>
          <w:rFonts w:hint="eastAsia" w:ascii="仿宋_GB2312"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cs="MS-UIGothic,Bold"/>
          <w:b/>
          <w:bCs/>
          <w:kern w:val="0"/>
          <w:sz w:val="44"/>
          <w:szCs w:val="44"/>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第四部分</w:t>
      </w:r>
    </w:p>
    <w:p>
      <w:pPr>
        <w:widowControl/>
        <w:spacing w:line="1200" w:lineRule="exact"/>
        <w:jc w:val="center"/>
        <w:rPr>
          <w:color w:val="000000"/>
          <w:sz w:val="96"/>
          <w:szCs w:val="96"/>
        </w:rPr>
      </w:pPr>
      <w:r>
        <w:rPr>
          <w:rFonts w:hint="eastAsia" w:ascii="黑体" w:eastAsia="黑体"/>
          <w:color w:val="000000"/>
          <w:sz w:val="96"/>
          <w:szCs w:val="96"/>
        </w:rPr>
        <w:t>名词解释</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（一）财政拨款收入：</w:t>
      </w:r>
      <w:r>
        <w:rPr>
          <w:rFonts w:hint="eastAsia" w:ascii="仿宋_GB2312"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（二）事业收入：</w:t>
      </w:r>
      <w:r>
        <w:rPr>
          <w:rFonts w:hint="eastAsia" w:ascii="仿宋_GB2312"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（三）其他收入：</w:t>
      </w:r>
      <w:r>
        <w:rPr>
          <w:rFonts w:hint="eastAsia" w:ascii="仿宋_GB2312"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（四）用事业基金弥补收支差额：</w:t>
      </w:r>
      <w:r>
        <w:rPr>
          <w:rFonts w:hint="eastAsia" w:ascii="仿宋_GB2312"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（五）年初结转和结余：</w:t>
      </w:r>
      <w:r>
        <w:rPr>
          <w:rFonts w:hint="eastAsia" w:ascii="仿宋_GB2312"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（六）结余分配：</w:t>
      </w:r>
      <w:r>
        <w:rPr>
          <w:rFonts w:hint="eastAsia" w:ascii="仿宋_GB2312"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（七）年末结转和结余：</w:t>
      </w:r>
      <w:r>
        <w:rPr>
          <w:rFonts w:hint="eastAsia" w:ascii="仿宋_GB2312"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（八）基本支出：</w:t>
      </w:r>
      <w:r>
        <w:rPr>
          <w:rFonts w:hint="eastAsia" w:ascii="仿宋_GB2312"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（九）项目支出：</w:t>
      </w:r>
      <w:r>
        <w:rPr>
          <w:rFonts w:hint="eastAsia" w:ascii="仿宋_GB2312"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（十）资本性支出（基本建设）：</w:t>
      </w:r>
      <w:r>
        <w:rPr>
          <w:rFonts w:hint="eastAsia" w:ascii="仿宋_GB2312"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（十一）资本性支出：</w:t>
      </w:r>
      <w:r>
        <w:rPr>
          <w:rFonts w:hint="eastAsia" w:ascii="仿宋_GB2312"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（十二）“三公”经费：</w:t>
      </w:r>
      <w:r>
        <w:rPr>
          <w:rFonts w:hint="eastAsia" w:ascii="仿宋_GB2312"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（十三）其他交通费用：</w:t>
      </w:r>
      <w:r>
        <w:rPr>
          <w:rFonts w:hint="eastAsia" w:ascii="仿宋_GB2312"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（十四）公务用车购置：</w:t>
      </w:r>
      <w:r>
        <w:rPr>
          <w:rFonts w:hint="eastAsia" w:ascii="仿宋_GB2312"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（十五）其他交通工具购置：</w:t>
      </w:r>
      <w:r>
        <w:rPr>
          <w:rFonts w:hint="eastAsia" w:ascii="仿宋_GB2312"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（十六）机关运行经费：</w:t>
      </w:r>
      <w:r>
        <w:rPr>
          <w:rFonts w:hint="eastAsia" w:ascii="仿宋_GB2312"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kern w:val="0"/>
          <w:sz w:val="32"/>
          <w:szCs w:val="32"/>
        </w:rPr>
      </w:pPr>
      <w:r>
        <w:rPr>
          <w:rFonts w:hint="eastAsia" w:ascii="仿宋_GB2312" w:eastAsia="仿宋_GB2312"/>
          <w:b/>
          <w:bCs/>
          <w:color w:val="000000"/>
          <w:kern w:val="0"/>
          <w:sz w:val="32"/>
          <w:szCs w:val="32"/>
        </w:rPr>
        <w:t>（十七）经费形式</w:t>
      </w:r>
      <w:r>
        <w:rPr>
          <w:rFonts w:ascii="仿宋_GB2312" w:eastAsia="仿宋_GB2312"/>
          <w:b/>
          <w:bCs/>
          <w:color w:val="000000"/>
          <w:kern w:val="0"/>
          <w:sz w:val="32"/>
          <w:szCs w:val="32"/>
        </w:rPr>
        <w:t>:</w:t>
      </w:r>
      <w:r>
        <w:rPr>
          <w:rFonts w:hint="eastAsia" w:ascii="仿宋_GB2312" w:eastAsia="仿宋_GB2312"/>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sectPr>
      <w:pgSz w:w="11906" w:h="16838"/>
      <w:pgMar w:top="2098" w:right="1474" w:bottom="1985" w:left="158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方正小标宋_GBK">
    <w:panose1 w:val="03000509000000000000"/>
    <w:charset w:val="86"/>
    <w:family w:val="script"/>
    <w:pitch w:val="default"/>
    <w:sig w:usb0="00000001" w:usb1="080E0000" w:usb2="00000000" w:usb3="00000000" w:csb0="00040000"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TimesNewRoman">
    <w:altName w:val="宋体"/>
    <w:panose1 w:val="00000000000000000000"/>
    <w:charset w:val="86"/>
    <w:family w:val="auto"/>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FangSong_GB2312">
    <w:altName w:val="仿宋_GB2312"/>
    <w:panose1 w:val="02010609060101010101"/>
    <w:charset w:val="00"/>
    <w:family w:val="roman"/>
    <w:pitch w:val="default"/>
    <w:sig w:usb0="00000000" w:usb1="00000000" w:usb2="00000000" w:usb3="00000000" w:csb0="00000001" w:csb1="00000000"/>
  </w:font>
  <w:font w:name="方正书宋_GBK">
    <w:altName w:val="微软雅黑"/>
    <w:panose1 w:val="00000000000000000000"/>
    <w:charset w:val="86"/>
    <w:family w:val="script"/>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Malgun Gothic">
    <w:panose1 w:val="020B0503020000020004"/>
    <w:charset w:val="81"/>
    <w:family w:val="auto"/>
    <w:pitch w:val="default"/>
    <w:sig w:usb0="900002AF" w:usb1="01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pPr>
        <w:tabs>
          <w:tab w:val="left" w:pos="0"/>
        </w:tabs>
        <w:ind w:left="0" w:firstLine="0"/>
      </w:pPr>
      <w:rPr>
        <w:rFonts w:hint="eastAsia" w:cs="Times New Roman"/>
      </w:rPr>
    </w:lvl>
  </w:abstractNum>
  <w:abstractNum w:abstractNumId="1">
    <w:nsid w:val="50607286"/>
    <w:multiLevelType w:val="singleLevel"/>
    <w:tmpl w:val="50607286"/>
    <w:lvl w:ilvl="0" w:tentative="0">
      <w:start w:val="2"/>
      <w:numFmt w:val="chineseCounting"/>
      <w:suff w:val="nothing"/>
      <w:lvlText w:val="（%1）"/>
      <w:lvlJc w:val="left"/>
      <w:pPr>
        <w:tabs>
          <w:tab w:val="left" w:pos="0"/>
        </w:tabs>
        <w:ind w:left="0" w:firstLine="0"/>
      </w:pPr>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ulTrailSpace/>
    <w:doNotExpandShiftReturn/>
    <w:adjustLineHeightInTable/>
    <w:useFELayout/>
    <w:compatSetting w:name="compatibilityMode" w:uri="http://schemas.microsoft.com/office/word" w:val="12"/>
  </w:compat>
  <w:docVars>
    <w:docVar w:name="commondata" w:val="eyJoZGlkIjoiYWE5NDMwNmExMzhmNWIwYmQ1Y2ZkN2QyYTBlODFkZmMifQ=="/>
  </w:docVars>
  <w:rsids>
    <w:rsidRoot w:val="00F225AA"/>
    <w:rsid w:val="00350FA5"/>
    <w:rsid w:val="005B14DB"/>
    <w:rsid w:val="008B0C9C"/>
    <w:rsid w:val="00B6701E"/>
    <w:rsid w:val="00F225AA"/>
    <w:rsid w:val="1B884DC4"/>
    <w:rsid w:val="4F2435DF"/>
    <w:rsid w:val="713D3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paragraph" w:styleId="3">
    <w:name w:val="heading 2"/>
    <w:basedOn w:val="1"/>
    <w:next w:val="1"/>
    <w:uiPriority w:val="0"/>
    <w:pPr>
      <w:keepNext/>
      <w:keepLines/>
      <w:spacing w:before="260" w:after="260" w:line="415" w:lineRule="auto"/>
      <w:outlineLvl w:val="1"/>
    </w:pPr>
    <w:rPr>
      <w:rFonts w:ascii="Calibri" w:hAnsi="Calibri" w:cs="Arial"/>
      <w:b/>
      <w:bCs/>
      <w:sz w:val="32"/>
      <w:szCs w:val="32"/>
    </w:rPr>
  </w:style>
  <w:style w:type="paragraph" w:styleId="4">
    <w:name w:val="heading 3"/>
    <w:basedOn w:val="1"/>
    <w:next w:val="1"/>
    <w:uiPriority w:val="0"/>
    <w:pPr>
      <w:keepNext/>
      <w:keepLines/>
      <w:spacing w:before="260" w:after="260" w:line="415" w:lineRule="auto"/>
      <w:outlineLvl w:val="2"/>
    </w:pPr>
    <w:rPr>
      <w:b/>
      <w:bCs/>
      <w:sz w:val="32"/>
      <w:szCs w:val="32"/>
    </w:rPr>
  </w:style>
  <w:style w:type="paragraph" w:styleId="5">
    <w:name w:val="heading 4"/>
    <w:basedOn w:val="1"/>
    <w:next w:val="1"/>
    <w:uiPriority w:val="0"/>
    <w:pPr>
      <w:keepNext/>
      <w:keepLines/>
      <w:spacing w:before="280" w:after="290" w:line="377" w:lineRule="auto"/>
      <w:outlineLvl w:val="3"/>
    </w:pPr>
    <w:rPr>
      <w:rFonts w:ascii="Calibri" w:hAnsi="Calibri" w:cs="Arial"/>
      <w:b/>
      <w:bCs/>
      <w:sz w:val="28"/>
      <w:szCs w:val="28"/>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uiPriority w:val="0"/>
    <w:pPr>
      <w:ind w:left="2500" w:leftChars="2500"/>
    </w:pPr>
  </w:style>
  <w:style w:type="paragraph" w:styleId="7">
    <w:name w:val="Balloon Text"/>
    <w:basedOn w:val="1"/>
    <w:uiPriority w:val="0"/>
    <w:rPr>
      <w:sz w:val="18"/>
      <w:szCs w:val="18"/>
    </w:rPr>
  </w:style>
  <w:style w:type="paragraph" w:styleId="8">
    <w:name w:val="footer"/>
    <w:basedOn w:val="1"/>
    <w:uiPriority w:val="0"/>
    <w:pPr>
      <w:tabs>
        <w:tab w:val="center" w:pos="4153"/>
        <w:tab w:val="right" w:pos="8306"/>
      </w:tabs>
      <w:snapToGrid w:val="0"/>
      <w:jc w:val="left"/>
    </w:pPr>
    <w:rPr>
      <w:rFonts w:ascii="Cambria" w:hAnsi="Cambria" w:eastAsia="黑体"/>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qFormat/>
    <w:uiPriority w:val="0"/>
    <w:pPr>
      <w:widowControl/>
      <w:spacing w:after="200" w:line="276" w:lineRule="auto"/>
      <w:jc w:val="left"/>
    </w:pPr>
    <w:rPr>
      <w:rFonts w:ascii="Calibri" w:hAnsi="Calibri" w:cs="Arial"/>
      <w:i/>
      <w:iCs/>
      <w:color w:val="F0A22E"/>
      <w:spacing w:val="15"/>
      <w:kern w:val="0"/>
      <w:sz w:val="24"/>
    </w:rPr>
  </w:style>
  <w:style w:type="paragraph" w:styleId="11">
    <w:name w:val="Title"/>
    <w:basedOn w:val="1"/>
    <w:next w:val="1"/>
    <w:qFormat/>
    <w:uiPriority w:val="0"/>
    <w:pPr>
      <w:widowControl/>
      <w:pBdr>
        <w:bottom w:val="single" w:color="F0A22E" w:sz="8" w:space="4"/>
      </w:pBdr>
      <w:spacing w:after="300"/>
      <w:contextualSpacing/>
      <w:jc w:val="left"/>
    </w:pPr>
    <w:rPr>
      <w:rFonts w:ascii="Calibri" w:hAnsi="Calibri" w:cs="Arial"/>
      <w:color w:val="3A2C23"/>
      <w:spacing w:val="5"/>
      <w:kern w:val="28"/>
      <w:sz w:val="52"/>
      <w:szCs w:val="52"/>
    </w:rPr>
  </w:style>
  <w:style w:type="paragraph" w:customStyle="1" w:styleId="14">
    <w:name w:val="No Spacing1"/>
    <w:qFormat/>
    <w:uiPriority w:val="0"/>
    <w:pPr>
      <w:spacing w:after="160" w:line="480" w:lineRule="auto"/>
    </w:pPr>
    <w:rPr>
      <w:rFonts w:ascii="Cambria" w:hAnsi="Cambria" w:eastAsia="黑体" w:cs="Times New Roman"/>
      <w:sz w:val="22"/>
      <w:szCs w:val="22"/>
      <w:lang w:val="en-US" w:eastAsia="zh-CN" w:bidi="ar-SA"/>
    </w:rPr>
  </w:style>
  <w:style w:type="character" w:customStyle="1" w:styleId="15">
    <w:name w:val="Style1"/>
    <w:basedOn w:val="13"/>
    <w:qFormat/>
    <w:uiPriority w:val="0"/>
    <w:rPr>
      <w:rFonts w:ascii="Cambria" w:hAnsi="Cambria" w:eastAsia="黑体" w:cs="Times New Roman"/>
      <w:sz w:val="22"/>
      <w:szCs w:val="22"/>
      <w:lang w:eastAsia="zh-CN"/>
    </w:rPr>
  </w:style>
  <w:style w:type="character" w:customStyle="1" w:styleId="16">
    <w:name w:val="Style2"/>
    <w:basedOn w:val="13"/>
    <w:qFormat/>
    <w:uiPriority w:val="0"/>
    <w:rPr>
      <w:rFonts w:ascii="Cambria" w:hAnsi="Cambria" w:eastAsia="黑体" w:cs="Times New Roman"/>
      <w:sz w:val="22"/>
      <w:szCs w:val="22"/>
      <w:lang w:eastAsia="zh-CN"/>
    </w:rPr>
  </w:style>
  <w:style w:type="character" w:customStyle="1" w:styleId="17">
    <w:name w:val="Style3"/>
    <w:basedOn w:val="13"/>
    <w:qFormat/>
    <w:uiPriority w:val="0"/>
    <w:rPr>
      <w:rFonts w:ascii="Cambria" w:hAnsi="Cambria" w:eastAsia="黑体" w:cs="Times New Roman"/>
      <w:sz w:val="22"/>
      <w:szCs w:val="22"/>
      <w:lang w:eastAsia="zh-CN"/>
    </w:rPr>
  </w:style>
  <w:style w:type="character" w:customStyle="1" w:styleId="18">
    <w:name w:val="Style4"/>
    <w:basedOn w:val="13"/>
    <w:qFormat/>
    <w:uiPriority w:val="0"/>
    <w:rPr>
      <w:rFonts w:ascii="Cambria" w:hAnsi="Cambria" w:eastAsia="黑体" w:cs="Times New Roman"/>
      <w:sz w:val="22"/>
      <w:szCs w:val="22"/>
      <w:lang w:eastAsia="zh-CN"/>
    </w:rPr>
  </w:style>
  <w:style w:type="character" w:customStyle="1" w:styleId="19">
    <w:name w:val="Style5"/>
    <w:basedOn w:val="13"/>
    <w:qFormat/>
    <w:uiPriority w:val="0"/>
    <w:rPr>
      <w:rFonts w:ascii="Cambria" w:hAnsi="Cambria" w:eastAsia="黑体" w:cs="Times New Roman"/>
      <w:sz w:val="22"/>
      <w:szCs w:val="22"/>
      <w:lang w:eastAsia="zh-CN"/>
    </w:rPr>
  </w:style>
  <w:style w:type="paragraph" w:customStyle="1" w:styleId="20">
    <w:name w:val="List Paragraph1"/>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6989</Words>
  <Characters>7315</Characters>
  <Lines>54</Lines>
  <Paragraphs>15</Paragraphs>
  <TotalTime>20</TotalTime>
  <ScaleCrop>false</ScaleCrop>
  <LinksUpToDate>false</LinksUpToDate>
  <CharactersWithSpaces>7324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2021-05-31T07:56:00Z</dcterms:created>
  <dc:creator>User</dc:creator>
  <cp:lastModifiedBy>二柔</cp:lastModifiedBy>
  <cp:lastPrinted>2019-11-08T01:18:00Z</cp:lastPrinted>
  <dcterms:modified xsi:type="dcterms:W3CDTF">2023-06-08T02:44:32Z</dcterms:modified>
  <dc:subject>石家庄市xxx部门</dc:subject>
  <dc:title>2017年度部门决算</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B962BF0C4D7F4BA3A6961C1C8A603412_12</vt:lpwstr>
  </property>
</Properties>
</file>