
<file path=[Content_Types].xml><?xml version="1.0" encoding="utf-8"?>
<Types xmlns="http://schemas.openxmlformats.org/package/2006/content-types">
  <Default Extension="xml" ContentType="application/xml"/>
  <Default Extension="emf" ContentType="image/x-emf"/>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rPr>
          <w:rFonts w:ascii="楷体" w:hAnsi="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 xml:space="preserve">           </w:t>
      </w:r>
      <w:r>
        <w:rPr>
          <w:b/>
          <w:sz w:val="44"/>
          <w:szCs w:val="44"/>
        </w:rPr>
        <w:t>廊坊市</w:t>
      </w:r>
      <w:r>
        <w:rPr>
          <w:rFonts w:hint="eastAsia"/>
          <w:b/>
          <w:sz w:val="44"/>
          <w:szCs w:val="44"/>
        </w:rPr>
        <w:t>大城县农业局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大城县农业局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（一）研究拟订农业发展战略、中长期发展规划，经批准后组织实施。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研究拟订农业产业政策，引导农业产业结构的合理调整、农业资源合理配置和农业产品品质的改善；提出有关农产品及农业生产资料价格，大宗农产品流通、税收及财政补贴建议；组织对农业法律法规执行情况的监督检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研究提出农业产业化经营方针政策，大宗农产品的批发市场体系建设与发展规划，促使农业产前、产中、产后一体化，组织协调“菜篮子工程”和农业生产资料体系建设；预测并发布农业及农业生产资料供求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（四）组织生态农业和农业可持续发展工作；指导农用地、宜农荒地、农村可再生能源开发利用和农业生物物种资源保护与管理。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拟订农业科技、中高等农业教育、技术推广及其队伍建设的发展规划和有关政策，综合协调管理农科教结合工作，实施科教兴农战略；组织重大科研和技术推广项目的筛选及实施；指导中高等农业教育和农业职业技能开发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拟订农业主管产业技术标准并组织实施；组织实施主管产业产品、绿色食品的质量监督、监测、认证和农业新品种的保护工作；组织协调种子、农药等农业投入品质量检测、鉴定；组织国内生产及进口种子、农药、有关肥料等产品的登记；负责农业机械化和农机安全监理及产品质量检测、鉴定和认证工作；组织、监督县内植物防疫、检疫工作，发布疫情并组织扑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（七）负责农作物种子、农药、肥料（复混肥）、农药转基因生物安全管理、农业植物新品种权保护、农业植物保护、农业野生植物保护、农业机械、新能源、农产品质量安全等方面的行政执法工作。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（八）建立并完善农业信息网络，负责重点发布有关农业生产的实用技术、供求情况等农业经济信息。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（九）负责农业涉外事务；组织农业对外经济技术交流与合作。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（十）负责机关及直属事业单位人事、的、劳动工资、机构编制、老干部、党群、系统工会、纪检监察等工作。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（十一）承办县政府交办的其他事项。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年度本部门决算汇编范围的独立核算单位（以下简称“单位”）共3个，具体情况如下：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大城县农业局(本级)</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行政单位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大城县林业局(本级)</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行政单位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85"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大城县畜牧兽医局(本级)</w:t>
            </w:r>
          </w:p>
        </w:tc>
        <w:tc>
          <w:tcPr>
            <w:tcW w:w="244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参公事业单位</w:t>
            </w:r>
          </w:p>
        </w:tc>
        <w:tc>
          <w:tcPr>
            <w:tcW w:w="266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1200" w:lineRule="exact"/>
        <w:rPr>
          <w:rFonts w:hAnsi="宋体" w:asciiTheme="minorEastAsia" w:eastAsiaTheme="minorEastAsia"/>
          <w:color w:val="000000" w:themeColor="text1"/>
          <w:sz w:val="44"/>
          <w:szCs w:val="44"/>
        </w:rPr>
      </w:pPr>
      <w:r>
        <w:rPr>
          <w:rFonts w:hint="eastAsia" w:hAnsi="宋体" w:asciiTheme="minorEastAsia" w:eastAsiaTheme="minorEastAsia"/>
          <w:color w:val="000000" w:themeColor="text1"/>
          <w:sz w:val="32"/>
          <w:szCs w:val="32"/>
        </w:rPr>
        <w:t xml:space="preserve">                    </w:t>
      </w:r>
      <w:r>
        <w:rPr>
          <w:rFonts w:hint="eastAsia" w:hAnsi="宋体" w:asciiTheme="minorEastAsia" w:eastAsiaTheme="minorEastAsia"/>
          <w:color w:val="000000" w:themeColor="text1"/>
          <w:sz w:val="44"/>
          <w:szCs w:val="44"/>
        </w:rPr>
        <w:t>（见附表）</w:t>
      </w:r>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 w:hAnsi="仿宋" w:eastAsia="仿宋" w:cs="DengXian-Regular"/>
          <w:sz w:val="32"/>
          <w:szCs w:val="32"/>
        </w:rPr>
      </w:pPr>
      <w:r>
        <w:rPr>
          <w:rFonts w:hint="eastAsia" w:ascii="仿宋_GB2312" w:hAnsi="仿宋_GB2312" w:eastAsia="仿宋_GB2312" w:cs="仿宋_GB2312"/>
          <w:sz w:val="32"/>
          <w:szCs w:val="32"/>
        </w:rPr>
        <w:t>本部门2018年度收入总计（含结转和结余）21732.24万元。与2017年度决算相比，收入增加3355.94万元，增长18.26%，主要是项目投资增加；本部门2018年度支出总计（含结转和结余）21732.24万元。与2017年度决算相比，支出增加3355.94万元，增长18.26%，主要是项目投资增加。</w:t>
      </w:r>
    </w:p>
    <w:p>
      <w:pPr>
        <w:pStyle w:val="3"/>
        <w:spacing w:before="0" w:after="0" w:line="580" w:lineRule="exact"/>
        <w:rPr>
          <w:rFonts w:ascii="黑体" w:eastAsia="黑体"/>
          <w:b w:val="0"/>
          <w:bCs w:val="0"/>
        </w:rPr>
      </w:pPr>
      <w:r>
        <w:rPr>
          <w:rFonts w:hint="eastAsia" w:cs="DengXian-Regular" w:asciiTheme="minorEastAsia" w:hAnsiTheme="minorEastAsia" w:eastAsiaTheme="minorEastAsia"/>
          <w:b w:val="0"/>
          <w:bCs w:val="0"/>
        </w:rPr>
        <w:t xml:space="preserve">    </w:t>
      </w: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本部门2018年度本年收入合计16760</w:t>
      </w:r>
      <w:r>
        <w:rPr>
          <w:rFonts w:hint="eastAsia" w:ascii="宋体" w:hAnsi="宋体" w:cs="宋体"/>
          <w:sz w:val="32"/>
          <w:szCs w:val="32"/>
        </w:rPr>
        <w:t>.92</w:t>
      </w:r>
      <w:r>
        <w:rPr>
          <w:rFonts w:hint="eastAsia" w:ascii="仿宋_GB2312" w:eastAsia="仿宋_GB2312" w:cs="DengXian-Regular"/>
          <w:sz w:val="32"/>
          <w:szCs w:val="32"/>
        </w:rPr>
        <w:t>万元，其中：财政拨款收入16760</w:t>
      </w:r>
      <w:r>
        <w:rPr>
          <w:rFonts w:hint="eastAsia" w:ascii="宋体" w:hAnsi="宋体" w:cs="宋体"/>
          <w:sz w:val="32"/>
          <w:szCs w:val="32"/>
        </w:rPr>
        <w:t>.92</w:t>
      </w:r>
      <w:r>
        <w:rPr>
          <w:rFonts w:hint="eastAsia" w:ascii="仿宋_GB2312" w:eastAsia="仿宋_GB2312" w:cs="DengXian-Regular"/>
          <w:sz w:val="32"/>
          <w:szCs w:val="32"/>
        </w:rPr>
        <w:t>万元，占100%；事业收入0万元，占0%；经营收入0万元，占0%；其他收入0万元，占0%。如图所示：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rPr>
          <w:rFonts w:ascii="黑体" w:eastAsia="黑体" w:hAnsiTheme="majorHAnsi" w:cstheme="majorBidi"/>
          <w:sz w:val="32"/>
          <w:szCs w:val="32"/>
        </w:rPr>
      </w:pPr>
    </w:p>
    <w:p>
      <w:r>
        <w:drawing>
          <wp:inline distT="0" distB="0" distL="0" distR="0">
            <wp:extent cx="5219700" cy="267652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本部门2018年度本年支出合计15828</w:t>
      </w:r>
      <w:r>
        <w:rPr>
          <w:rFonts w:hint="eastAsia" w:ascii="宋体" w:hAnsi="宋体" w:cs="宋体"/>
          <w:sz w:val="32"/>
          <w:szCs w:val="32"/>
        </w:rPr>
        <w:t>.98</w:t>
      </w:r>
      <w:r>
        <w:rPr>
          <w:rFonts w:hint="eastAsia" w:ascii="仿宋_GB2312" w:eastAsia="仿宋_GB2312" w:cs="DengXian-Regular"/>
          <w:sz w:val="32"/>
          <w:szCs w:val="32"/>
        </w:rPr>
        <w:t>万元，其中：基本支出2536</w:t>
      </w:r>
      <w:r>
        <w:rPr>
          <w:rFonts w:hint="eastAsia" w:ascii="宋体" w:hAnsi="宋体" w:cs="宋体"/>
          <w:sz w:val="32"/>
          <w:szCs w:val="32"/>
        </w:rPr>
        <w:t>.1</w:t>
      </w:r>
      <w:r>
        <w:rPr>
          <w:rFonts w:hint="eastAsia" w:ascii="宋体" w:hAnsi="宋体" w:cs="宋体"/>
          <w:sz w:val="32"/>
          <w:szCs w:val="32"/>
          <w:lang w:val="en-US" w:eastAsia="zh-CN"/>
        </w:rPr>
        <w:t>5</w:t>
      </w:r>
      <w:r>
        <w:rPr>
          <w:rFonts w:hint="eastAsia" w:ascii="仿宋_GB2312" w:eastAsia="仿宋_GB2312" w:cs="DengXian-Regular"/>
          <w:sz w:val="32"/>
          <w:szCs w:val="32"/>
        </w:rPr>
        <w:t>万元，占16</w:t>
      </w:r>
      <w:r>
        <w:rPr>
          <w:rFonts w:hint="eastAsia" w:ascii="宋体" w:hAnsi="宋体" w:cs="宋体"/>
          <w:sz w:val="32"/>
          <w:szCs w:val="32"/>
        </w:rPr>
        <w:t>.</w:t>
      </w:r>
      <w:r>
        <w:rPr>
          <w:rFonts w:hint="eastAsia" w:ascii="仿宋_GB2312" w:eastAsia="仿宋_GB2312" w:cs="DengXian-Regular"/>
          <w:sz w:val="32"/>
          <w:szCs w:val="32"/>
        </w:rPr>
        <w:t>02%；项目支出</w:t>
      </w:r>
      <w:r>
        <w:rPr>
          <w:rFonts w:hint="eastAsia" w:ascii="仿宋_GB2312" w:cs="DengXian-Regular" w:eastAsiaTheme="minorEastAsia"/>
          <w:sz w:val="32"/>
          <w:szCs w:val="32"/>
        </w:rPr>
        <w:t>132</w:t>
      </w:r>
      <w:r>
        <w:rPr>
          <w:rFonts w:hint="eastAsia" w:ascii="宋体" w:hAnsi="宋体" w:cs="宋体"/>
          <w:sz w:val="32"/>
          <w:szCs w:val="32"/>
        </w:rPr>
        <w:t>92.83</w:t>
      </w:r>
      <w:r>
        <w:rPr>
          <w:rFonts w:hint="eastAsia" w:ascii="仿宋_GB2312" w:eastAsia="仿宋_GB2312" w:cs="DengXian-Regular"/>
          <w:sz w:val="32"/>
          <w:szCs w:val="32"/>
        </w:rPr>
        <w:t>万元，占</w:t>
      </w:r>
      <w:r>
        <w:rPr>
          <w:rFonts w:hint="eastAsia" w:ascii="仿宋_GB2312" w:cs="DengXian-Regular" w:eastAsiaTheme="minorEastAsia"/>
          <w:sz w:val="32"/>
          <w:szCs w:val="32"/>
        </w:rPr>
        <w:t>83</w:t>
      </w:r>
      <w:r>
        <w:rPr>
          <w:rFonts w:hint="eastAsia" w:ascii="宋体" w:hAnsi="宋体" w:cs="宋体"/>
          <w:sz w:val="32"/>
          <w:szCs w:val="32"/>
        </w:rPr>
        <w:t>.98</w:t>
      </w:r>
      <w:r>
        <w:rPr>
          <w:rFonts w:hint="eastAsia" w:ascii="仿宋_GB2312" w:eastAsia="仿宋_GB2312" w:cs="DengXian-Regular"/>
          <w:sz w:val="32"/>
          <w:szCs w:val="32"/>
        </w:rPr>
        <w:t>%；经营支出0万元，占0%。如图所示：</w:t>
      </w:r>
    </w:p>
    <w:p>
      <w:pPr>
        <w:adjustRightInd w:val="0"/>
        <w:snapToGrid w:val="0"/>
        <w:spacing w:after="0" w:line="240" w:lineRule="auto"/>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240" w:lineRule="auto"/>
        <w:ind w:firstLine="640" w:firstLineChars="200"/>
        <w:rPr>
          <w:rFonts w:ascii="仿宋_GB2312" w:eastAsia="仿宋_GB2312" w:cs="DengXian-Regular"/>
          <w:sz w:val="32"/>
          <w:szCs w:val="32"/>
        </w:rPr>
      </w:pPr>
    </w:p>
    <w:p>
      <w:pPr>
        <w:adjustRightInd w:val="0"/>
        <w:snapToGrid w:val="0"/>
        <w:spacing w:after="0" w:line="240" w:lineRule="auto"/>
        <w:ind w:firstLine="640" w:firstLineChars="200"/>
        <w:rPr>
          <w:rFonts w:ascii="仿宋_GB2312" w:cs="DengXian-Regular" w:eastAsiaTheme="minorEastAsia"/>
          <w:sz w:val="32"/>
          <w:szCs w:val="32"/>
        </w:rPr>
      </w:pPr>
    </w:p>
    <w:p>
      <w:pPr>
        <w:adjustRightInd w:val="0"/>
        <w:snapToGrid w:val="0"/>
        <w:spacing w:after="0" w:line="240" w:lineRule="auto"/>
        <w:ind w:firstLine="640" w:firstLineChars="200"/>
        <w:rPr>
          <w:rFonts w:ascii="仿宋_GB2312" w:cs="DengXian-Regular" w:eastAsiaTheme="minorEastAsia"/>
          <w:sz w:val="32"/>
          <w:szCs w:val="32"/>
        </w:rPr>
      </w:pPr>
    </w:p>
    <w:p>
      <w:pPr>
        <w:adjustRightInd w:val="0"/>
        <w:snapToGrid w:val="0"/>
        <w:spacing w:after="0" w:line="240" w:lineRule="auto"/>
        <w:ind w:firstLine="640" w:firstLineChars="200"/>
        <w:rPr>
          <w:rFonts w:ascii="仿宋_GB2312" w:cs="DengXian-Regular" w:eastAsiaTheme="minorEastAsia"/>
          <w:sz w:val="32"/>
          <w:szCs w:val="32"/>
        </w:rPr>
      </w:pPr>
      <w:r>
        <w:rPr>
          <w:rFonts w:hint="eastAsia" w:ascii="仿宋_GB2312" w:cs="DengXian-Regular" w:eastAsiaTheme="minorEastAsia"/>
          <w:sz w:val="32"/>
          <w:szCs w:val="32"/>
        </w:rPr>
        <w:drawing>
          <wp:inline distT="0" distB="0" distL="0" distR="0">
            <wp:extent cx="5324475" cy="28575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adjustRightInd w:val="0"/>
        <w:snapToGrid w:val="0"/>
        <w:spacing w:after="0" w:line="240" w:lineRule="auto"/>
        <w:ind w:firstLine="640" w:firstLineChars="200"/>
        <w:rPr>
          <w:rFonts w:ascii="仿宋_GB2312" w:cs="DengXian-Regular" w:eastAsiaTheme="minorEastAsia"/>
          <w:sz w:val="32"/>
          <w:szCs w:val="32"/>
        </w:rPr>
      </w:pPr>
    </w:p>
    <w:p>
      <w:pPr>
        <w:pStyle w:val="3"/>
        <w:spacing w:before="0" w:after="0" w:line="240" w:lineRule="auto"/>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2"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color w:val="000000" w:themeColor="text1"/>
          <w:sz w:val="32"/>
          <w:szCs w:val="32"/>
        </w:rPr>
      </w:pPr>
      <w:r>
        <w:rPr>
          <w:rFonts w:hint="eastAsia" w:ascii="仿宋_GB2312" w:eastAsia="仿宋_GB2312" w:cs="DengXian-Regular"/>
          <w:sz w:val="32"/>
          <w:szCs w:val="32"/>
        </w:rPr>
        <w:t>本部门2018年度财政拨款本年收入</w:t>
      </w:r>
      <w:r>
        <w:rPr>
          <w:rFonts w:hint="eastAsia" w:ascii="仿宋_GB2312" w:cs="DengXian-Regular" w:eastAsiaTheme="minorEastAsia"/>
          <w:sz w:val="32"/>
          <w:szCs w:val="32"/>
        </w:rPr>
        <w:t>16760</w:t>
      </w:r>
      <w:r>
        <w:rPr>
          <w:rFonts w:hint="eastAsia" w:ascii="宋体" w:hAnsi="宋体" w:cs="宋体"/>
          <w:sz w:val="32"/>
          <w:szCs w:val="32"/>
        </w:rPr>
        <w:t>.92</w:t>
      </w:r>
      <w:r>
        <w:rPr>
          <w:rFonts w:hint="eastAsia" w:ascii="仿宋_GB2312" w:eastAsia="仿宋_GB2312" w:cs="DengXian-Regular"/>
          <w:sz w:val="32"/>
          <w:szCs w:val="32"/>
        </w:rPr>
        <w:t>万元,比2017</w:t>
      </w:r>
      <w:r>
        <w:rPr>
          <w:rFonts w:hint="eastAsia" w:ascii="仿宋_GB2312" w:eastAsia="仿宋_GB2312" w:cs="DengXian-Regular"/>
          <w:color w:val="000000" w:themeColor="text1"/>
          <w:sz w:val="32"/>
          <w:szCs w:val="32"/>
        </w:rPr>
        <w:t>年度增加</w:t>
      </w:r>
      <w:r>
        <w:rPr>
          <w:rFonts w:hint="eastAsia" w:ascii="宋体" w:hAnsi="宋体" w:cs="宋体"/>
          <w:color w:val="000000" w:themeColor="text1"/>
          <w:sz w:val="32"/>
          <w:szCs w:val="32"/>
        </w:rPr>
        <w:t>4241.06</w:t>
      </w:r>
      <w:r>
        <w:rPr>
          <w:rFonts w:hint="eastAsia" w:ascii="仿宋_GB2312" w:eastAsia="仿宋_GB2312" w:cs="DengXian-Regular"/>
          <w:color w:val="000000" w:themeColor="text1"/>
          <w:sz w:val="32"/>
          <w:szCs w:val="32"/>
        </w:rPr>
        <w:t>万元，增长</w:t>
      </w:r>
      <w:r>
        <w:rPr>
          <w:rFonts w:hint="eastAsia" w:ascii="仿宋_GB2312" w:cs="DengXian-Regular" w:eastAsiaTheme="minorEastAsia"/>
          <w:color w:val="000000" w:themeColor="text1"/>
          <w:sz w:val="32"/>
          <w:szCs w:val="32"/>
        </w:rPr>
        <w:t>33</w:t>
      </w:r>
      <w:r>
        <w:rPr>
          <w:rFonts w:hint="eastAsia" w:ascii="宋体" w:hAnsi="宋体" w:cs="宋体"/>
          <w:color w:val="000000" w:themeColor="text1"/>
          <w:sz w:val="32"/>
          <w:szCs w:val="32"/>
        </w:rPr>
        <w:t>.87</w:t>
      </w:r>
      <w:r>
        <w:rPr>
          <w:rFonts w:hint="eastAsia" w:ascii="仿宋_GB2312" w:eastAsia="仿宋_GB2312" w:cs="DengXian-Regular"/>
          <w:color w:val="000000" w:themeColor="text1"/>
          <w:sz w:val="32"/>
          <w:szCs w:val="32"/>
        </w:rPr>
        <w:t>%，主要是人员工资标准提高，农林水项目投资增加；本年支出</w:t>
      </w:r>
      <w:r>
        <w:rPr>
          <w:rFonts w:hint="eastAsia" w:ascii="仿宋_GB2312" w:cs="DengXian-Regular" w:eastAsiaTheme="minorEastAsia"/>
          <w:color w:val="000000" w:themeColor="text1"/>
          <w:sz w:val="32"/>
          <w:szCs w:val="32"/>
        </w:rPr>
        <w:t>15828</w:t>
      </w:r>
      <w:r>
        <w:rPr>
          <w:rFonts w:hint="eastAsia" w:ascii="宋体" w:hAnsi="宋体" w:cs="宋体"/>
          <w:color w:val="000000" w:themeColor="text1"/>
          <w:sz w:val="32"/>
          <w:szCs w:val="32"/>
        </w:rPr>
        <w:t>.98</w:t>
      </w:r>
      <w:r>
        <w:rPr>
          <w:rFonts w:hint="eastAsia" w:ascii="仿宋_GB2312" w:eastAsia="仿宋_GB2312" w:cs="DengXian-Regular"/>
          <w:color w:val="000000" w:themeColor="text1"/>
          <w:sz w:val="32"/>
          <w:szCs w:val="32"/>
        </w:rPr>
        <w:t>万元，增加</w:t>
      </w:r>
      <w:r>
        <w:rPr>
          <w:rFonts w:hint="eastAsia" w:ascii="仿宋_GB2312" w:cs="DengXian-Regular" w:eastAsiaTheme="minorEastAsia"/>
          <w:color w:val="000000" w:themeColor="text1"/>
          <w:sz w:val="32"/>
          <w:szCs w:val="32"/>
        </w:rPr>
        <w:t>25</w:t>
      </w:r>
      <w:r>
        <w:rPr>
          <w:rFonts w:hint="eastAsia" w:ascii="宋体" w:hAnsi="宋体" w:cs="宋体"/>
          <w:color w:val="000000" w:themeColor="text1"/>
          <w:sz w:val="32"/>
          <w:szCs w:val="32"/>
        </w:rPr>
        <w:t>91.99</w:t>
      </w:r>
      <w:r>
        <w:rPr>
          <w:rFonts w:hint="eastAsia" w:ascii="仿宋_GB2312" w:eastAsia="仿宋_GB2312" w:cs="DengXian-Regular"/>
          <w:color w:val="000000" w:themeColor="text1"/>
          <w:sz w:val="32"/>
          <w:szCs w:val="32"/>
        </w:rPr>
        <w:t>万元，增长</w:t>
      </w:r>
      <w:r>
        <w:rPr>
          <w:rFonts w:hint="eastAsia" w:ascii="仿宋_GB2312" w:cs="DengXian-Regular" w:eastAsiaTheme="minorEastAsia"/>
          <w:color w:val="000000" w:themeColor="text1"/>
          <w:sz w:val="32"/>
          <w:szCs w:val="32"/>
        </w:rPr>
        <w:t>1</w:t>
      </w:r>
      <w:r>
        <w:rPr>
          <w:rFonts w:hint="eastAsia" w:ascii="宋体" w:hAnsi="宋体" w:cs="宋体"/>
          <w:color w:val="000000" w:themeColor="text1"/>
          <w:sz w:val="32"/>
          <w:szCs w:val="32"/>
        </w:rPr>
        <w:t>9.58</w:t>
      </w:r>
      <w:r>
        <w:rPr>
          <w:rFonts w:hint="eastAsia" w:ascii="仿宋_GB2312" w:eastAsia="仿宋_GB2312" w:cs="DengXian-Regular"/>
          <w:color w:val="000000" w:themeColor="text1"/>
          <w:sz w:val="32"/>
          <w:szCs w:val="32"/>
        </w:rPr>
        <w:t>%，主要是人员工资标准提高，农林水项目投资增加。</w:t>
      </w:r>
    </w:p>
    <w:p>
      <w:pPr>
        <w:adjustRightInd w:val="0"/>
        <w:snapToGrid w:val="0"/>
        <w:spacing w:after="0" w:line="580" w:lineRule="exact"/>
        <w:ind w:firstLine="640" w:firstLineChars="200"/>
        <w:rPr>
          <w:rFonts w:ascii="仿宋_GB2312" w:eastAsia="仿宋_GB2312" w:cs="DengXian-Regular"/>
          <w:color w:val="000000" w:themeColor="text1"/>
          <w:sz w:val="32"/>
          <w:szCs w:val="32"/>
        </w:rPr>
      </w:pPr>
      <w:r>
        <w:rPr>
          <w:rFonts w:hint="eastAsia" w:ascii="仿宋_GB2312" w:eastAsia="仿宋_GB2312" w:cs="DengXian-Regular"/>
          <w:color w:val="000000" w:themeColor="text1"/>
          <w:sz w:val="32"/>
          <w:szCs w:val="32"/>
        </w:rPr>
        <w:t>其中：一般公共预算财政拨款本年收入</w:t>
      </w:r>
      <w:r>
        <w:rPr>
          <w:rFonts w:hint="eastAsia" w:ascii="仿宋_GB2312" w:cs="DengXian-Regular" w:eastAsiaTheme="minorEastAsia"/>
          <w:color w:val="000000" w:themeColor="text1"/>
          <w:sz w:val="32"/>
          <w:szCs w:val="32"/>
        </w:rPr>
        <w:t>152</w:t>
      </w:r>
      <w:r>
        <w:rPr>
          <w:rFonts w:hint="eastAsia" w:ascii="宋体" w:hAnsi="宋体" w:cs="宋体"/>
          <w:color w:val="000000" w:themeColor="text1"/>
          <w:sz w:val="32"/>
          <w:szCs w:val="32"/>
        </w:rPr>
        <w:t>41.70</w:t>
      </w:r>
      <w:r>
        <w:rPr>
          <w:rFonts w:hint="eastAsia" w:ascii="仿宋_GB2312" w:eastAsia="仿宋_GB2312" w:cs="DengXian-Regular"/>
          <w:color w:val="000000" w:themeColor="text1"/>
          <w:sz w:val="32"/>
          <w:szCs w:val="32"/>
        </w:rPr>
        <w:t>万元，比2017年度减少</w:t>
      </w:r>
      <w:r>
        <w:rPr>
          <w:rFonts w:hint="eastAsia" w:ascii="宋体" w:hAnsi="宋体" w:cs="宋体"/>
          <w:color w:val="000000" w:themeColor="text1"/>
          <w:sz w:val="32"/>
          <w:szCs w:val="32"/>
        </w:rPr>
        <w:t>931.82</w:t>
      </w:r>
      <w:r>
        <w:rPr>
          <w:rFonts w:hint="eastAsia" w:ascii="仿宋_GB2312" w:eastAsia="仿宋_GB2312" w:cs="DengXian-Regular"/>
          <w:color w:val="000000" w:themeColor="text1"/>
          <w:sz w:val="32"/>
          <w:szCs w:val="32"/>
        </w:rPr>
        <w:t>万元；主要是农林水项目投资减少；本年支出</w:t>
      </w:r>
      <w:r>
        <w:rPr>
          <w:rFonts w:hint="eastAsia" w:ascii="仿宋_GB2312" w:cs="DengXian-Regular" w:eastAsiaTheme="minorEastAsia"/>
          <w:color w:val="000000" w:themeColor="text1"/>
          <w:sz w:val="32"/>
          <w:szCs w:val="32"/>
        </w:rPr>
        <w:t>1</w:t>
      </w:r>
      <w:r>
        <w:rPr>
          <w:rFonts w:hint="eastAsia" w:ascii="宋体" w:hAnsi="宋体" w:cs="宋体"/>
          <w:color w:val="000000" w:themeColor="text1"/>
          <w:sz w:val="32"/>
          <w:szCs w:val="32"/>
        </w:rPr>
        <w:t>4346.66</w:t>
      </w:r>
      <w:r>
        <w:rPr>
          <w:rFonts w:hint="eastAsia" w:ascii="仿宋_GB2312" w:eastAsia="仿宋_GB2312" w:cs="DengXian-Regular"/>
          <w:color w:val="000000" w:themeColor="text1"/>
          <w:sz w:val="32"/>
          <w:szCs w:val="32"/>
        </w:rPr>
        <w:t>万元，比2017年度增加3312</w:t>
      </w:r>
      <w:r>
        <w:rPr>
          <w:rFonts w:hint="eastAsia" w:ascii="宋体" w:hAnsi="宋体" w:cs="宋体"/>
          <w:color w:val="000000" w:themeColor="text1"/>
          <w:sz w:val="32"/>
          <w:szCs w:val="32"/>
        </w:rPr>
        <w:t>.45</w:t>
      </w:r>
      <w:r>
        <w:rPr>
          <w:rFonts w:hint="eastAsia" w:ascii="仿宋_GB2312" w:eastAsia="仿宋_GB2312" w:cs="DengXian-Regular"/>
          <w:color w:val="000000" w:themeColor="text1"/>
          <w:sz w:val="32"/>
          <w:szCs w:val="32"/>
        </w:rPr>
        <w:t>万元，增长30</w:t>
      </w:r>
      <w:r>
        <w:rPr>
          <w:rFonts w:hint="eastAsia" w:ascii="宋体" w:hAnsi="宋体" w:cs="宋体"/>
          <w:color w:val="000000" w:themeColor="text1"/>
          <w:sz w:val="32"/>
          <w:szCs w:val="32"/>
        </w:rPr>
        <w:t>.</w:t>
      </w:r>
      <w:r>
        <w:rPr>
          <w:rFonts w:hint="eastAsia" w:ascii="仿宋_GB2312" w:eastAsia="仿宋_GB2312" w:cs="DengXian-Regular"/>
          <w:color w:val="000000" w:themeColor="text1"/>
          <w:sz w:val="32"/>
          <w:szCs w:val="32"/>
        </w:rPr>
        <w:t>02%，主要是人员工资标准提高，农林水项目投资增加。政府性基金预算财政拨款本年收入151</w:t>
      </w:r>
      <w:r>
        <w:rPr>
          <w:rFonts w:hint="eastAsia" w:ascii="宋体" w:hAnsi="宋体" w:cs="宋体"/>
          <w:color w:val="000000" w:themeColor="text1"/>
          <w:sz w:val="32"/>
          <w:szCs w:val="32"/>
        </w:rPr>
        <w:t>9.</w:t>
      </w:r>
      <w:r>
        <w:rPr>
          <w:rFonts w:hint="eastAsia" w:ascii="仿宋_GB2312" w:eastAsia="仿宋_GB2312" w:cs="DengXian-Regular"/>
          <w:color w:val="000000" w:themeColor="text1"/>
          <w:sz w:val="32"/>
          <w:szCs w:val="32"/>
        </w:rPr>
        <w:t>22万元，比2017年度减少683</w:t>
      </w:r>
      <w:r>
        <w:rPr>
          <w:rFonts w:hint="eastAsia" w:ascii="宋体" w:hAnsi="宋体" w:cs="宋体"/>
          <w:color w:val="000000" w:themeColor="text1"/>
          <w:sz w:val="32"/>
          <w:szCs w:val="32"/>
        </w:rPr>
        <w:t>.</w:t>
      </w:r>
      <w:r>
        <w:rPr>
          <w:rFonts w:hint="eastAsia" w:ascii="仿宋_GB2312" w:eastAsia="仿宋_GB2312" w:cs="DengXian-Regular"/>
          <w:color w:val="000000" w:themeColor="text1"/>
          <w:sz w:val="32"/>
          <w:szCs w:val="32"/>
        </w:rPr>
        <w:t>56万元，减少31</w:t>
      </w:r>
      <w:r>
        <w:rPr>
          <w:rFonts w:hint="eastAsia" w:ascii="宋体" w:hAnsi="宋体" w:cs="宋体"/>
          <w:color w:val="000000" w:themeColor="text1"/>
          <w:sz w:val="32"/>
          <w:szCs w:val="32"/>
        </w:rPr>
        <w:t>.0</w:t>
      </w:r>
      <w:r>
        <w:rPr>
          <w:rFonts w:hint="eastAsia" w:ascii="仿宋_GB2312" w:eastAsia="仿宋_GB2312" w:cs="DengXian-Regular"/>
          <w:color w:val="000000" w:themeColor="text1"/>
          <w:sz w:val="32"/>
          <w:szCs w:val="32"/>
        </w:rPr>
        <w:t>3%，主要是项目投资减少；本年支出</w:t>
      </w:r>
      <w:r>
        <w:rPr>
          <w:rFonts w:hint="eastAsia" w:ascii="仿宋_GB2312" w:cs="DengXian-Regular" w:eastAsiaTheme="minorEastAsia"/>
          <w:color w:val="000000" w:themeColor="text1"/>
          <w:sz w:val="32"/>
          <w:szCs w:val="32"/>
        </w:rPr>
        <w:t>1</w:t>
      </w:r>
      <w:r>
        <w:rPr>
          <w:rFonts w:hint="eastAsia" w:ascii="宋体" w:hAnsi="宋体" w:cs="宋体"/>
          <w:color w:val="000000" w:themeColor="text1"/>
          <w:sz w:val="32"/>
          <w:szCs w:val="32"/>
        </w:rPr>
        <w:t>482.32</w:t>
      </w:r>
      <w:r>
        <w:rPr>
          <w:rFonts w:hint="eastAsia" w:ascii="仿宋_GB2312" w:eastAsia="仿宋_GB2312" w:cs="DengXian-Regular"/>
          <w:color w:val="000000" w:themeColor="text1"/>
          <w:sz w:val="32"/>
          <w:szCs w:val="32"/>
        </w:rPr>
        <w:t>万元，比2017年度减少720</w:t>
      </w:r>
      <w:r>
        <w:rPr>
          <w:rFonts w:hint="eastAsia" w:ascii="宋体" w:hAnsi="宋体" w:cs="宋体"/>
          <w:color w:val="000000" w:themeColor="text1"/>
          <w:sz w:val="32"/>
          <w:szCs w:val="32"/>
        </w:rPr>
        <w:t>.46</w:t>
      </w:r>
      <w:r>
        <w:rPr>
          <w:rFonts w:hint="eastAsia" w:ascii="仿宋_GB2312" w:eastAsia="仿宋_GB2312" w:cs="DengXian-Regular"/>
          <w:color w:val="000000" w:themeColor="text1"/>
          <w:sz w:val="32"/>
          <w:szCs w:val="32"/>
        </w:rPr>
        <w:t>万元，减少32</w:t>
      </w:r>
      <w:r>
        <w:rPr>
          <w:rFonts w:hint="eastAsia" w:ascii="宋体" w:hAnsi="宋体" w:cs="宋体"/>
          <w:color w:val="000000" w:themeColor="text1"/>
          <w:sz w:val="32"/>
          <w:szCs w:val="32"/>
        </w:rPr>
        <w:t>.</w:t>
      </w:r>
      <w:r>
        <w:rPr>
          <w:rFonts w:hint="eastAsia" w:ascii="仿宋_GB2312" w:eastAsia="仿宋_GB2312" w:cs="DengXian-Regular"/>
          <w:color w:val="000000" w:themeColor="text1"/>
          <w:sz w:val="32"/>
          <w:szCs w:val="32"/>
        </w:rPr>
        <w:t>71%，主要是项目投资减少。</w:t>
      </w:r>
    </w:p>
    <w:p>
      <w:pPr>
        <w:adjustRightInd w:val="0"/>
        <w:snapToGrid w:val="0"/>
        <w:spacing w:after="0" w:line="240" w:lineRule="auto"/>
        <w:jc w:val="center"/>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240" w:lineRule="auto"/>
        <w:ind w:firstLine="640" w:firstLineChars="200"/>
        <w:rPr>
          <w:rFonts w:ascii="仿宋_GB2312" w:eastAsia="仿宋_GB2312" w:cs="DengXian-Regular"/>
          <w:sz w:val="32"/>
          <w:szCs w:val="32"/>
        </w:rPr>
      </w:pPr>
    </w:p>
    <w:p>
      <w:pPr>
        <w:adjustRightInd w:val="0"/>
        <w:snapToGrid w:val="0"/>
        <w:spacing w:after="0" w:line="240" w:lineRule="auto"/>
        <w:ind w:firstLine="640" w:firstLineChars="200"/>
        <w:rPr>
          <w:rFonts w:ascii="仿宋_GB2312" w:eastAsia="仿宋_GB2312" w:cs="DengXian-Regular"/>
          <w:sz w:val="32"/>
          <w:szCs w:val="32"/>
        </w:rPr>
      </w:pPr>
    </w:p>
    <w:p>
      <w:pPr>
        <w:adjustRightInd w:val="0"/>
        <w:snapToGrid w:val="0"/>
        <w:spacing w:after="0" w:line="240" w:lineRule="auto"/>
        <w:ind w:firstLine="640" w:firstLineChars="200"/>
        <w:rPr>
          <w:rFonts w:ascii="仿宋_GB2312" w:eastAsia="仿宋_GB2312" w:cs="DengXian-Regular"/>
          <w:sz w:val="32"/>
          <w:szCs w:val="32"/>
        </w:rPr>
      </w:pPr>
      <w:r>
        <w:rPr>
          <w:rFonts w:ascii="仿宋_GB2312" w:eastAsia="仿宋_GB2312" w:cs="DengXian-Regular"/>
          <w:sz w:val="32"/>
          <w:szCs w:val="32"/>
        </w:rPr>
        <w:drawing>
          <wp:inline distT="0" distB="0" distL="0" distR="0">
            <wp:extent cx="5486400" cy="32004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after="0" w:line="240" w:lineRule="auto"/>
        <w:ind w:firstLine="642" w:firstLineChars="200"/>
        <w:rPr>
          <w:rFonts w:ascii="仿宋_GB2312" w:eastAsia="仿宋_GB2312" w:cs="DengXian-Regular"/>
          <w:sz w:val="32"/>
          <w:szCs w:val="32"/>
          <w:highlight w:val="yellow"/>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color w:val="000000" w:themeColor="text1"/>
          <w:sz w:val="32"/>
          <w:szCs w:val="32"/>
        </w:rPr>
      </w:pPr>
      <w:r>
        <w:rPr>
          <w:rFonts w:hint="eastAsia" w:ascii="仿宋_GB2312" w:eastAsia="仿宋_GB2312" w:cs="DengXian-Regular"/>
          <w:sz w:val="32"/>
          <w:szCs w:val="32"/>
        </w:rPr>
        <w:t>本部门2018年度财政拨款本年收入</w:t>
      </w:r>
      <w:r>
        <w:rPr>
          <w:rFonts w:hint="eastAsia" w:ascii="仿宋_GB2312" w:cs="DengXian-Regular" w:eastAsiaTheme="minorEastAsia"/>
          <w:sz w:val="32"/>
          <w:szCs w:val="32"/>
        </w:rPr>
        <w:t>1676</w:t>
      </w:r>
      <w:r>
        <w:rPr>
          <w:rFonts w:hint="eastAsia" w:ascii="宋体" w:hAnsi="宋体" w:cs="宋体"/>
          <w:sz w:val="32"/>
          <w:szCs w:val="32"/>
        </w:rPr>
        <w:t>0.92</w:t>
      </w:r>
      <w:r>
        <w:rPr>
          <w:rFonts w:hint="eastAsia" w:ascii="仿宋_GB2312" w:eastAsia="仿宋_GB2312" w:cs="DengXian-Regular"/>
          <w:sz w:val="32"/>
          <w:szCs w:val="32"/>
        </w:rPr>
        <w:t>万元，完成年初预算的138</w:t>
      </w:r>
      <w:r>
        <w:rPr>
          <w:rFonts w:hint="eastAsia" w:ascii="宋体" w:hAnsi="宋体" w:cs="宋体"/>
          <w:sz w:val="32"/>
          <w:szCs w:val="32"/>
        </w:rPr>
        <w:t>.</w:t>
      </w:r>
      <w:r>
        <w:rPr>
          <w:rFonts w:hint="eastAsia" w:ascii="仿宋_GB2312" w:eastAsia="仿宋_GB2312" w:cs="DengXian-Regular"/>
          <w:sz w:val="32"/>
          <w:szCs w:val="32"/>
        </w:rPr>
        <w:t>62%,比年初预算增加</w:t>
      </w:r>
      <w:r>
        <w:rPr>
          <w:rFonts w:hint="eastAsia" w:ascii="宋体" w:hAnsi="宋体" w:cs="宋体"/>
          <w:sz w:val="32"/>
          <w:szCs w:val="32"/>
        </w:rPr>
        <w:t>4669.35</w:t>
      </w:r>
      <w:r>
        <w:rPr>
          <w:rFonts w:hint="eastAsia" w:ascii="仿宋_GB2312" w:eastAsia="仿宋_GB2312" w:cs="DengXian-Regular"/>
          <w:sz w:val="32"/>
          <w:szCs w:val="32"/>
        </w:rPr>
        <w:t>万元，决算数大于预算数主要是</w:t>
      </w:r>
      <w:r>
        <w:rPr>
          <w:rFonts w:hint="eastAsia" w:ascii="仿宋_GB2312" w:eastAsia="仿宋_GB2312" w:cs="DengXian-Regular"/>
          <w:color w:val="000000" w:themeColor="text1"/>
          <w:sz w:val="32"/>
          <w:szCs w:val="32"/>
        </w:rPr>
        <w:t>上级下达项目资金收入增加；</w:t>
      </w:r>
      <w:r>
        <w:rPr>
          <w:rFonts w:hint="eastAsia" w:ascii="仿宋_GB2312" w:eastAsia="仿宋_GB2312" w:cs="DengXian-Regular"/>
          <w:sz w:val="32"/>
          <w:szCs w:val="32"/>
        </w:rPr>
        <w:t>本年支出</w:t>
      </w:r>
      <w:r>
        <w:rPr>
          <w:rFonts w:hint="eastAsia" w:ascii="仿宋_GB2312" w:cs="DengXian-Regular" w:eastAsiaTheme="minorEastAsia"/>
          <w:sz w:val="32"/>
          <w:szCs w:val="32"/>
        </w:rPr>
        <w:t>15828</w:t>
      </w:r>
      <w:r>
        <w:rPr>
          <w:rFonts w:hint="eastAsia" w:ascii="宋体" w:hAnsi="宋体" w:cs="宋体"/>
          <w:sz w:val="32"/>
          <w:szCs w:val="32"/>
        </w:rPr>
        <w:t>.98</w:t>
      </w:r>
      <w:r>
        <w:rPr>
          <w:rFonts w:hint="eastAsia" w:ascii="仿宋_GB2312" w:eastAsia="仿宋_GB2312" w:cs="DengXian-Regular"/>
          <w:sz w:val="32"/>
          <w:szCs w:val="32"/>
        </w:rPr>
        <w:t>万元，完成年初预算的130</w:t>
      </w:r>
      <w:r>
        <w:rPr>
          <w:rFonts w:hint="eastAsia" w:ascii="宋体" w:hAnsi="宋体" w:cs="宋体"/>
          <w:sz w:val="32"/>
          <w:szCs w:val="32"/>
        </w:rPr>
        <w:t>.9</w:t>
      </w:r>
      <w:r>
        <w:rPr>
          <w:rFonts w:hint="eastAsia" w:ascii="仿宋_GB2312" w:eastAsia="仿宋_GB2312" w:cs="DengXian-Regular"/>
          <w:sz w:val="32"/>
          <w:szCs w:val="32"/>
        </w:rPr>
        <w:t>1%,比年初预算增加3737</w:t>
      </w:r>
      <w:r>
        <w:rPr>
          <w:rFonts w:hint="eastAsia" w:ascii="宋体" w:hAnsi="宋体" w:cs="宋体"/>
          <w:sz w:val="32"/>
          <w:szCs w:val="32"/>
        </w:rPr>
        <w:t>.4</w:t>
      </w:r>
      <w:r>
        <w:rPr>
          <w:rFonts w:hint="eastAsia" w:ascii="仿宋_GB2312" w:eastAsia="仿宋_GB2312" w:cs="DengXian-Regular"/>
          <w:sz w:val="32"/>
          <w:szCs w:val="32"/>
        </w:rPr>
        <w:t>1万元，决</w:t>
      </w:r>
      <w:r>
        <w:rPr>
          <w:rFonts w:hint="eastAsia" w:ascii="仿宋_GB2312" w:eastAsia="仿宋_GB2312" w:cs="DengXian-Regular"/>
          <w:color w:val="000000" w:themeColor="text1"/>
          <w:sz w:val="32"/>
          <w:szCs w:val="32"/>
        </w:rPr>
        <w:t>算数大于预算数主要是上级下达项目资金支出增加。</w:t>
      </w:r>
    </w:p>
    <w:p>
      <w:pPr>
        <w:adjustRightInd w:val="0"/>
        <w:snapToGrid w:val="0"/>
        <w:spacing w:after="0" w:line="580" w:lineRule="exact"/>
        <w:ind w:firstLine="640" w:firstLineChars="200"/>
        <w:rPr>
          <w:rFonts w:ascii="仿宋_GB2312" w:eastAsia="仿宋_GB2312" w:cs="DengXian-Regular"/>
          <w:color w:val="000000" w:themeColor="text1"/>
          <w:sz w:val="32"/>
          <w:szCs w:val="32"/>
        </w:rPr>
      </w:pPr>
      <w:r>
        <w:rPr>
          <w:rFonts w:hint="eastAsia" w:ascii="仿宋_GB2312" w:eastAsia="仿宋_GB2312" w:cs="DengXian-Regular"/>
          <w:color w:val="000000" w:themeColor="text1"/>
          <w:sz w:val="32"/>
          <w:szCs w:val="32"/>
        </w:rPr>
        <w:t>其中，一般公共预算财政拨款本年收入完成年初预算1</w:t>
      </w:r>
      <w:r>
        <w:rPr>
          <w:rFonts w:hint="eastAsia" w:ascii="宋体" w:hAnsi="宋体" w:cs="宋体"/>
          <w:color w:val="000000" w:themeColor="text1"/>
          <w:sz w:val="32"/>
          <w:szCs w:val="32"/>
        </w:rPr>
        <w:t>4</w:t>
      </w:r>
      <w:r>
        <w:rPr>
          <w:rFonts w:hint="eastAsia" w:ascii="仿宋_GB2312" w:eastAsia="仿宋_GB2312" w:cs="DengXian-Regular"/>
          <w:color w:val="000000" w:themeColor="text1"/>
          <w:sz w:val="32"/>
          <w:szCs w:val="32"/>
        </w:rPr>
        <w:t>1</w:t>
      </w:r>
      <w:r>
        <w:rPr>
          <w:rFonts w:hint="eastAsia" w:ascii="宋体" w:hAnsi="宋体" w:cs="宋体"/>
          <w:color w:val="000000" w:themeColor="text1"/>
          <w:sz w:val="32"/>
          <w:szCs w:val="32"/>
        </w:rPr>
        <w:t>.</w:t>
      </w:r>
      <w:r>
        <w:rPr>
          <w:rFonts w:hint="eastAsia" w:ascii="仿宋_GB2312" w:eastAsia="仿宋_GB2312" w:cs="DengXian-Regular"/>
          <w:color w:val="000000" w:themeColor="text1"/>
          <w:sz w:val="32"/>
          <w:szCs w:val="32"/>
        </w:rPr>
        <w:t>36%，比年初预算增加</w:t>
      </w:r>
      <w:r>
        <w:rPr>
          <w:rFonts w:hint="eastAsia" w:ascii="宋体" w:hAnsi="宋体" w:cs="宋体"/>
          <w:color w:val="000000" w:themeColor="text1"/>
          <w:sz w:val="32"/>
          <w:szCs w:val="32"/>
        </w:rPr>
        <w:t>4459.44</w:t>
      </w:r>
      <w:r>
        <w:rPr>
          <w:rFonts w:hint="eastAsia" w:ascii="仿宋_GB2312" w:eastAsia="仿宋_GB2312" w:cs="DengXian-Regular"/>
          <w:color w:val="000000" w:themeColor="text1"/>
          <w:sz w:val="32"/>
          <w:szCs w:val="32"/>
        </w:rPr>
        <w:t>万元，决算数大于预算数主要是人员工资标准增加，上级下达项目资金收入增加；支出完成年初预算133</w:t>
      </w:r>
      <w:r>
        <w:rPr>
          <w:rFonts w:hint="eastAsia" w:ascii="宋体" w:hAnsi="宋体" w:cs="宋体"/>
          <w:color w:val="000000" w:themeColor="text1"/>
          <w:sz w:val="32"/>
          <w:szCs w:val="32"/>
        </w:rPr>
        <w:t>.</w:t>
      </w:r>
      <w:r>
        <w:rPr>
          <w:rFonts w:hint="eastAsia" w:ascii="仿宋_GB2312" w:eastAsia="仿宋_GB2312" w:cs="DengXian-Regular"/>
          <w:color w:val="000000" w:themeColor="text1"/>
          <w:sz w:val="32"/>
          <w:szCs w:val="32"/>
        </w:rPr>
        <w:t>06%，比年初预算增加356</w:t>
      </w:r>
      <w:r>
        <w:rPr>
          <w:rFonts w:hint="eastAsia" w:ascii="宋体" w:hAnsi="宋体" w:cs="宋体"/>
          <w:color w:val="000000" w:themeColor="text1"/>
          <w:sz w:val="32"/>
          <w:szCs w:val="32"/>
        </w:rPr>
        <w:t>4.</w:t>
      </w:r>
      <w:r>
        <w:rPr>
          <w:rFonts w:hint="eastAsia" w:ascii="仿宋_GB2312" w:eastAsia="仿宋_GB2312" w:cs="DengXian-Regular"/>
          <w:color w:val="000000" w:themeColor="text1"/>
          <w:sz w:val="32"/>
          <w:szCs w:val="32"/>
        </w:rPr>
        <w:t>6万元，决算数大于预算数主要是人员工资标准增加，上级下达项目资金收入增加。政府性基金预算财政拨款本年收入完成年初预算116</w:t>
      </w:r>
      <w:r>
        <w:rPr>
          <w:rFonts w:hint="eastAsia" w:ascii="宋体" w:hAnsi="宋体" w:cs="宋体"/>
          <w:color w:val="000000" w:themeColor="text1"/>
          <w:sz w:val="32"/>
          <w:szCs w:val="32"/>
        </w:rPr>
        <w:t>.</w:t>
      </w:r>
      <w:r>
        <w:rPr>
          <w:rFonts w:hint="eastAsia" w:ascii="仿宋_GB2312" w:eastAsia="仿宋_GB2312" w:cs="DengXian-Regular"/>
          <w:color w:val="000000" w:themeColor="text1"/>
          <w:sz w:val="32"/>
          <w:szCs w:val="32"/>
        </w:rPr>
        <w:t>03%，比年初预算增加20</w:t>
      </w:r>
      <w:r>
        <w:rPr>
          <w:rFonts w:hint="eastAsia" w:ascii="宋体" w:hAnsi="宋体" w:cs="宋体"/>
          <w:color w:val="000000" w:themeColor="text1"/>
          <w:sz w:val="32"/>
          <w:szCs w:val="32"/>
        </w:rPr>
        <w:t>9.9</w:t>
      </w:r>
      <w:r>
        <w:rPr>
          <w:rFonts w:hint="eastAsia" w:ascii="仿宋_GB2312" w:eastAsia="仿宋_GB2312" w:cs="DengXian-Regular"/>
          <w:color w:val="000000" w:themeColor="text1"/>
          <w:sz w:val="32"/>
          <w:szCs w:val="32"/>
        </w:rPr>
        <w:t>1万元，决算数大于预算数主要是上级下达项目资金收入增加；支出完成年初预算113</w:t>
      </w:r>
      <w:r>
        <w:rPr>
          <w:rFonts w:hint="eastAsia" w:ascii="宋体" w:hAnsi="宋体" w:cs="宋体"/>
          <w:color w:val="000000" w:themeColor="text1"/>
          <w:sz w:val="32"/>
          <w:szCs w:val="32"/>
        </w:rPr>
        <w:t>.</w:t>
      </w:r>
      <w:r>
        <w:rPr>
          <w:rFonts w:hint="eastAsia" w:ascii="仿宋_GB2312" w:eastAsia="仿宋_GB2312" w:cs="DengXian-Regular"/>
          <w:color w:val="000000" w:themeColor="text1"/>
          <w:sz w:val="32"/>
          <w:szCs w:val="32"/>
        </w:rPr>
        <w:t>21%，比年初预算增加173</w:t>
      </w:r>
      <w:r>
        <w:rPr>
          <w:rFonts w:hint="eastAsia" w:ascii="宋体" w:hAnsi="宋体" w:cs="宋体"/>
          <w:color w:val="000000" w:themeColor="text1"/>
          <w:sz w:val="32"/>
          <w:szCs w:val="32"/>
        </w:rPr>
        <w:t>.</w:t>
      </w:r>
      <w:r>
        <w:rPr>
          <w:rFonts w:hint="eastAsia" w:ascii="仿宋_GB2312" w:eastAsia="仿宋_GB2312" w:cs="DengXian-Regular"/>
          <w:color w:val="000000" w:themeColor="text1"/>
          <w:sz w:val="32"/>
          <w:szCs w:val="32"/>
        </w:rPr>
        <w:t>01万元，决算数大于预算数主要是上级下达项目资金收入增加。</w:t>
      </w:r>
    </w:p>
    <w:p>
      <w:pPr>
        <w:adjustRightInd w:val="0"/>
        <w:snapToGrid w:val="0"/>
        <w:spacing w:after="0" w:line="240" w:lineRule="auto"/>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240" w:lineRule="auto"/>
        <w:rPr>
          <w:rFonts w:ascii="仿宋_GB2312" w:cs="DengXian-Regular" w:eastAsiaTheme="minorEastAsia"/>
          <w:sz w:val="32"/>
          <w:szCs w:val="32"/>
          <w:highlight w:val="yellow"/>
        </w:rPr>
      </w:pPr>
    </w:p>
    <w:p>
      <w:pPr>
        <w:adjustRightInd w:val="0"/>
        <w:snapToGrid w:val="0"/>
        <w:spacing w:after="0" w:line="240" w:lineRule="auto"/>
        <w:rPr>
          <w:rFonts w:ascii="仿宋_GB2312" w:cs="DengXian-Regular" w:eastAsiaTheme="minorEastAsia"/>
          <w:sz w:val="32"/>
          <w:szCs w:val="32"/>
          <w:highlight w:val="yellow"/>
        </w:rPr>
      </w:pPr>
      <w:r>
        <w:rPr>
          <w:rFonts w:ascii="仿宋_GB2312" w:eastAsia="仿宋_GB2312" w:cs="DengXian-Regular"/>
          <w:sz w:val="32"/>
          <w:szCs w:val="32"/>
        </w:rPr>
        <w:drawing>
          <wp:inline distT="0" distB="0" distL="0" distR="0">
            <wp:extent cx="5486400" cy="32004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adjustRightInd w:val="0"/>
        <w:snapToGrid w:val="0"/>
        <w:spacing w:after="0" w:line="240" w:lineRule="auto"/>
        <w:rPr>
          <w:rFonts w:ascii="仿宋_GB2312" w:cs="DengXian-Regular" w:eastAsiaTheme="minorEastAsia"/>
          <w:sz w:val="32"/>
          <w:szCs w:val="32"/>
          <w:highlight w:val="yellow"/>
        </w:rPr>
      </w:pPr>
    </w:p>
    <w:p>
      <w:pPr>
        <w:numPr>
          <w:ilvl w:val="0"/>
          <w:numId w:val="1"/>
        </w:numPr>
        <w:adjustRightInd w:val="0"/>
        <w:snapToGrid w:val="0"/>
        <w:spacing w:after="0" w:line="240" w:lineRule="auto"/>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年度财政拨款支出15828</w:t>
      </w:r>
      <w:r>
        <w:rPr>
          <w:rFonts w:hint="eastAsia" w:ascii="宋体" w:hAnsi="宋体" w:cs="宋体"/>
          <w:sz w:val="32"/>
          <w:szCs w:val="32"/>
        </w:rPr>
        <w:t>.9</w:t>
      </w:r>
      <w:r>
        <w:rPr>
          <w:rFonts w:hint="eastAsia" w:ascii="仿宋_GB2312" w:eastAsia="仿宋_GB2312" w:cs="DengXian-Regular"/>
          <w:sz w:val="32"/>
          <w:szCs w:val="32"/>
        </w:rPr>
        <w:t>8万元，主要用于以下方面：科学技术（类）支出77万元，占 0</w:t>
      </w:r>
      <w:r>
        <w:rPr>
          <w:rFonts w:hint="eastAsia" w:ascii="宋体" w:hAnsi="宋体" w:cs="宋体"/>
          <w:sz w:val="32"/>
          <w:szCs w:val="32"/>
        </w:rPr>
        <w:t>.49</w:t>
      </w:r>
      <w:r>
        <w:rPr>
          <w:rFonts w:hint="eastAsia" w:ascii="仿宋_GB2312" w:eastAsia="仿宋_GB2312" w:cs="DengXian-Regular"/>
          <w:sz w:val="32"/>
          <w:szCs w:val="32"/>
        </w:rPr>
        <w:t>%；社会保障和就业（类）支出 1</w:t>
      </w:r>
      <w:r>
        <w:rPr>
          <w:rFonts w:hint="eastAsia" w:ascii="宋体" w:hAnsi="宋体" w:cs="宋体"/>
          <w:sz w:val="32"/>
          <w:szCs w:val="32"/>
        </w:rPr>
        <w:t>4</w:t>
      </w:r>
      <w:r>
        <w:rPr>
          <w:rFonts w:hint="eastAsia" w:ascii="仿宋_GB2312" w:eastAsia="仿宋_GB2312" w:cs="DengXian-Regular"/>
          <w:sz w:val="32"/>
          <w:szCs w:val="32"/>
        </w:rPr>
        <w:t>8</w:t>
      </w:r>
      <w:r>
        <w:rPr>
          <w:rFonts w:hint="eastAsia" w:ascii="宋体" w:hAnsi="宋体" w:cs="宋体"/>
          <w:sz w:val="32"/>
          <w:szCs w:val="32"/>
        </w:rPr>
        <w:t>.</w:t>
      </w:r>
      <w:r>
        <w:rPr>
          <w:rFonts w:hint="eastAsia" w:ascii="仿宋_GB2312" w:eastAsia="仿宋_GB2312" w:cs="DengXian-Regular"/>
          <w:sz w:val="32"/>
          <w:szCs w:val="32"/>
        </w:rPr>
        <w:t>77万元，占0</w:t>
      </w:r>
      <w:r>
        <w:rPr>
          <w:rFonts w:hint="eastAsia" w:ascii="宋体" w:hAnsi="宋体" w:cs="宋体"/>
          <w:sz w:val="32"/>
          <w:szCs w:val="32"/>
        </w:rPr>
        <w:t>.94</w:t>
      </w:r>
      <w:r>
        <w:rPr>
          <w:rFonts w:hint="eastAsia" w:ascii="仿宋_GB2312" w:eastAsia="仿宋_GB2312" w:cs="DengXian-Regular"/>
          <w:sz w:val="32"/>
          <w:szCs w:val="32"/>
        </w:rPr>
        <w:t>%；医疗卫生与计划生育(类）支出73</w:t>
      </w:r>
      <w:r>
        <w:rPr>
          <w:rFonts w:hint="eastAsia" w:ascii="宋体" w:hAnsi="宋体" w:cs="宋体"/>
          <w:sz w:val="32"/>
          <w:szCs w:val="32"/>
        </w:rPr>
        <w:t>.4</w:t>
      </w:r>
      <w:r>
        <w:rPr>
          <w:rFonts w:hint="eastAsia" w:ascii="仿宋_GB2312" w:eastAsia="仿宋_GB2312" w:cs="DengXian-Regular"/>
          <w:sz w:val="32"/>
          <w:szCs w:val="32"/>
        </w:rPr>
        <w:t>万元，占0</w:t>
      </w:r>
      <w:r>
        <w:rPr>
          <w:rFonts w:hint="eastAsia" w:ascii="宋体" w:hAnsi="宋体" w:cs="宋体"/>
          <w:sz w:val="32"/>
          <w:szCs w:val="32"/>
        </w:rPr>
        <w:t>.4</w:t>
      </w:r>
      <w:r>
        <w:rPr>
          <w:rFonts w:hint="eastAsia" w:ascii="仿宋_GB2312" w:eastAsia="仿宋_GB2312" w:cs="DengXian-Regular"/>
          <w:sz w:val="32"/>
          <w:szCs w:val="32"/>
        </w:rPr>
        <w:t>6%；节能环保（类）支出</w:t>
      </w:r>
      <w:r>
        <w:rPr>
          <w:rFonts w:hint="eastAsia" w:ascii="宋体" w:hAnsi="宋体" w:cs="宋体"/>
          <w:sz w:val="32"/>
          <w:szCs w:val="32"/>
        </w:rPr>
        <w:t>9</w:t>
      </w:r>
      <w:r>
        <w:rPr>
          <w:rFonts w:hint="eastAsia" w:ascii="仿宋_GB2312" w:eastAsia="仿宋_GB2312" w:cs="DengXian-Regular"/>
          <w:sz w:val="32"/>
          <w:szCs w:val="32"/>
        </w:rPr>
        <w:t>2</w:t>
      </w:r>
      <w:r>
        <w:rPr>
          <w:rFonts w:hint="eastAsia" w:ascii="宋体" w:hAnsi="宋体" w:cs="宋体"/>
          <w:sz w:val="32"/>
          <w:szCs w:val="32"/>
        </w:rPr>
        <w:t>9.</w:t>
      </w:r>
      <w:r>
        <w:rPr>
          <w:rFonts w:hint="eastAsia" w:ascii="仿宋_GB2312" w:eastAsia="仿宋_GB2312" w:cs="DengXian-Regular"/>
          <w:sz w:val="32"/>
          <w:szCs w:val="32"/>
        </w:rPr>
        <w:t>52万元，占5</w:t>
      </w:r>
      <w:r>
        <w:rPr>
          <w:rFonts w:hint="eastAsia" w:ascii="宋体" w:hAnsi="宋体" w:cs="宋体"/>
          <w:sz w:val="32"/>
          <w:szCs w:val="32"/>
        </w:rPr>
        <w:t>.</w:t>
      </w:r>
      <w:r>
        <w:rPr>
          <w:rFonts w:hint="eastAsia" w:ascii="仿宋_GB2312" w:eastAsia="仿宋_GB2312" w:cs="DengXian-Regular"/>
          <w:sz w:val="32"/>
          <w:szCs w:val="32"/>
        </w:rPr>
        <w:t>87%；农林水（类）支出13115</w:t>
      </w:r>
      <w:r>
        <w:rPr>
          <w:rFonts w:hint="eastAsia" w:ascii="宋体" w:hAnsi="宋体" w:cs="宋体"/>
          <w:sz w:val="32"/>
          <w:szCs w:val="32"/>
        </w:rPr>
        <w:t>.</w:t>
      </w:r>
      <w:r>
        <w:rPr>
          <w:rFonts w:hint="eastAsia" w:ascii="仿宋_GB2312" w:eastAsia="仿宋_GB2312" w:cs="DengXian-Regular"/>
          <w:sz w:val="32"/>
          <w:szCs w:val="32"/>
        </w:rPr>
        <w:t>08万元，占82</w:t>
      </w:r>
      <w:r>
        <w:rPr>
          <w:rFonts w:hint="eastAsia" w:ascii="宋体" w:hAnsi="宋体" w:cs="宋体"/>
          <w:sz w:val="32"/>
          <w:szCs w:val="32"/>
        </w:rPr>
        <w:t>.</w:t>
      </w:r>
      <w:r>
        <w:rPr>
          <w:rFonts w:hint="eastAsia" w:ascii="仿宋_GB2312" w:eastAsia="仿宋_GB2312" w:cs="DengXian-Regular"/>
          <w:sz w:val="32"/>
          <w:szCs w:val="32"/>
        </w:rPr>
        <w:t>85%；资源勘探信息等支出2</w:t>
      </w:r>
      <w:r>
        <w:rPr>
          <w:rFonts w:hint="eastAsia" w:ascii="宋体" w:hAnsi="宋体" w:cs="宋体"/>
          <w:sz w:val="32"/>
          <w:szCs w:val="32"/>
        </w:rPr>
        <w:t>.</w:t>
      </w:r>
      <w:r>
        <w:rPr>
          <w:rFonts w:hint="eastAsia" w:ascii="宋体" w:hAnsi="宋体" w:cs="宋体"/>
          <w:sz w:val="32"/>
          <w:szCs w:val="32"/>
          <w:lang w:val="en-US" w:eastAsia="zh-CN"/>
        </w:rPr>
        <w:t>89</w:t>
      </w:r>
      <w:r>
        <w:rPr>
          <w:rFonts w:hint="eastAsia" w:ascii="仿宋_GB2312" w:eastAsia="仿宋_GB2312" w:cs="DengXian-Regular"/>
          <w:sz w:val="32"/>
          <w:szCs w:val="32"/>
        </w:rPr>
        <w:t>万元，占0</w:t>
      </w:r>
      <w:r>
        <w:rPr>
          <w:rFonts w:hint="eastAsia" w:ascii="宋体" w:hAnsi="宋体" w:cs="宋体"/>
          <w:sz w:val="32"/>
          <w:szCs w:val="32"/>
        </w:rPr>
        <w:t>.</w:t>
      </w:r>
      <w:r>
        <w:rPr>
          <w:rFonts w:hint="eastAsia" w:ascii="仿宋_GB2312" w:eastAsia="仿宋_GB2312" w:cs="DengXian-Regular"/>
          <w:sz w:val="32"/>
          <w:szCs w:val="32"/>
        </w:rPr>
        <w:t>02%；其他支出1</w:t>
      </w:r>
      <w:r>
        <w:rPr>
          <w:rFonts w:hint="eastAsia" w:ascii="宋体" w:hAnsi="宋体" w:cs="宋体"/>
          <w:sz w:val="32"/>
          <w:szCs w:val="32"/>
        </w:rPr>
        <w:t>4</w:t>
      </w:r>
      <w:r>
        <w:rPr>
          <w:rFonts w:hint="eastAsia" w:ascii="仿宋_GB2312" w:eastAsia="仿宋_GB2312" w:cs="DengXian-Regular"/>
          <w:sz w:val="32"/>
          <w:szCs w:val="32"/>
        </w:rPr>
        <w:t>82</w:t>
      </w:r>
      <w:r>
        <w:rPr>
          <w:rFonts w:hint="eastAsia" w:ascii="宋体" w:hAnsi="宋体" w:cs="宋体"/>
          <w:sz w:val="32"/>
          <w:szCs w:val="32"/>
        </w:rPr>
        <w:t>.</w:t>
      </w:r>
      <w:r>
        <w:rPr>
          <w:rFonts w:hint="eastAsia" w:ascii="仿宋_GB2312" w:eastAsia="仿宋_GB2312" w:cs="DengXian-Regular"/>
          <w:sz w:val="32"/>
          <w:szCs w:val="32"/>
        </w:rPr>
        <w:t>32万元，占</w:t>
      </w:r>
      <w:r>
        <w:rPr>
          <w:rFonts w:hint="eastAsia" w:ascii="宋体" w:hAnsi="宋体" w:cs="宋体"/>
          <w:sz w:val="32"/>
          <w:szCs w:val="32"/>
        </w:rPr>
        <w:t>9.</w:t>
      </w:r>
      <w:r>
        <w:rPr>
          <w:rFonts w:hint="eastAsia" w:ascii="仿宋_GB2312" w:eastAsia="仿宋_GB2312" w:cs="DengXian-Regular"/>
          <w:sz w:val="32"/>
          <w:szCs w:val="32"/>
        </w:rPr>
        <w:t>37%。</w:t>
      </w:r>
    </w:p>
    <w:p>
      <w:pPr>
        <w:adjustRightInd w:val="0"/>
        <w:snapToGrid w:val="0"/>
        <w:spacing w:after="0" w:line="240" w:lineRule="auto"/>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240" w:lineRule="auto"/>
        <w:rPr>
          <w:rFonts w:ascii="楷体_GB2312" w:eastAsia="楷体_GB2312" w:cs="DengXian-Bold"/>
          <w:b/>
          <w:bCs/>
          <w:sz w:val="32"/>
          <w:szCs w:val="32"/>
        </w:rPr>
      </w:pPr>
    </w:p>
    <w:p>
      <w:pPr>
        <w:adjustRightInd w:val="0"/>
        <w:snapToGrid w:val="0"/>
        <w:spacing w:after="0" w:line="240" w:lineRule="auto"/>
        <w:rPr>
          <w:rFonts w:ascii="楷体_GB2312" w:eastAsia="楷体_GB2312" w:cs="DengXian-Bold"/>
          <w:b/>
          <w:bCs/>
          <w:sz w:val="32"/>
          <w:szCs w:val="32"/>
        </w:rPr>
      </w:pPr>
      <w:r>
        <w:rPr>
          <w:rFonts w:ascii="楷体_GB2312" w:eastAsia="楷体_GB2312" w:cs="DengXian-Bold"/>
          <w:b/>
          <w:bCs/>
          <w:sz w:val="32"/>
          <w:szCs w:val="32"/>
        </w:rPr>
        <w:drawing>
          <wp:inline distT="0" distB="0" distL="0" distR="0">
            <wp:extent cx="5334000" cy="264795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adjustRightInd w:val="0"/>
        <w:snapToGrid w:val="0"/>
        <w:spacing w:after="0" w:line="240" w:lineRule="auto"/>
        <w:ind w:left="420" w:leftChars="200"/>
        <w:rPr>
          <w:rFonts w:ascii="楷体_GB2312" w:eastAsia="楷体_GB2312" w:cs="DengXian-Bold"/>
          <w:b/>
          <w:bCs/>
          <w:sz w:val="32"/>
          <w:szCs w:val="32"/>
        </w:rPr>
      </w:pPr>
    </w:p>
    <w:p>
      <w:pPr>
        <w:adjustRightInd w:val="0"/>
        <w:snapToGrid w:val="0"/>
        <w:spacing w:after="0" w:line="240" w:lineRule="auto"/>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年度一般公共预算财政拨款基本支出2536</w:t>
      </w:r>
      <w:r>
        <w:rPr>
          <w:rFonts w:hint="eastAsia" w:ascii="宋体" w:hAnsi="宋体" w:cs="宋体"/>
          <w:sz w:val="32"/>
          <w:szCs w:val="32"/>
        </w:rPr>
        <w:t>.</w:t>
      </w:r>
      <w:r>
        <w:rPr>
          <w:rFonts w:hint="eastAsia" w:ascii="仿宋_GB2312" w:eastAsia="仿宋_GB2312" w:cs="DengXian-Regular"/>
          <w:sz w:val="32"/>
          <w:szCs w:val="32"/>
        </w:rPr>
        <w:t>1</w:t>
      </w:r>
      <w:r>
        <w:rPr>
          <w:rFonts w:hint="eastAsia" w:ascii="宋体" w:hAnsi="宋体" w:cs="宋体"/>
          <w:sz w:val="32"/>
          <w:szCs w:val="32"/>
        </w:rPr>
        <w:t>4</w:t>
      </w:r>
      <w:r>
        <w:rPr>
          <w:rFonts w:hint="eastAsia" w:ascii="仿宋_GB2312" w:eastAsia="仿宋_GB2312" w:cs="DengXian-Regular"/>
          <w:sz w:val="32"/>
          <w:szCs w:val="32"/>
        </w:rPr>
        <w:t>万元，其中：人员经费 226</w:t>
      </w:r>
      <w:r>
        <w:rPr>
          <w:rFonts w:hint="eastAsia" w:ascii="宋体" w:hAnsi="宋体" w:cs="宋体"/>
          <w:sz w:val="32"/>
          <w:szCs w:val="32"/>
        </w:rPr>
        <w:t>4.9</w:t>
      </w:r>
      <w:r>
        <w:rPr>
          <w:rFonts w:hint="eastAsia" w:ascii="仿宋_GB2312" w:eastAsia="仿宋_GB2312" w:cs="DengXian-Regular"/>
          <w:sz w:val="32"/>
          <w:szCs w:val="32"/>
        </w:rPr>
        <w:t>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271</w:t>
      </w:r>
      <w:r>
        <w:rPr>
          <w:rFonts w:hint="eastAsia" w:ascii="宋体" w:hAnsi="宋体" w:cs="宋体"/>
          <w:sz w:val="32"/>
          <w:szCs w:val="32"/>
        </w:rPr>
        <w:t>.</w:t>
      </w:r>
      <w:r>
        <w:rPr>
          <w:rFonts w:hint="eastAsia" w:ascii="仿宋_GB2312" w:eastAsia="仿宋_GB2312" w:cs="DengXian-Regular"/>
          <w:sz w:val="32"/>
          <w:szCs w:val="32"/>
        </w:rPr>
        <w:t>22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color w:val="000000" w:themeColor="text1"/>
          <w:sz w:val="32"/>
          <w:szCs w:val="32"/>
          <w:highlight w:val="yellow"/>
        </w:rPr>
      </w:pPr>
      <w:r>
        <w:rPr>
          <w:rFonts w:eastAsia="仿宋_GB2312"/>
          <w:color w:val="000000" w:themeColor="text1"/>
          <w:sz w:val="32"/>
          <w:szCs w:val="32"/>
        </w:rPr>
        <w:t>本部门201</w:t>
      </w:r>
      <w:r>
        <w:rPr>
          <w:rFonts w:hint="eastAsia" w:eastAsia="仿宋_GB2312"/>
          <w:color w:val="000000" w:themeColor="text1"/>
          <w:sz w:val="32"/>
          <w:szCs w:val="32"/>
        </w:rPr>
        <w:t>8</w:t>
      </w:r>
      <w:r>
        <w:rPr>
          <w:rFonts w:eastAsia="仿宋_GB2312"/>
          <w:color w:val="000000" w:themeColor="text1"/>
          <w:sz w:val="32"/>
          <w:szCs w:val="32"/>
        </w:rPr>
        <w:t>年度一般公共预算财政拨款“三公”经费支出共计</w:t>
      </w:r>
      <w:r>
        <w:rPr>
          <w:rFonts w:hint="eastAsia" w:eastAsia="仿宋_GB2312"/>
          <w:color w:val="000000" w:themeColor="text1"/>
          <w:sz w:val="32"/>
          <w:szCs w:val="32"/>
        </w:rPr>
        <w:t>37.49</w:t>
      </w:r>
      <w:r>
        <w:rPr>
          <w:rFonts w:eastAsia="仿宋_GB2312"/>
          <w:color w:val="000000" w:themeColor="text1"/>
          <w:sz w:val="32"/>
          <w:szCs w:val="32"/>
        </w:rPr>
        <w:t>万元，</w:t>
      </w:r>
      <w:r>
        <w:rPr>
          <w:rFonts w:hint="eastAsia" w:eastAsia="仿宋_GB2312"/>
          <w:color w:val="000000" w:themeColor="text1"/>
          <w:sz w:val="32"/>
          <w:szCs w:val="32"/>
        </w:rPr>
        <w:t>比</w:t>
      </w:r>
      <w:r>
        <w:rPr>
          <w:rFonts w:eastAsia="仿宋_GB2312"/>
          <w:color w:val="000000" w:themeColor="text1"/>
          <w:sz w:val="32"/>
          <w:szCs w:val="32"/>
        </w:rPr>
        <w:t>年初预算减少</w:t>
      </w:r>
      <w:r>
        <w:rPr>
          <w:rFonts w:hint="eastAsia" w:eastAsia="仿宋_GB2312"/>
          <w:color w:val="000000" w:themeColor="text1"/>
          <w:sz w:val="32"/>
          <w:szCs w:val="32"/>
        </w:rPr>
        <w:t>5.61</w:t>
      </w:r>
      <w:r>
        <w:rPr>
          <w:rFonts w:eastAsia="仿宋_GB2312"/>
          <w:color w:val="000000" w:themeColor="text1"/>
          <w:sz w:val="32"/>
          <w:szCs w:val="32"/>
        </w:rPr>
        <w:t>万元，降低</w:t>
      </w:r>
      <w:r>
        <w:rPr>
          <w:rFonts w:hint="eastAsia" w:eastAsia="仿宋_GB2312"/>
          <w:color w:val="000000" w:themeColor="text1"/>
          <w:sz w:val="32"/>
          <w:szCs w:val="32"/>
        </w:rPr>
        <w:t>13.02</w:t>
      </w:r>
      <w:r>
        <w:rPr>
          <w:rFonts w:eastAsia="仿宋_GB2312"/>
          <w:color w:val="000000" w:themeColor="text1"/>
          <w:sz w:val="32"/>
          <w:szCs w:val="32"/>
        </w:rPr>
        <w:t>%，主要是</w:t>
      </w:r>
      <w:r>
        <w:rPr>
          <w:rFonts w:hint="eastAsia" w:eastAsia="仿宋_GB2312"/>
          <w:color w:val="000000" w:themeColor="text1"/>
          <w:sz w:val="32"/>
          <w:szCs w:val="32"/>
        </w:rPr>
        <w:t>严格管理，公车运行费用减少</w:t>
      </w:r>
      <w:r>
        <w:rPr>
          <w:rFonts w:eastAsia="仿宋_GB2312"/>
          <w:color w:val="000000" w:themeColor="text1"/>
          <w:sz w:val="32"/>
          <w:szCs w:val="32"/>
        </w:rPr>
        <w:t>；</w:t>
      </w:r>
      <w:r>
        <w:rPr>
          <w:rFonts w:hint="eastAsia" w:eastAsia="仿宋_GB2312"/>
          <w:color w:val="000000" w:themeColor="text1"/>
          <w:sz w:val="32"/>
          <w:szCs w:val="32"/>
        </w:rPr>
        <w:t>比</w:t>
      </w:r>
      <w:r>
        <w:rPr>
          <w:rFonts w:eastAsia="仿宋_GB2312"/>
          <w:color w:val="000000" w:themeColor="text1"/>
          <w:sz w:val="32"/>
          <w:szCs w:val="32"/>
        </w:rPr>
        <w:t>201</w:t>
      </w:r>
      <w:r>
        <w:rPr>
          <w:rFonts w:hint="eastAsia" w:eastAsia="仿宋_GB2312"/>
          <w:color w:val="000000" w:themeColor="text1"/>
          <w:sz w:val="32"/>
          <w:szCs w:val="32"/>
        </w:rPr>
        <w:t>7</w:t>
      </w:r>
      <w:r>
        <w:rPr>
          <w:rFonts w:eastAsia="仿宋_GB2312"/>
          <w:color w:val="000000" w:themeColor="text1"/>
          <w:sz w:val="32"/>
          <w:szCs w:val="32"/>
        </w:rPr>
        <w:t>年度决算增加</w:t>
      </w:r>
      <w:r>
        <w:rPr>
          <w:rFonts w:hint="eastAsia" w:eastAsia="仿宋_GB2312"/>
          <w:color w:val="000000" w:themeColor="text1"/>
          <w:sz w:val="32"/>
          <w:szCs w:val="32"/>
        </w:rPr>
        <w:t>18.02</w:t>
      </w:r>
      <w:r>
        <w:rPr>
          <w:rFonts w:eastAsia="仿宋_GB2312"/>
          <w:color w:val="000000" w:themeColor="text1"/>
          <w:sz w:val="32"/>
          <w:szCs w:val="32"/>
        </w:rPr>
        <w:t>万元，增长</w:t>
      </w:r>
      <w:r>
        <w:rPr>
          <w:rFonts w:hint="eastAsia" w:eastAsia="仿宋_GB2312"/>
          <w:color w:val="000000" w:themeColor="text1"/>
          <w:sz w:val="32"/>
          <w:szCs w:val="32"/>
        </w:rPr>
        <w:t>92.55</w:t>
      </w:r>
      <w:r>
        <w:rPr>
          <w:rFonts w:eastAsia="仿宋_GB2312"/>
          <w:color w:val="000000" w:themeColor="text1"/>
          <w:sz w:val="32"/>
          <w:szCs w:val="32"/>
        </w:rPr>
        <w:t>%，主要是</w:t>
      </w:r>
      <w:r>
        <w:rPr>
          <w:rFonts w:hint="eastAsia" w:eastAsia="仿宋_GB2312"/>
          <w:color w:val="000000" w:themeColor="text1"/>
          <w:sz w:val="32"/>
          <w:szCs w:val="32"/>
          <w:lang w:eastAsia="zh-CN"/>
        </w:rPr>
        <w:t>购置</w:t>
      </w:r>
      <w:r>
        <w:rPr>
          <w:rFonts w:hint="eastAsia" w:eastAsia="仿宋_GB2312"/>
          <w:color w:val="000000" w:themeColor="text1"/>
          <w:sz w:val="32"/>
          <w:szCs w:val="32"/>
        </w:rPr>
        <w:t>公务用车一辆。</w:t>
      </w:r>
      <w:r>
        <w:rPr>
          <w:rFonts w:eastAsia="仿宋_GB2312"/>
          <w:color w:val="000000" w:themeColor="text1"/>
          <w:sz w:val="32"/>
          <w:szCs w:val="32"/>
        </w:rPr>
        <w:t>具体情况如下：</w:t>
      </w:r>
    </w:p>
    <w:p>
      <w:pPr>
        <w:adjustRightInd w:val="0"/>
        <w:snapToGrid w:val="0"/>
        <w:spacing w:line="584" w:lineRule="exact"/>
        <w:ind w:firstLine="642" w:firstLineChars="200"/>
        <w:rPr>
          <w:rFonts w:eastAsia="仿宋_GB2312"/>
          <w:sz w:val="32"/>
          <w:szCs w:val="32"/>
        </w:rPr>
      </w:pPr>
      <w:r>
        <w:rPr>
          <w:rFonts w:eastAsia="楷体_GB2312"/>
          <w:b/>
          <w:bCs/>
          <w:sz w:val="32"/>
          <w:szCs w:val="32"/>
        </w:rPr>
        <w:t>（一）因公出国（境）费支出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rPr>
        <w:t>0</w:t>
      </w:r>
      <w:r>
        <w:rPr>
          <w:rFonts w:eastAsia="仿宋_GB2312"/>
          <w:sz w:val="32"/>
          <w:szCs w:val="32"/>
        </w:rPr>
        <w:t>万</w:t>
      </w:r>
      <w:r>
        <w:rPr>
          <w:rFonts w:eastAsia="仿宋_GB2312"/>
          <w:sz w:val="32"/>
          <w:szCs w:val="32"/>
          <w:highlight w:val="none"/>
        </w:rPr>
        <w:t>元，增长</w:t>
      </w:r>
      <w:r>
        <w:rPr>
          <w:rFonts w:hint="eastAsia" w:eastAsia="仿宋_GB2312"/>
          <w:sz w:val="32"/>
          <w:szCs w:val="32"/>
          <w:highlight w:val="none"/>
        </w:rPr>
        <w:t>0</w:t>
      </w:r>
      <w:r>
        <w:rPr>
          <w:rFonts w:eastAsia="仿宋_GB2312"/>
          <w:sz w:val="32"/>
          <w:szCs w:val="32"/>
          <w:highlight w:val="none"/>
        </w:rPr>
        <w:t>%；</w:t>
      </w:r>
      <w:r>
        <w:rPr>
          <w:rFonts w:hint="eastAsia" w:eastAsia="仿宋_GB2312"/>
          <w:sz w:val="32"/>
          <w:szCs w:val="32"/>
          <w:highlight w:val="none"/>
        </w:rPr>
        <w:t>比</w:t>
      </w:r>
      <w:r>
        <w:rPr>
          <w:rFonts w:eastAsia="仿宋_GB2312"/>
          <w:sz w:val="32"/>
          <w:szCs w:val="32"/>
          <w:highlight w:val="none"/>
        </w:rPr>
        <w:t>201</w:t>
      </w:r>
      <w:r>
        <w:rPr>
          <w:rFonts w:hint="eastAsia" w:eastAsia="仿宋_GB2312"/>
          <w:sz w:val="32"/>
          <w:szCs w:val="32"/>
          <w:highlight w:val="none"/>
        </w:rPr>
        <w:t>7</w:t>
      </w:r>
      <w:r>
        <w:rPr>
          <w:rFonts w:eastAsia="仿宋_GB2312"/>
          <w:sz w:val="32"/>
          <w:szCs w:val="32"/>
          <w:highlight w:val="none"/>
        </w:rPr>
        <w:t>年度决算增加</w:t>
      </w:r>
      <w:r>
        <w:rPr>
          <w:rFonts w:hint="eastAsia" w:eastAsia="仿宋_GB2312"/>
          <w:sz w:val="32"/>
          <w:szCs w:val="32"/>
          <w:highlight w:val="none"/>
        </w:rPr>
        <w:t>0</w:t>
      </w:r>
      <w:r>
        <w:rPr>
          <w:rFonts w:eastAsia="仿宋_GB2312"/>
          <w:sz w:val="32"/>
          <w:szCs w:val="32"/>
          <w:highlight w:val="none"/>
        </w:rPr>
        <w:t>万元，增长</w:t>
      </w:r>
      <w:r>
        <w:rPr>
          <w:rFonts w:hint="eastAsia" w:eastAsia="仿宋_GB2312"/>
          <w:sz w:val="32"/>
          <w:szCs w:val="32"/>
          <w:highlight w:val="none"/>
        </w:rPr>
        <w:t>0</w:t>
      </w:r>
      <w:r>
        <w:rPr>
          <w:rFonts w:eastAsia="仿宋_GB2312"/>
          <w:sz w:val="32"/>
          <w:szCs w:val="32"/>
          <w:highlight w:val="none"/>
        </w:rPr>
        <w:t>%。</w:t>
      </w:r>
      <w:r>
        <w:rPr>
          <w:rFonts w:hint="eastAsia" w:eastAsia="仿宋_GB2312"/>
          <w:sz w:val="32"/>
          <w:szCs w:val="32"/>
          <w:highlight w:val="none"/>
        </w:rPr>
        <w:t>本部门本年度未发生“因公出国（境）”经费支出</w:t>
      </w:r>
      <w:r>
        <w:rPr>
          <w:rFonts w:eastAsia="仿宋_GB2312"/>
          <w:sz w:val="32"/>
          <w:szCs w:val="32"/>
          <w:highlight w:val="none"/>
        </w:rPr>
        <w:t>。</w:t>
      </w:r>
      <w:r>
        <w:rPr>
          <w:rFonts w:hint="eastAsia" w:eastAsia="仿宋_GB2312"/>
          <w:sz w:val="32"/>
          <w:szCs w:val="32"/>
        </w:rPr>
        <w:t>较2017年度决算无增减变化。</w:t>
      </w:r>
    </w:p>
    <w:p>
      <w:pPr>
        <w:adjustRightInd w:val="0"/>
        <w:snapToGrid w:val="0"/>
        <w:spacing w:line="584" w:lineRule="exact"/>
        <w:ind w:firstLine="642" w:firstLineChars="200"/>
        <w:rPr>
          <w:rFonts w:eastAsia="仿宋_GB2312"/>
          <w:b/>
          <w:bCs/>
          <w:color w:val="000000" w:themeColor="text1"/>
          <w:sz w:val="32"/>
          <w:szCs w:val="32"/>
        </w:rPr>
      </w:pPr>
      <w:r>
        <w:rPr>
          <w:rFonts w:eastAsia="楷体_GB2312"/>
          <w:b/>
          <w:bCs/>
          <w:color w:val="000000" w:themeColor="text1"/>
          <w:sz w:val="32"/>
          <w:szCs w:val="32"/>
        </w:rPr>
        <w:t>（二）公务用车购置及运行维护费支出</w:t>
      </w:r>
      <w:r>
        <w:rPr>
          <w:rFonts w:hint="eastAsia" w:eastAsia="楷体_GB2312"/>
          <w:b/>
          <w:bCs/>
          <w:color w:val="000000" w:themeColor="text1"/>
          <w:sz w:val="32"/>
          <w:szCs w:val="32"/>
        </w:rPr>
        <w:t>36.85</w:t>
      </w:r>
      <w:r>
        <w:rPr>
          <w:rFonts w:eastAsia="楷体_GB2312"/>
          <w:b/>
          <w:bCs/>
          <w:color w:val="000000" w:themeColor="text1"/>
          <w:sz w:val="32"/>
          <w:szCs w:val="32"/>
        </w:rPr>
        <w:t>万元。</w:t>
      </w:r>
      <w:r>
        <w:rPr>
          <w:rFonts w:hint="eastAsia" w:ascii="仿宋_GB2312" w:eastAsia="仿宋_GB2312" w:cs="DengXian-Regular"/>
          <w:color w:val="000000" w:themeColor="text1"/>
          <w:sz w:val="32"/>
          <w:szCs w:val="32"/>
        </w:rPr>
        <w:t>本部门2018年度公务用车购置及运行维护费比年初预算</w:t>
      </w:r>
      <w:r>
        <w:rPr>
          <w:rFonts w:eastAsia="仿宋_GB2312"/>
          <w:color w:val="000000" w:themeColor="text1"/>
          <w:sz w:val="32"/>
          <w:szCs w:val="32"/>
        </w:rPr>
        <w:t>减少</w:t>
      </w:r>
      <w:r>
        <w:rPr>
          <w:rFonts w:hint="eastAsia" w:eastAsia="仿宋_GB2312"/>
          <w:color w:val="000000" w:themeColor="text1"/>
          <w:sz w:val="32"/>
          <w:szCs w:val="32"/>
        </w:rPr>
        <w:t>5.15</w:t>
      </w:r>
      <w:r>
        <w:rPr>
          <w:rFonts w:eastAsia="仿宋_GB2312"/>
          <w:color w:val="000000" w:themeColor="text1"/>
          <w:sz w:val="32"/>
          <w:szCs w:val="32"/>
        </w:rPr>
        <w:t>万元</w:t>
      </w:r>
      <w:r>
        <w:rPr>
          <w:rFonts w:hint="eastAsia" w:ascii="仿宋_GB2312" w:eastAsia="仿宋_GB2312" w:cs="DengXian-Regular"/>
          <w:color w:val="000000" w:themeColor="text1"/>
          <w:sz w:val="32"/>
          <w:szCs w:val="32"/>
        </w:rPr>
        <w:t>，</w:t>
      </w:r>
      <w:r>
        <w:rPr>
          <w:rFonts w:eastAsia="仿宋_GB2312"/>
          <w:color w:val="000000" w:themeColor="text1"/>
          <w:sz w:val="32"/>
          <w:szCs w:val="32"/>
        </w:rPr>
        <w:t>降低</w:t>
      </w:r>
      <w:r>
        <w:rPr>
          <w:rFonts w:hint="eastAsia" w:eastAsia="仿宋_GB2312"/>
          <w:color w:val="000000" w:themeColor="text1"/>
          <w:sz w:val="32"/>
          <w:szCs w:val="32"/>
        </w:rPr>
        <w:t>12.26</w:t>
      </w:r>
      <w:r>
        <w:rPr>
          <w:rFonts w:eastAsia="仿宋_GB2312"/>
          <w:color w:val="000000" w:themeColor="text1"/>
          <w:sz w:val="32"/>
          <w:szCs w:val="32"/>
        </w:rPr>
        <w:t>%</w:t>
      </w:r>
      <w:r>
        <w:rPr>
          <w:rFonts w:hint="eastAsia" w:ascii="仿宋_GB2312" w:eastAsia="仿宋_GB2312" w:cs="DengXian-Regular"/>
          <w:color w:val="000000" w:themeColor="text1"/>
          <w:sz w:val="32"/>
          <w:szCs w:val="32"/>
        </w:rPr>
        <w:t>,主要是</w:t>
      </w:r>
      <w:r>
        <w:rPr>
          <w:rFonts w:hint="eastAsia" w:ascii="仿宋_GB2312" w:hAnsi="仿宋_GB2312" w:eastAsia="仿宋_GB2312" w:cs="仿宋_GB2312"/>
          <w:b w:val="0"/>
          <w:bCs w:val="0"/>
          <w:color w:val="000000" w:themeColor="text1"/>
          <w:sz w:val="32"/>
          <w:szCs w:val="32"/>
        </w:rPr>
        <w:t>严格管理，公车运行费用减少；比2017年度决算增加17.87万元，增长94.15%，</w:t>
      </w:r>
      <w:r>
        <w:rPr>
          <w:rFonts w:eastAsia="仿宋_GB2312"/>
          <w:color w:val="000000" w:themeColor="text1"/>
          <w:sz w:val="32"/>
          <w:szCs w:val="32"/>
        </w:rPr>
        <w:t>主要是</w:t>
      </w:r>
      <w:r>
        <w:rPr>
          <w:rFonts w:hint="eastAsia" w:eastAsia="仿宋_GB2312"/>
          <w:color w:val="000000" w:themeColor="text1"/>
          <w:sz w:val="32"/>
          <w:szCs w:val="32"/>
          <w:lang w:eastAsia="zh-CN"/>
        </w:rPr>
        <w:t>购置</w:t>
      </w:r>
      <w:r>
        <w:rPr>
          <w:rFonts w:hint="eastAsia" w:eastAsia="仿宋_GB2312"/>
          <w:color w:val="000000" w:themeColor="text1"/>
          <w:sz w:val="32"/>
          <w:szCs w:val="32"/>
        </w:rPr>
        <w:t>公务用车一辆</w:t>
      </w:r>
      <w:r>
        <w:rPr>
          <w:rFonts w:eastAsia="仿宋_GB2312"/>
          <w:color w:val="000000" w:themeColor="text1"/>
          <w:sz w:val="32"/>
          <w:szCs w:val="32"/>
        </w:rPr>
        <w:t>。</w:t>
      </w:r>
      <w:r>
        <w:rPr>
          <w:rFonts w:eastAsia="仿宋_GB2312"/>
          <w:b/>
          <w:bCs/>
          <w:color w:val="000000" w:themeColor="text1"/>
          <w:sz w:val="32"/>
          <w:szCs w:val="32"/>
        </w:rPr>
        <w:t>其中：</w:t>
      </w:r>
    </w:p>
    <w:p>
      <w:pPr>
        <w:adjustRightInd w:val="0"/>
        <w:snapToGrid w:val="0"/>
        <w:spacing w:line="584" w:lineRule="exact"/>
        <w:ind w:firstLine="642" w:firstLineChars="200"/>
        <w:rPr>
          <w:rFonts w:eastAsia="仿宋_GB2312"/>
          <w:color w:val="000000" w:themeColor="text1"/>
          <w:sz w:val="32"/>
          <w:szCs w:val="32"/>
        </w:rPr>
      </w:pPr>
      <w:r>
        <w:rPr>
          <w:rFonts w:eastAsia="仿宋_GB2312"/>
          <w:b/>
          <w:color w:val="000000" w:themeColor="text1"/>
          <w:sz w:val="32"/>
          <w:szCs w:val="32"/>
        </w:rPr>
        <w:t>公务用车购置费支出</w:t>
      </w:r>
      <w:r>
        <w:rPr>
          <w:rFonts w:hint="eastAsia" w:eastAsia="仿宋_GB2312"/>
          <w:b/>
          <w:color w:val="000000" w:themeColor="text1"/>
          <w:sz w:val="32"/>
          <w:szCs w:val="32"/>
        </w:rPr>
        <w:t>11.4</w:t>
      </w:r>
      <w:r>
        <w:rPr>
          <w:rFonts w:eastAsia="仿宋_GB2312"/>
          <w:b/>
          <w:color w:val="000000" w:themeColor="text1"/>
          <w:sz w:val="32"/>
          <w:szCs w:val="32"/>
        </w:rPr>
        <w:t>万元。</w:t>
      </w:r>
      <w:r>
        <w:rPr>
          <w:rFonts w:eastAsia="仿宋_GB2312"/>
          <w:color w:val="000000" w:themeColor="text1"/>
          <w:sz w:val="32"/>
          <w:szCs w:val="32"/>
        </w:rPr>
        <w:t>本部门201</w:t>
      </w:r>
      <w:r>
        <w:rPr>
          <w:rFonts w:hint="eastAsia" w:eastAsia="仿宋_GB2312"/>
          <w:color w:val="000000" w:themeColor="text1"/>
          <w:sz w:val="32"/>
          <w:szCs w:val="32"/>
        </w:rPr>
        <w:t>8</w:t>
      </w:r>
      <w:r>
        <w:rPr>
          <w:rFonts w:eastAsia="仿宋_GB2312"/>
          <w:color w:val="000000" w:themeColor="text1"/>
          <w:sz w:val="32"/>
          <w:szCs w:val="32"/>
        </w:rPr>
        <w:t>年度公务用车购置数量</w:t>
      </w:r>
      <w:r>
        <w:rPr>
          <w:rFonts w:hint="eastAsia" w:eastAsia="仿宋_GB2312"/>
          <w:color w:val="000000" w:themeColor="text1"/>
          <w:sz w:val="32"/>
          <w:szCs w:val="32"/>
        </w:rPr>
        <w:t>1</w:t>
      </w:r>
      <w:r>
        <w:rPr>
          <w:rFonts w:eastAsia="仿宋_GB2312"/>
          <w:color w:val="000000" w:themeColor="text1"/>
          <w:sz w:val="32"/>
          <w:szCs w:val="32"/>
        </w:rPr>
        <w:t>辆。公务用车购置费支出</w:t>
      </w:r>
      <w:r>
        <w:rPr>
          <w:rFonts w:hint="eastAsia" w:eastAsia="仿宋_GB2312"/>
          <w:color w:val="000000" w:themeColor="text1"/>
          <w:sz w:val="32"/>
          <w:szCs w:val="32"/>
        </w:rPr>
        <w:t>比</w:t>
      </w:r>
      <w:r>
        <w:rPr>
          <w:rFonts w:eastAsia="仿宋_GB2312"/>
          <w:color w:val="000000" w:themeColor="text1"/>
          <w:sz w:val="32"/>
          <w:szCs w:val="32"/>
        </w:rPr>
        <w:t>年初预算减少</w:t>
      </w:r>
      <w:r>
        <w:rPr>
          <w:rFonts w:hint="eastAsia" w:eastAsia="仿宋_GB2312"/>
          <w:color w:val="000000" w:themeColor="text1"/>
          <w:sz w:val="32"/>
          <w:szCs w:val="32"/>
        </w:rPr>
        <w:t>3.6</w:t>
      </w:r>
      <w:r>
        <w:rPr>
          <w:rFonts w:eastAsia="仿宋_GB2312"/>
          <w:color w:val="000000" w:themeColor="text1"/>
          <w:sz w:val="32"/>
          <w:szCs w:val="32"/>
        </w:rPr>
        <w:t>万元，降低</w:t>
      </w:r>
      <w:r>
        <w:rPr>
          <w:rFonts w:hint="eastAsia" w:eastAsia="仿宋_GB2312"/>
          <w:color w:val="000000" w:themeColor="text1"/>
          <w:sz w:val="32"/>
          <w:szCs w:val="32"/>
        </w:rPr>
        <w:t>24</w:t>
      </w:r>
      <w:r>
        <w:rPr>
          <w:rFonts w:eastAsia="仿宋_GB2312"/>
          <w:color w:val="000000" w:themeColor="text1"/>
          <w:sz w:val="32"/>
          <w:szCs w:val="32"/>
        </w:rPr>
        <w:t>%，主要是</w:t>
      </w:r>
      <w:r>
        <w:rPr>
          <w:rFonts w:hint="eastAsia" w:eastAsia="仿宋_GB2312"/>
          <w:color w:val="000000" w:themeColor="text1"/>
          <w:sz w:val="32"/>
          <w:szCs w:val="32"/>
        </w:rPr>
        <w:t>购车节约资金</w:t>
      </w:r>
      <w:r>
        <w:rPr>
          <w:rFonts w:eastAsia="仿宋_GB2312"/>
          <w:color w:val="000000" w:themeColor="text1"/>
          <w:sz w:val="32"/>
          <w:szCs w:val="32"/>
        </w:rPr>
        <w:t>；</w:t>
      </w:r>
      <w:r>
        <w:rPr>
          <w:rFonts w:hint="eastAsia" w:eastAsia="仿宋_GB2312"/>
          <w:color w:val="000000" w:themeColor="text1"/>
          <w:sz w:val="32"/>
          <w:szCs w:val="32"/>
        </w:rPr>
        <w:t>比</w:t>
      </w:r>
      <w:r>
        <w:rPr>
          <w:rFonts w:eastAsia="仿宋_GB2312"/>
          <w:color w:val="000000" w:themeColor="text1"/>
          <w:sz w:val="32"/>
          <w:szCs w:val="32"/>
        </w:rPr>
        <w:t>201</w:t>
      </w:r>
      <w:r>
        <w:rPr>
          <w:rFonts w:hint="eastAsia" w:eastAsia="仿宋_GB2312"/>
          <w:color w:val="000000" w:themeColor="text1"/>
          <w:sz w:val="32"/>
          <w:szCs w:val="32"/>
        </w:rPr>
        <w:t>7</w:t>
      </w:r>
      <w:r>
        <w:rPr>
          <w:rFonts w:eastAsia="仿宋_GB2312"/>
          <w:color w:val="000000" w:themeColor="text1"/>
          <w:sz w:val="32"/>
          <w:szCs w:val="32"/>
        </w:rPr>
        <w:t>年度决算增加</w:t>
      </w:r>
      <w:r>
        <w:rPr>
          <w:rFonts w:hint="eastAsia" w:eastAsia="仿宋_GB2312"/>
          <w:color w:val="000000" w:themeColor="text1"/>
          <w:sz w:val="32"/>
          <w:szCs w:val="32"/>
        </w:rPr>
        <w:t>11.4</w:t>
      </w:r>
      <w:r>
        <w:rPr>
          <w:rFonts w:eastAsia="仿宋_GB2312"/>
          <w:color w:val="000000" w:themeColor="text1"/>
          <w:sz w:val="32"/>
          <w:szCs w:val="32"/>
        </w:rPr>
        <w:t>万元，增长</w:t>
      </w:r>
      <w:r>
        <w:rPr>
          <w:rFonts w:hint="eastAsia" w:eastAsia="仿宋_GB2312"/>
          <w:color w:val="000000" w:themeColor="text1"/>
          <w:sz w:val="32"/>
          <w:szCs w:val="32"/>
        </w:rPr>
        <w:t>100</w:t>
      </w:r>
      <w:r>
        <w:rPr>
          <w:rFonts w:eastAsia="仿宋_GB2312"/>
          <w:color w:val="000000" w:themeColor="text1"/>
          <w:sz w:val="32"/>
          <w:szCs w:val="32"/>
        </w:rPr>
        <w:t>%，主要是</w:t>
      </w:r>
      <w:r>
        <w:rPr>
          <w:rFonts w:hint="eastAsia" w:eastAsia="仿宋_GB2312"/>
          <w:color w:val="000000" w:themeColor="text1"/>
          <w:sz w:val="32"/>
          <w:szCs w:val="32"/>
          <w:lang w:val="en-US" w:eastAsia="zh-CN"/>
        </w:rPr>
        <w:t>2018</w:t>
      </w:r>
      <w:r>
        <w:rPr>
          <w:rFonts w:hint="eastAsia" w:eastAsia="仿宋_GB2312"/>
          <w:color w:val="000000" w:themeColor="text1"/>
          <w:sz w:val="32"/>
          <w:szCs w:val="32"/>
        </w:rPr>
        <w:t>年购置公务用车</w:t>
      </w:r>
      <w:r>
        <w:rPr>
          <w:rFonts w:hint="eastAsia" w:eastAsia="仿宋_GB2312"/>
          <w:color w:val="000000" w:themeColor="text1"/>
          <w:sz w:val="32"/>
          <w:szCs w:val="32"/>
          <w:lang w:eastAsia="zh-CN"/>
        </w:rPr>
        <w:t>一辆</w:t>
      </w:r>
      <w:r>
        <w:rPr>
          <w:rFonts w:eastAsia="仿宋_GB2312"/>
          <w:color w:val="000000" w:themeColor="text1"/>
          <w:sz w:val="32"/>
          <w:szCs w:val="32"/>
        </w:rPr>
        <w:t>。</w:t>
      </w:r>
    </w:p>
    <w:p>
      <w:pPr>
        <w:adjustRightInd w:val="0"/>
        <w:snapToGrid w:val="0"/>
        <w:spacing w:line="584" w:lineRule="exact"/>
        <w:ind w:firstLine="642" w:firstLineChars="200"/>
        <w:rPr>
          <w:rFonts w:eastAsia="仿宋_GB2312"/>
          <w:color w:val="000000" w:themeColor="text1"/>
          <w:sz w:val="32"/>
          <w:szCs w:val="32"/>
          <w:highlight w:val="yellow"/>
        </w:rPr>
      </w:pPr>
      <w:r>
        <w:rPr>
          <w:rFonts w:eastAsia="仿宋_GB2312"/>
          <w:b/>
          <w:color w:val="000000" w:themeColor="text1"/>
          <w:sz w:val="32"/>
          <w:szCs w:val="32"/>
        </w:rPr>
        <w:t>公务用车运行维护费支出</w:t>
      </w:r>
      <w:r>
        <w:rPr>
          <w:rFonts w:hint="eastAsia" w:eastAsia="仿宋_GB2312"/>
          <w:b/>
          <w:color w:val="000000" w:themeColor="text1"/>
          <w:sz w:val="32"/>
          <w:szCs w:val="32"/>
        </w:rPr>
        <w:t>25.45</w:t>
      </w:r>
      <w:r>
        <w:rPr>
          <w:rFonts w:eastAsia="仿宋_GB2312"/>
          <w:b/>
          <w:color w:val="000000" w:themeColor="text1"/>
          <w:sz w:val="32"/>
          <w:szCs w:val="32"/>
        </w:rPr>
        <w:t>万元。</w:t>
      </w:r>
      <w:r>
        <w:rPr>
          <w:rFonts w:eastAsia="仿宋_GB2312"/>
          <w:color w:val="000000" w:themeColor="text1"/>
          <w:sz w:val="32"/>
          <w:szCs w:val="32"/>
        </w:rPr>
        <w:t>本部门201</w:t>
      </w:r>
      <w:r>
        <w:rPr>
          <w:rFonts w:hint="eastAsia" w:eastAsia="仿宋_GB2312"/>
          <w:color w:val="000000" w:themeColor="text1"/>
          <w:sz w:val="32"/>
          <w:szCs w:val="32"/>
        </w:rPr>
        <w:t>8</w:t>
      </w:r>
      <w:r>
        <w:rPr>
          <w:rFonts w:eastAsia="仿宋_GB2312"/>
          <w:color w:val="000000" w:themeColor="text1"/>
          <w:sz w:val="32"/>
          <w:szCs w:val="32"/>
        </w:rPr>
        <w:t>年末单位公务用车保有量</w:t>
      </w:r>
      <w:r>
        <w:rPr>
          <w:rFonts w:hint="eastAsia" w:eastAsia="仿宋_GB2312"/>
          <w:color w:val="000000" w:themeColor="text1"/>
          <w:sz w:val="32"/>
          <w:szCs w:val="32"/>
        </w:rPr>
        <w:t>8</w:t>
      </w:r>
      <w:r>
        <w:rPr>
          <w:rFonts w:eastAsia="仿宋_GB2312"/>
          <w:color w:val="000000" w:themeColor="text1"/>
          <w:sz w:val="32"/>
          <w:szCs w:val="32"/>
        </w:rPr>
        <w:t>辆。公车运行维护费支出</w:t>
      </w:r>
      <w:r>
        <w:rPr>
          <w:rFonts w:hint="eastAsia" w:eastAsia="仿宋_GB2312"/>
          <w:color w:val="000000" w:themeColor="text1"/>
          <w:sz w:val="32"/>
          <w:szCs w:val="32"/>
        </w:rPr>
        <w:t>比</w:t>
      </w:r>
      <w:r>
        <w:rPr>
          <w:rFonts w:eastAsia="仿宋_GB2312"/>
          <w:color w:val="000000" w:themeColor="text1"/>
          <w:sz w:val="32"/>
          <w:szCs w:val="32"/>
        </w:rPr>
        <w:t>年初预算减少</w:t>
      </w:r>
      <w:r>
        <w:rPr>
          <w:rFonts w:hint="eastAsia" w:eastAsia="仿宋_GB2312"/>
          <w:color w:val="000000" w:themeColor="text1"/>
          <w:sz w:val="32"/>
          <w:szCs w:val="32"/>
        </w:rPr>
        <w:t>1.55</w:t>
      </w:r>
      <w:r>
        <w:rPr>
          <w:rFonts w:eastAsia="仿宋_GB2312"/>
          <w:color w:val="000000" w:themeColor="text1"/>
          <w:sz w:val="32"/>
          <w:szCs w:val="32"/>
        </w:rPr>
        <w:t>万元，降低</w:t>
      </w:r>
      <w:r>
        <w:rPr>
          <w:rFonts w:hint="eastAsia" w:eastAsia="仿宋_GB2312"/>
          <w:color w:val="000000" w:themeColor="text1"/>
          <w:sz w:val="32"/>
          <w:szCs w:val="32"/>
        </w:rPr>
        <w:t>5.74</w:t>
      </w:r>
      <w:r>
        <w:rPr>
          <w:rFonts w:eastAsia="仿宋_GB2312"/>
          <w:color w:val="000000" w:themeColor="text1"/>
          <w:sz w:val="32"/>
          <w:szCs w:val="32"/>
        </w:rPr>
        <w:t>%，主要是</w:t>
      </w:r>
      <w:r>
        <w:rPr>
          <w:rFonts w:hint="eastAsia" w:eastAsia="仿宋_GB2312"/>
          <w:b w:val="0"/>
          <w:bCs w:val="0"/>
          <w:color w:val="000000" w:themeColor="text1"/>
          <w:sz w:val="32"/>
          <w:szCs w:val="32"/>
        </w:rPr>
        <w:t>严格公车使用和管理，公车运行费用减少</w:t>
      </w:r>
      <w:r>
        <w:rPr>
          <w:rFonts w:eastAsia="仿宋_GB2312"/>
          <w:b w:val="0"/>
          <w:bCs w:val="0"/>
          <w:color w:val="000000" w:themeColor="text1"/>
          <w:sz w:val="32"/>
          <w:szCs w:val="32"/>
        </w:rPr>
        <w:t>；</w:t>
      </w:r>
      <w:r>
        <w:rPr>
          <w:rFonts w:hint="eastAsia" w:eastAsia="仿宋_GB2312"/>
          <w:color w:val="000000" w:themeColor="text1"/>
          <w:sz w:val="32"/>
          <w:szCs w:val="32"/>
        </w:rPr>
        <w:t>比</w:t>
      </w:r>
      <w:r>
        <w:rPr>
          <w:rFonts w:eastAsia="仿宋_GB2312"/>
          <w:color w:val="000000" w:themeColor="text1"/>
          <w:sz w:val="32"/>
          <w:szCs w:val="32"/>
        </w:rPr>
        <w:t>201</w:t>
      </w:r>
      <w:r>
        <w:rPr>
          <w:rFonts w:hint="eastAsia" w:eastAsia="仿宋_GB2312"/>
          <w:color w:val="000000" w:themeColor="text1"/>
          <w:sz w:val="32"/>
          <w:szCs w:val="32"/>
        </w:rPr>
        <w:t>7</w:t>
      </w:r>
      <w:r>
        <w:rPr>
          <w:rFonts w:eastAsia="仿宋_GB2312"/>
          <w:color w:val="000000" w:themeColor="text1"/>
          <w:sz w:val="32"/>
          <w:szCs w:val="32"/>
        </w:rPr>
        <w:t>年度决算增加</w:t>
      </w:r>
      <w:r>
        <w:rPr>
          <w:rFonts w:hint="eastAsia" w:eastAsia="仿宋_GB2312"/>
          <w:color w:val="000000" w:themeColor="text1"/>
          <w:sz w:val="32"/>
          <w:szCs w:val="32"/>
        </w:rPr>
        <w:t>6.47</w:t>
      </w:r>
      <w:r>
        <w:rPr>
          <w:rFonts w:eastAsia="仿宋_GB2312"/>
          <w:color w:val="000000" w:themeColor="text1"/>
          <w:sz w:val="32"/>
          <w:szCs w:val="32"/>
        </w:rPr>
        <w:t>万元，增长</w:t>
      </w:r>
      <w:r>
        <w:rPr>
          <w:rFonts w:hint="eastAsia" w:eastAsia="仿宋_GB2312"/>
          <w:color w:val="000000" w:themeColor="text1"/>
          <w:sz w:val="32"/>
          <w:szCs w:val="32"/>
        </w:rPr>
        <w:t>34.09</w:t>
      </w:r>
      <w:r>
        <w:rPr>
          <w:rFonts w:eastAsia="仿宋_GB2312"/>
          <w:color w:val="000000" w:themeColor="text1"/>
          <w:sz w:val="32"/>
          <w:szCs w:val="32"/>
        </w:rPr>
        <w:t>%，主要是</w:t>
      </w:r>
      <w:r>
        <w:rPr>
          <w:rFonts w:hint="eastAsia" w:eastAsia="仿宋_GB2312"/>
          <w:color w:val="000000" w:themeColor="text1"/>
          <w:sz w:val="32"/>
          <w:szCs w:val="32"/>
        </w:rPr>
        <w:t>2017年畜牧公车费用在专项业务费中列支</w:t>
      </w:r>
      <w:r>
        <w:rPr>
          <w:rFonts w:eastAsia="仿宋_GB2312"/>
          <w:color w:val="000000" w:themeColor="text1"/>
          <w:sz w:val="32"/>
          <w:szCs w:val="32"/>
        </w:rPr>
        <w:t>。</w:t>
      </w:r>
    </w:p>
    <w:p>
      <w:pPr>
        <w:adjustRightInd w:val="0"/>
        <w:snapToGrid w:val="0"/>
        <w:spacing w:line="584" w:lineRule="exact"/>
        <w:ind w:firstLine="642"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0.64</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rPr>
        <w:t>18</w:t>
      </w:r>
      <w:r>
        <w:rPr>
          <w:rFonts w:eastAsia="仿宋_GB2312"/>
          <w:sz w:val="32"/>
          <w:szCs w:val="32"/>
        </w:rPr>
        <w:t>批次</w:t>
      </w:r>
      <w:r>
        <w:rPr>
          <w:rFonts w:hint="eastAsia" w:eastAsia="仿宋_GB2312"/>
          <w:sz w:val="32"/>
          <w:szCs w:val="32"/>
        </w:rPr>
        <w:t>、107</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0.46</w:t>
      </w:r>
      <w:r>
        <w:rPr>
          <w:rFonts w:eastAsia="仿宋_GB2312"/>
          <w:sz w:val="32"/>
          <w:szCs w:val="32"/>
        </w:rPr>
        <w:t>万元，降低</w:t>
      </w:r>
      <w:r>
        <w:rPr>
          <w:rFonts w:hint="eastAsia" w:eastAsia="仿宋_GB2312"/>
          <w:sz w:val="32"/>
          <w:szCs w:val="32"/>
        </w:rPr>
        <w:t>41.82</w:t>
      </w:r>
      <w:r>
        <w:rPr>
          <w:rFonts w:eastAsia="仿宋_GB2312"/>
          <w:sz w:val="32"/>
          <w:szCs w:val="32"/>
        </w:rPr>
        <w:t>%，主要是</w:t>
      </w:r>
      <w:r>
        <w:rPr>
          <w:rFonts w:hint="eastAsia" w:eastAsia="仿宋_GB2312"/>
          <w:sz w:val="32"/>
          <w:szCs w:val="32"/>
          <w:lang w:eastAsia="zh-CN"/>
        </w:rPr>
        <w:t>厉行节约</w:t>
      </w:r>
      <w:r>
        <w:rPr>
          <w:rFonts w:hint="eastAsia" w:eastAsia="仿宋_GB2312"/>
          <w:sz w:val="32"/>
          <w:szCs w:val="32"/>
        </w:rPr>
        <w:t>，减少公务接待支出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rPr>
        <w:t>0.16</w:t>
      </w:r>
      <w:r>
        <w:rPr>
          <w:rFonts w:eastAsia="仿宋_GB2312"/>
          <w:sz w:val="32"/>
          <w:szCs w:val="32"/>
        </w:rPr>
        <w:t>万元，增长</w:t>
      </w:r>
      <w:r>
        <w:rPr>
          <w:rFonts w:hint="eastAsia" w:eastAsia="仿宋_GB2312"/>
          <w:sz w:val="32"/>
          <w:szCs w:val="32"/>
        </w:rPr>
        <w:t>33.33</w:t>
      </w:r>
      <w:r>
        <w:rPr>
          <w:rFonts w:eastAsia="仿宋_GB2312"/>
          <w:sz w:val="32"/>
          <w:szCs w:val="32"/>
        </w:rPr>
        <w:t>%，主要是</w:t>
      </w:r>
      <w:r>
        <w:rPr>
          <w:rFonts w:hint="eastAsia" w:eastAsia="仿宋_GB2312"/>
          <w:sz w:val="32"/>
          <w:szCs w:val="32"/>
        </w:rPr>
        <w:t>接待上级部门检查增加</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bookmarkStart w:id="0" w:name="_GoBack"/>
      <w:bookmarkEnd w:id="0"/>
    </w:p>
    <w:p>
      <w:pPr>
        <w:ind w:firstLine="640" w:firstLineChars="200"/>
        <w:rPr>
          <w:rFonts w:ascii="仿宋_GB2312" w:hAnsi="宋体" w:eastAsia="仿宋_GB2312"/>
          <w:sz w:val="32"/>
        </w:rPr>
      </w:pPr>
      <w:r>
        <w:rPr>
          <w:rFonts w:hint="eastAsia" w:ascii="仿宋_GB2312" w:hAnsi="宋体" w:eastAsia="仿宋_GB2312"/>
          <w:sz w:val="32"/>
        </w:rPr>
        <w:t>大城县农业局</w:t>
      </w:r>
      <w:r>
        <w:rPr>
          <w:rFonts w:hint="eastAsia" w:ascii="仿宋_GB2312" w:hAnsi="仿宋_GB2312" w:eastAsia="仿宋_GB2312" w:cs="仿宋_GB2312"/>
          <w:sz w:val="32"/>
          <w:szCs w:val="32"/>
        </w:rPr>
        <w:t>根据县财政预算绩效管理要求</w:t>
      </w:r>
      <w:r>
        <w:rPr>
          <w:rFonts w:hint="eastAsia" w:ascii="仿宋_GB2312" w:hAnsi="仿宋_GB2312" w:eastAsia="仿宋_GB2312" w:cs="仿宋_GB2312"/>
          <w:sz w:val="32"/>
        </w:rPr>
        <w:t>，以绩效为导向，</w:t>
      </w:r>
      <w:r>
        <w:rPr>
          <w:rFonts w:hint="eastAsia" w:ascii="仿宋_GB2312" w:hAnsi="仿宋_GB2312" w:eastAsia="仿宋_GB2312" w:cs="仿宋_GB2312"/>
          <w:sz w:val="32"/>
          <w:szCs w:val="32"/>
        </w:rPr>
        <w:t>以“部门职责—工作活动”为依据，确定部门预算项目和预算额度，清晰描述预算项目开支范围和内容，确定预算项目的绩效目标、绩效指标和评价标准，为预算绩效控制、绩效分析、绩效评价打下好的基础。</w:t>
      </w:r>
      <w:r>
        <w:rPr>
          <w:rFonts w:hint="eastAsia" w:ascii="仿宋_GB2312" w:hAnsi="仿宋_GB2312" w:eastAsia="仿宋_GB2312" w:cs="仿宋_GB2312"/>
          <w:sz w:val="32"/>
        </w:rPr>
        <w:t>根据市</w:t>
      </w:r>
      <w:r>
        <w:rPr>
          <w:rFonts w:hint="eastAsia" w:ascii="仿宋_GB2312" w:hAnsi="仿宋_GB2312" w:eastAsia="仿宋_GB2312" w:cs="仿宋_GB2312"/>
          <w:color w:val="000000" w:themeColor="text1"/>
          <w:sz w:val="32"/>
        </w:rPr>
        <w:t>局《农业财政资金项目管理办法》</w:t>
      </w:r>
      <w:r>
        <w:rPr>
          <w:rFonts w:hint="eastAsia" w:ascii="仿宋_GB2312" w:hAnsi="仿宋_GB2312" w:eastAsia="仿宋_GB2312" w:cs="仿宋_GB2312"/>
          <w:sz w:val="32"/>
        </w:rPr>
        <w:t>，将</w:t>
      </w:r>
      <w:r>
        <w:rPr>
          <w:rFonts w:hint="eastAsia" w:ascii="仿宋_GB2312" w:hAnsi="宋体" w:eastAsia="仿宋_GB2312"/>
          <w:sz w:val="32"/>
        </w:rPr>
        <w:t>绩效考评作为项目执行的重要组成部分，及时掌握项目进展、资金使用和有关绩效指标完成情况，对偏离绩效目标的项目，要及时采取措施加以纠正。在年度项目执行完毕后，及时开展绩效评价，将政策目标实现情况、任务清单完成情况、资金使用情况、项目产出和效果等纳入指标体系，严格奖惩措施、科学评价，并将评价结果在规定范围内公开，接受社会监督。</w:t>
      </w:r>
    </w:p>
    <w:p>
      <w:pPr>
        <w:numPr>
          <w:ilvl w:val="0"/>
          <w:numId w:val="2"/>
        </w:numPr>
        <w:ind w:firstLine="640" w:firstLineChars="200"/>
        <w:rPr>
          <w:rFonts w:ascii="仿宋_GB2312" w:eastAsia="仿宋_GB2312" w:cs="DengXian-Regular"/>
          <w:sz w:val="32"/>
          <w:szCs w:val="32"/>
        </w:rPr>
      </w:pPr>
      <w:r>
        <w:rPr>
          <w:rFonts w:hint="eastAsia" w:ascii="仿宋_GB2312" w:eastAsia="仿宋_GB2312" w:cs="DengXian-Regular"/>
          <w:sz w:val="32"/>
          <w:szCs w:val="32"/>
        </w:rPr>
        <w:t>项目绩效自评结果。</w:t>
      </w:r>
    </w:p>
    <w:p>
      <w:pPr>
        <w:ind w:firstLine="640" w:firstLineChars="200"/>
        <w:rPr>
          <w:rFonts w:ascii="仿宋" w:hAnsi="仿宋" w:eastAsia="仿宋" w:cs="仿宋"/>
          <w:color w:val="000000" w:themeColor="text1"/>
          <w:sz w:val="32"/>
          <w:szCs w:val="32"/>
        </w:rPr>
      </w:pPr>
      <w:r>
        <w:rPr>
          <w:rFonts w:hint="eastAsia" w:ascii="仿宋_GB2312" w:hAnsi="仿宋_GB2312" w:eastAsia="仿宋_GB2312" w:cs="仿宋_GB2312"/>
          <w:sz w:val="32"/>
          <w:szCs w:val="32"/>
        </w:rPr>
        <w:t>部门对 2018 年初确定的部门一般公共预算支出项目全面开展了绩效自评。部门决算</w:t>
      </w:r>
      <w:r>
        <w:rPr>
          <w:rFonts w:hint="eastAsia" w:ascii="仿宋_GB2312" w:hAnsi="仿宋_GB2312" w:eastAsia="仿宋_GB2312" w:cs="仿宋_GB2312"/>
          <w:color w:val="000000" w:themeColor="text1"/>
          <w:sz w:val="32"/>
          <w:szCs w:val="32"/>
        </w:rPr>
        <w:t>项目34项，共涉及预算资金13292.83万元，绩效自评覆盖率达到 100%。</w:t>
      </w:r>
      <w:r>
        <w:rPr>
          <w:rFonts w:hint="eastAsia" w:ascii="仿宋_GB2312" w:hAnsi="仿宋_GB2312" w:eastAsia="仿宋_GB2312" w:cs="仿宋_GB2312"/>
          <w:sz w:val="32"/>
          <w:szCs w:val="32"/>
        </w:rPr>
        <w:t>通过实施预算项目绩效评价发现，预算项目绩效目标设定还需进一步详尽，绩效指标应充分体现“结果”导向原则。进一步改进完善的措施：一是按照“结果”导向原则做好项目绩效目标设定工作，将绩效目标设定从“支出完成”和“实现产出”向注重“全面结果”的评价重点转变；二是完善项目绩效指标设定，进一步探索更具科学性和可操作性的绩效分析、绩效考核指标体系。</w:t>
      </w:r>
    </w:p>
    <w:p>
      <w:pPr>
        <w:numPr>
          <w:ilvl w:val="0"/>
          <w:numId w:val="2"/>
        </w:numPr>
        <w:spacing w:line="52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重点项目绩效评价结果。</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11月29日至12月5日，大城县农业局组成由农业局技术人员及乡镇农技人员为成员的联合验收小组，对2018年我县小麦节水品种及配套技术推广补贴项目实施的留各庄镇、权村镇、平舒镇、旺村镇等10个乡镇（区）项目实施情况进行了县级初验。</w:t>
      </w:r>
    </w:p>
    <w:p>
      <w:pPr>
        <w:pStyle w:val="32"/>
        <w:numPr>
          <w:ilvl w:val="0"/>
          <w:numId w:val="3"/>
        </w:numPr>
        <w:spacing w:line="520" w:lineRule="exact"/>
        <w:ind w:firstLineChars="0"/>
        <w:rPr>
          <w:rFonts w:hint="eastAsia" w:ascii="黑体" w:hAnsi="黑体" w:eastAsia="黑体" w:cs="黑体"/>
          <w:sz w:val="30"/>
          <w:szCs w:val="30"/>
        </w:rPr>
      </w:pPr>
      <w:r>
        <w:rPr>
          <w:rFonts w:hint="eastAsia" w:ascii="黑体" w:hAnsi="黑体" w:eastAsia="黑体" w:cs="黑体"/>
          <w:sz w:val="32"/>
          <w:szCs w:val="32"/>
        </w:rPr>
        <w:t>验收内容</w:t>
      </w:r>
    </w:p>
    <w:p>
      <w:pPr>
        <w:ind w:firstLine="321" w:firstLineChars="1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（一）领导小组成立情况，是否有包村人员，乡镇责任书、村委会承诺书、村街与种植户协议签订情况。供种合同、供种清册等纸质材料保存情况，会议、宣传、公示情况。</w:t>
      </w:r>
    </w:p>
    <w:p>
      <w:pPr>
        <w:pStyle w:val="32"/>
        <w:spacing w:line="520" w:lineRule="exact"/>
        <w:ind w:left="420" w:firstLine="0" w:firstLineChars="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（二）实地考察项目实施情况，核实种植面积情况、小麦出苗或发芽情况。</w:t>
      </w:r>
    </w:p>
    <w:p>
      <w:pPr>
        <w:pStyle w:val="32"/>
        <w:numPr>
          <w:ilvl w:val="0"/>
          <w:numId w:val="3"/>
        </w:numPr>
        <w:spacing w:line="520" w:lineRule="exact"/>
        <w:ind w:firstLineChars="0"/>
        <w:rPr>
          <w:sz w:val="32"/>
          <w:szCs w:val="32"/>
        </w:rPr>
      </w:pPr>
      <w:r>
        <w:rPr>
          <w:rFonts w:hint="eastAsia" w:ascii="黑体" w:hAnsi="黑体" w:eastAsia="黑体" w:cs="黑体"/>
          <w:sz w:val="32"/>
          <w:szCs w:val="32"/>
        </w:rPr>
        <w:t>验收办法</w:t>
      </w:r>
    </w:p>
    <w:p>
      <w:pPr>
        <w:pStyle w:val="32"/>
        <w:spacing w:line="520" w:lineRule="exact"/>
        <w:ind w:left="0" w:leftChars="0" w:firstLine="640" w:firstLineChars="200"/>
        <w:rPr>
          <w:sz w:val="30"/>
          <w:szCs w:val="30"/>
        </w:rPr>
      </w:pPr>
      <w:r>
        <w:rPr>
          <w:rFonts w:hint="eastAsia" w:ascii="仿宋_GB2312" w:hAnsi="仿宋_GB2312" w:eastAsia="仿宋_GB2312" w:cs="仿宋_GB2312"/>
          <w:sz w:val="32"/>
          <w:szCs w:val="32"/>
        </w:rPr>
        <w:t>验收采取项目区全覆盖的形式，查验项目实施的10个乡镇（区）涉及到的22户农民专业合作社、家庭农场、农业公司等，验收组实地调查项目实施面积，实施位置，播种后苗情，现场予以确认</w:t>
      </w:r>
      <w:r>
        <w:rPr>
          <w:rFonts w:hint="eastAsia"/>
          <w:sz w:val="30"/>
          <w:szCs w:val="30"/>
        </w:rPr>
        <w:t>。</w:t>
      </w:r>
    </w:p>
    <w:p>
      <w:pPr>
        <w:pStyle w:val="32"/>
        <w:numPr>
          <w:ilvl w:val="0"/>
          <w:numId w:val="3"/>
        </w:numPr>
        <w:spacing w:line="520" w:lineRule="exact"/>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验收结果</w:t>
      </w:r>
    </w:p>
    <w:p>
      <w:pPr>
        <w:pStyle w:val="32"/>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验收小组在全县的10个乡镇（区）、22个村街、22个农民专业合作社（家庭农场、农业公司）一一进行查验，共查验面积11000亩。通过查看相关的资料，田间现场核实，项目对象档案资料齐全，全部完成了项目实施任务，同意全县10个乡镇（区）共1.1万亩小麦节水品种及配套技术推广补贴项目通过验收，绩效评价结果为优。</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2"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本部门2018年度机关运行经费支出160</w:t>
      </w:r>
      <w:r>
        <w:rPr>
          <w:rFonts w:hint="eastAsia" w:ascii="宋体" w:hAnsi="宋体" w:cs="宋体"/>
          <w:sz w:val="32"/>
          <w:szCs w:val="32"/>
        </w:rPr>
        <w:t>.</w:t>
      </w:r>
      <w:r>
        <w:rPr>
          <w:rFonts w:hint="eastAsia" w:ascii="仿宋_GB2312" w:eastAsia="仿宋_GB2312" w:cs="DengXian-Regular"/>
          <w:sz w:val="32"/>
          <w:szCs w:val="32"/>
        </w:rPr>
        <w:t>3万元，比年初预算数减少</w:t>
      </w:r>
      <w:r>
        <w:rPr>
          <w:rFonts w:eastAsia="仿宋_GB2312"/>
          <w:sz w:val="32"/>
          <w:szCs w:val="32"/>
        </w:rPr>
        <w:t xml:space="preserve"> </w:t>
      </w:r>
      <w:r>
        <w:rPr>
          <w:rFonts w:hint="eastAsia" w:eastAsia="仿宋_GB2312"/>
          <w:sz w:val="32"/>
          <w:szCs w:val="32"/>
        </w:rPr>
        <w:t>1.29</w:t>
      </w:r>
      <w:r>
        <w:rPr>
          <w:rFonts w:hint="eastAsia" w:ascii="仿宋_GB2312" w:eastAsia="仿宋_GB2312" w:cs="DengXian-Regular"/>
          <w:sz w:val="32"/>
          <w:szCs w:val="32"/>
        </w:rPr>
        <w:t>万元，降低0</w:t>
      </w:r>
      <w:r>
        <w:rPr>
          <w:rFonts w:hint="eastAsia" w:ascii="宋体" w:hAnsi="宋体" w:cs="宋体"/>
          <w:sz w:val="32"/>
          <w:szCs w:val="32"/>
        </w:rPr>
        <w:t>.</w:t>
      </w:r>
      <w:r>
        <w:rPr>
          <w:rFonts w:hint="eastAsia" w:ascii="仿宋_GB2312" w:eastAsia="仿宋_GB2312" w:cs="DengXian-Regular"/>
          <w:sz w:val="32"/>
          <w:szCs w:val="32"/>
        </w:rPr>
        <w:t>8</w:t>
      </w:r>
      <w:r>
        <w:rPr>
          <w:rFonts w:eastAsia="仿宋_GB2312"/>
          <w:sz w:val="32"/>
          <w:szCs w:val="32"/>
        </w:rPr>
        <w:t>%</w:t>
      </w:r>
      <w:r>
        <w:rPr>
          <w:rFonts w:hint="eastAsia" w:ascii="仿宋_GB2312" w:eastAsia="仿宋_GB2312" w:cs="DengXian-Regular"/>
          <w:sz w:val="32"/>
          <w:szCs w:val="32"/>
        </w:rPr>
        <w:t>。</w:t>
      </w:r>
      <w:r>
        <w:rPr>
          <w:rFonts w:hint="eastAsia" w:ascii="仿宋_GB2312" w:eastAsia="仿宋_GB2312" w:cs="DengXian-Regular"/>
          <w:sz w:val="32"/>
          <w:szCs w:val="32"/>
          <w:lang w:eastAsia="zh-CN"/>
        </w:rPr>
        <w:t>主要是严格管控节约开支</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rPr>
        <w:t>21.63</w:t>
      </w:r>
      <w:r>
        <w:rPr>
          <w:rFonts w:eastAsia="仿宋_GB2312"/>
          <w:sz w:val="32"/>
          <w:szCs w:val="32"/>
        </w:rPr>
        <w:t>万元，增长</w:t>
      </w:r>
      <w:r>
        <w:rPr>
          <w:rFonts w:hint="eastAsia" w:eastAsia="仿宋_GB2312"/>
          <w:sz w:val="32"/>
          <w:szCs w:val="32"/>
        </w:rPr>
        <w:t>15.6</w:t>
      </w:r>
      <w:r>
        <w:rPr>
          <w:rFonts w:eastAsia="仿宋_GB2312"/>
          <w:sz w:val="32"/>
          <w:szCs w:val="32"/>
        </w:rPr>
        <w:t>%，主要是</w:t>
      </w:r>
      <w:r>
        <w:rPr>
          <w:rFonts w:hint="eastAsia" w:eastAsia="仿宋_GB2312"/>
          <w:sz w:val="32"/>
          <w:szCs w:val="32"/>
        </w:rPr>
        <w:t>工作任务增加，费用增加</w:t>
      </w:r>
      <w:r>
        <w:rPr>
          <w:rFonts w:eastAsia="仿宋_GB2312"/>
          <w:sz w:val="32"/>
          <w:szCs w:val="32"/>
        </w:rPr>
        <w:t>。</w:t>
      </w:r>
    </w:p>
    <w:p>
      <w:pPr>
        <w:pStyle w:val="4"/>
        <w:spacing w:before="0" w:after="0" w:line="580" w:lineRule="exact"/>
        <w:ind w:firstLine="642"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本部门2018年度政府采购支出总额23</w:t>
      </w:r>
      <w:r>
        <w:rPr>
          <w:rFonts w:hint="eastAsia" w:ascii="宋体" w:hAnsi="宋体" w:cs="宋体"/>
          <w:sz w:val="32"/>
          <w:szCs w:val="32"/>
        </w:rPr>
        <w:t>4.</w:t>
      </w:r>
      <w:r>
        <w:rPr>
          <w:rFonts w:hint="eastAsia" w:ascii="仿宋_GB2312" w:eastAsia="仿宋_GB2312" w:cs="DengXian-Regular"/>
          <w:sz w:val="32"/>
          <w:szCs w:val="32"/>
        </w:rPr>
        <w:t>2万元，从采购类型来看，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rPr>
        <w:t>15</w:t>
      </w:r>
      <w:r>
        <w:rPr>
          <w:rFonts w:hint="eastAsia" w:ascii="宋体" w:hAnsi="宋体" w:cs="宋体"/>
          <w:color w:val="000000"/>
          <w:kern w:val="0"/>
          <w:sz w:val="32"/>
          <w:szCs w:val="32"/>
        </w:rPr>
        <w:t>.</w:t>
      </w: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rPr>
        <w:t>117</w:t>
      </w:r>
      <w:r>
        <w:rPr>
          <w:rFonts w:hint="eastAsia" w:ascii="宋体" w:hAnsi="宋体" w:cs="宋体"/>
          <w:color w:val="000000"/>
          <w:kern w:val="0"/>
          <w:sz w:val="32"/>
          <w:szCs w:val="32"/>
        </w:rPr>
        <w:t>.</w:t>
      </w: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rPr>
        <w:t>102</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rPr>
        <w:t>0</w:t>
      </w:r>
      <w:r>
        <w:rPr>
          <w:rFonts w:ascii="仿宋_GB2312" w:hAnsi="仿宋_GB2312" w:eastAsia="仿宋_GB2312" w:cs="仿宋_GB2312"/>
          <w:color w:val="000000"/>
          <w:kern w:val="0"/>
          <w:sz w:val="32"/>
          <w:szCs w:val="32"/>
        </w:rPr>
        <w:t>%。</w:t>
      </w:r>
    </w:p>
    <w:p>
      <w:pPr>
        <w:pStyle w:val="4"/>
        <w:spacing w:before="0" w:after="0" w:line="580" w:lineRule="exact"/>
        <w:ind w:firstLine="642"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8辆，比上年增加（减少）0辆。其中，副部（省）级及以上领导用车0辆，主要领导干部用车0辆，机要通信用车0辆，应急保障用车3辆，执法执勤用车2辆，特种专业技术用车3辆，离退休干部用车0辆，其他用车0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万元以上通用设备0台（套），比上年增加（减少）0套，单位价值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万元以上专用设备0台（套）比上年增加（减少）0套</w:t>
      </w:r>
      <w:r>
        <w:rPr>
          <w:rFonts w:hint="eastAsia" w:ascii="仿宋_GB2312" w:cs="DengXian-Regular" w:eastAsiaTheme="minorEastAsia"/>
          <w:sz w:val="32"/>
          <w:szCs w:val="32"/>
        </w:rPr>
        <w:t>，</w:t>
      </w:r>
      <w:r>
        <w:rPr>
          <w:rFonts w:hint="eastAsia" w:ascii="仿宋_GB2312" w:eastAsia="仿宋_GB2312" w:cs="DengXian-Regular"/>
          <w:sz w:val="32"/>
          <w:szCs w:val="32"/>
        </w:rPr>
        <w:t>较上年无增减变化。</w:t>
      </w:r>
    </w:p>
    <w:p>
      <w:pPr>
        <w:pStyle w:val="4"/>
        <w:spacing w:before="0" w:after="0" w:line="580" w:lineRule="exact"/>
        <w:ind w:firstLine="642"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1、本部门2018年度国有资本经营无收支及结转结余情况，故国有资本经营预算财政拨款支出决算表以空表列示。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2"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2"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黑体">
    <w:altName w:val="方正黑体_GBK"/>
    <w:panose1 w:val="00000000000000000000"/>
    <w:charset w:val="86"/>
    <w:family w:val="auto"/>
    <w:pitch w:val="default"/>
    <w:sig w:usb0="00000000" w:usb1="00000000" w:usb2="00000000" w:usb3="00000000" w:csb0="00000000"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UnicodeMS">
    <w:altName w:val="Times New Roman"/>
    <w:panose1 w:val="00000000000000000000"/>
    <w:charset w:val="81"/>
    <w:family w:val="auto"/>
    <w:pitch w:val="default"/>
    <w:sig w:usb0="00000000" w:usb1="00000000" w:usb2="00000010" w:usb3="00000000" w:csb0="00080001" w:csb1="00000000"/>
  </w:font>
  <w:font w:name="MS-UIGothic,Bold">
    <w:altName w:val="方正黑体_GBK"/>
    <w:panose1 w:val="00000000000000000000"/>
    <w:charset w:val="81"/>
    <w:family w:val="auto"/>
    <w:pitch w:val="default"/>
    <w:sig w:usb0="00000000" w:usb1="00000000" w:usb2="00000010" w:usb3="00000000" w:csb0="00080000" w:csb1="00000000"/>
  </w:font>
  <w:font w:name="仿宋">
    <w:altName w:val="方正仿宋_GBK"/>
    <w:panose1 w:val="02010609060101010101"/>
    <w:charset w:val="86"/>
    <w:family w:val="modern"/>
    <w:pitch w:val="default"/>
    <w:sig w:usb0="00000000" w:usb1="00000000" w:usb2="00000016" w:usb3="00000000" w:csb0="00040001" w:csb1="00000000"/>
  </w:font>
  <w:font w:name="DengXian-Regular">
    <w:altName w:val="Noto Serif CJK JP"/>
    <w:panose1 w:val="00000000000000000000"/>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DengXian-Bold">
    <w:altName w:val="Noto Serif CJK JP"/>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00"/>
    <w:family w:val="swiss"/>
    <w:pitch w:val="default"/>
    <w:sig w:usb0="00000000" w:usb1="00000000" w:usb2="00000000" w:usb3="00000000" w:csb0="00000001" w:csb1="00000000"/>
  </w:font>
  <w:font w:name="黑体">
    <w:altName w:val="方正黑体_GBK"/>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Noto Sans Syriac Eastern">
    <w:panose1 w:val="02040503050306020203"/>
    <w:charset w:val="86"/>
    <w:family w:val="auto"/>
    <w:pitch w:val="default"/>
    <w:sig w:usb0="00000000" w:usb1="00000000" w:usb2="00000080" w:usb3="00000000" w:csb0="203E0161" w:csb1="D7FF0000"/>
  </w:font>
  <w:font w:name="方正仿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16D65E"/>
    <w:multiLevelType w:val="singleLevel"/>
    <w:tmpl w:val="EA16D65E"/>
    <w:lvl w:ilvl="0" w:tentative="0">
      <w:start w:val="2"/>
      <w:numFmt w:val="chineseCounting"/>
      <w:suff w:val="nothing"/>
      <w:lvlText w:val="（%1）"/>
      <w:lvlJc w:val="left"/>
      <w:rPr>
        <w:rFonts w:hint="eastAsia"/>
      </w:rPr>
    </w:lvl>
  </w:abstractNum>
  <w:abstractNum w:abstractNumId="1">
    <w:nsid w:val="374D342E"/>
    <w:multiLevelType w:val="multilevel"/>
    <w:tmpl w:val="374D342E"/>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embedTrueTypeFonts/>
  <w:saveSubsetFonts/>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1413"/>
    <w:rsid w:val="00020FAF"/>
    <w:rsid w:val="00022474"/>
    <w:rsid w:val="00024E7F"/>
    <w:rsid w:val="000475A0"/>
    <w:rsid w:val="00067693"/>
    <w:rsid w:val="000838C3"/>
    <w:rsid w:val="000B2446"/>
    <w:rsid w:val="000D7C65"/>
    <w:rsid w:val="000E2F81"/>
    <w:rsid w:val="00101F8D"/>
    <w:rsid w:val="00111F95"/>
    <w:rsid w:val="00117946"/>
    <w:rsid w:val="00117E2C"/>
    <w:rsid w:val="00136E0E"/>
    <w:rsid w:val="00146C47"/>
    <w:rsid w:val="00152FB8"/>
    <w:rsid w:val="0017250F"/>
    <w:rsid w:val="00176658"/>
    <w:rsid w:val="0018239E"/>
    <w:rsid w:val="001B3410"/>
    <w:rsid w:val="001B7503"/>
    <w:rsid w:val="001C030D"/>
    <w:rsid w:val="001C4A84"/>
    <w:rsid w:val="001E5902"/>
    <w:rsid w:val="00233705"/>
    <w:rsid w:val="002430B0"/>
    <w:rsid w:val="00246D99"/>
    <w:rsid w:val="00257266"/>
    <w:rsid w:val="00262306"/>
    <w:rsid w:val="00275CA2"/>
    <w:rsid w:val="002857C4"/>
    <w:rsid w:val="002A65A5"/>
    <w:rsid w:val="002C04C4"/>
    <w:rsid w:val="002D08B0"/>
    <w:rsid w:val="002D1AE3"/>
    <w:rsid w:val="002F2ECE"/>
    <w:rsid w:val="00341C8F"/>
    <w:rsid w:val="0035463A"/>
    <w:rsid w:val="00391D9D"/>
    <w:rsid w:val="003A5880"/>
    <w:rsid w:val="003B6C51"/>
    <w:rsid w:val="003C1413"/>
    <w:rsid w:val="003C549F"/>
    <w:rsid w:val="003D5A16"/>
    <w:rsid w:val="003E7DB3"/>
    <w:rsid w:val="00431175"/>
    <w:rsid w:val="004374A3"/>
    <w:rsid w:val="00493686"/>
    <w:rsid w:val="004A301B"/>
    <w:rsid w:val="004B6E37"/>
    <w:rsid w:val="004C32BA"/>
    <w:rsid w:val="004C68EF"/>
    <w:rsid w:val="004D5883"/>
    <w:rsid w:val="004E3DC8"/>
    <w:rsid w:val="00554601"/>
    <w:rsid w:val="00575922"/>
    <w:rsid w:val="005A3C0D"/>
    <w:rsid w:val="005A6C90"/>
    <w:rsid w:val="005B37E6"/>
    <w:rsid w:val="005E3FB0"/>
    <w:rsid w:val="005F4B66"/>
    <w:rsid w:val="005F5208"/>
    <w:rsid w:val="006134F3"/>
    <w:rsid w:val="00615C31"/>
    <w:rsid w:val="00641318"/>
    <w:rsid w:val="0064405D"/>
    <w:rsid w:val="00695557"/>
    <w:rsid w:val="006D4EA7"/>
    <w:rsid w:val="0070012A"/>
    <w:rsid w:val="0070664B"/>
    <w:rsid w:val="007071B8"/>
    <w:rsid w:val="007155C2"/>
    <w:rsid w:val="00734454"/>
    <w:rsid w:val="007414DE"/>
    <w:rsid w:val="00760C0C"/>
    <w:rsid w:val="007905A9"/>
    <w:rsid w:val="007A55F1"/>
    <w:rsid w:val="007E072B"/>
    <w:rsid w:val="007E5500"/>
    <w:rsid w:val="007F055B"/>
    <w:rsid w:val="007F2EED"/>
    <w:rsid w:val="00811C2F"/>
    <w:rsid w:val="00816DD3"/>
    <w:rsid w:val="00833D46"/>
    <w:rsid w:val="00836215"/>
    <w:rsid w:val="00840A97"/>
    <w:rsid w:val="00844EE7"/>
    <w:rsid w:val="00847713"/>
    <w:rsid w:val="00861C7C"/>
    <w:rsid w:val="00864AA5"/>
    <w:rsid w:val="00872B02"/>
    <w:rsid w:val="00873292"/>
    <w:rsid w:val="008A640A"/>
    <w:rsid w:val="008B1A43"/>
    <w:rsid w:val="008C0149"/>
    <w:rsid w:val="008D5DED"/>
    <w:rsid w:val="008E25CA"/>
    <w:rsid w:val="008F34FC"/>
    <w:rsid w:val="00914583"/>
    <w:rsid w:val="00916EC0"/>
    <w:rsid w:val="00944CD7"/>
    <w:rsid w:val="00961190"/>
    <w:rsid w:val="009831B2"/>
    <w:rsid w:val="009A1ABE"/>
    <w:rsid w:val="009E21A4"/>
    <w:rsid w:val="009F22C6"/>
    <w:rsid w:val="00A07E50"/>
    <w:rsid w:val="00A12C15"/>
    <w:rsid w:val="00A15397"/>
    <w:rsid w:val="00A35CE0"/>
    <w:rsid w:val="00A4462E"/>
    <w:rsid w:val="00A44AA4"/>
    <w:rsid w:val="00A4761C"/>
    <w:rsid w:val="00A61623"/>
    <w:rsid w:val="00A84687"/>
    <w:rsid w:val="00AA0458"/>
    <w:rsid w:val="00AB0A0E"/>
    <w:rsid w:val="00AD3B6E"/>
    <w:rsid w:val="00AF6D31"/>
    <w:rsid w:val="00B1751F"/>
    <w:rsid w:val="00B2631E"/>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C54C1"/>
    <w:rsid w:val="00CE3FC3"/>
    <w:rsid w:val="00D0048E"/>
    <w:rsid w:val="00D23E7A"/>
    <w:rsid w:val="00D56D8F"/>
    <w:rsid w:val="00D61063"/>
    <w:rsid w:val="00D767B4"/>
    <w:rsid w:val="00DB35AF"/>
    <w:rsid w:val="00DD72D7"/>
    <w:rsid w:val="00DF2F6D"/>
    <w:rsid w:val="00DF5B88"/>
    <w:rsid w:val="00E0589E"/>
    <w:rsid w:val="00E0697F"/>
    <w:rsid w:val="00E12CE9"/>
    <w:rsid w:val="00E241FA"/>
    <w:rsid w:val="00E2595E"/>
    <w:rsid w:val="00E35374"/>
    <w:rsid w:val="00E50C19"/>
    <w:rsid w:val="00E64655"/>
    <w:rsid w:val="00E73081"/>
    <w:rsid w:val="00E856C9"/>
    <w:rsid w:val="00EA4F68"/>
    <w:rsid w:val="00EB6A8B"/>
    <w:rsid w:val="00EC6814"/>
    <w:rsid w:val="00ED411D"/>
    <w:rsid w:val="00EF38C6"/>
    <w:rsid w:val="00F679C7"/>
    <w:rsid w:val="00F73C2B"/>
    <w:rsid w:val="00F7711A"/>
    <w:rsid w:val="00F80C72"/>
    <w:rsid w:val="00FA0D58"/>
    <w:rsid w:val="00FA1580"/>
    <w:rsid w:val="00FA56F4"/>
    <w:rsid w:val="00FB4EDA"/>
    <w:rsid w:val="00FD3BD5"/>
    <w:rsid w:val="00FE3DC8"/>
    <w:rsid w:val="04073F84"/>
    <w:rsid w:val="0B60750A"/>
    <w:rsid w:val="10686488"/>
    <w:rsid w:val="10DF728A"/>
    <w:rsid w:val="1264200E"/>
    <w:rsid w:val="141C5B77"/>
    <w:rsid w:val="145371E5"/>
    <w:rsid w:val="18D8339D"/>
    <w:rsid w:val="1A21388F"/>
    <w:rsid w:val="1A570D2F"/>
    <w:rsid w:val="274A3253"/>
    <w:rsid w:val="28FB0B8D"/>
    <w:rsid w:val="2C3068FE"/>
    <w:rsid w:val="2D2B7942"/>
    <w:rsid w:val="2D46481D"/>
    <w:rsid w:val="2E733B28"/>
    <w:rsid w:val="31852B5A"/>
    <w:rsid w:val="32D01238"/>
    <w:rsid w:val="3DFC59A8"/>
    <w:rsid w:val="3ECF245E"/>
    <w:rsid w:val="3FB96314"/>
    <w:rsid w:val="405C60A8"/>
    <w:rsid w:val="406A2C53"/>
    <w:rsid w:val="46BE7B71"/>
    <w:rsid w:val="53A44FAF"/>
    <w:rsid w:val="594329EC"/>
    <w:rsid w:val="5BEE1540"/>
    <w:rsid w:val="5DE61A5D"/>
    <w:rsid w:val="61A92F9D"/>
    <w:rsid w:val="63C04243"/>
    <w:rsid w:val="649C01C7"/>
    <w:rsid w:val="699A3F60"/>
    <w:rsid w:val="6B8F2851"/>
    <w:rsid w:val="70185C36"/>
    <w:rsid w:val="72902E62"/>
    <w:rsid w:val="73C61104"/>
    <w:rsid w:val="776452EA"/>
    <w:rsid w:val="7DC663B9"/>
    <w:rsid w:val="7F825C33"/>
    <w:rsid w:val="7FCC6561"/>
    <w:rsid w:val="7FD21032"/>
    <w:rsid w:val="F7E7F4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1776155717762"/>
          <c:y val="0.0284697508896798"/>
        </c:manualLayout>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收入结构</c:v>
                </c:pt>
              </c:strCache>
            </c:strRef>
          </c:tx>
          <c:explosion val="0"/>
          <c:dPt>
            <c:idx val="0"/>
            <c:bubble3D val="false"/>
          </c:dPt>
          <c:dPt>
            <c:idx val="1"/>
            <c:bubble3D val="false"/>
          </c:dPt>
          <c:dPt>
            <c:idx val="2"/>
            <c:bubble3D val="false"/>
          </c:dPt>
          <c:dPt>
            <c:idx val="3"/>
            <c:bubble3D val="false"/>
          </c:dPt>
          <c:dLbls>
            <c:delete val="true"/>
          </c:dLbls>
          <c:cat>
            <c:strRef>
              <c:f>Sheet1!$A$2:$A$5</c:f>
              <c:strCache>
                <c:ptCount val="4"/>
                <c:pt idx="0">
                  <c:v>财政拨款</c:v>
                </c:pt>
                <c:pt idx="1">
                  <c:v>事业收入</c:v>
                </c:pt>
                <c:pt idx="2">
                  <c:v>经营收入</c:v>
                </c:pt>
                <c:pt idx="3">
                  <c:v>其他收入</c:v>
                </c:pt>
              </c:strCache>
            </c:strRef>
          </c:cat>
          <c:val>
            <c:numRef>
              <c:f>Sheet1!$B$2:$B$5</c:f>
              <c:numCache>
                <c:formatCode>General</c:formatCode>
                <c:ptCount val="4"/>
                <c:pt idx="0">
                  <c:v>100</c:v>
                </c:pt>
                <c:pt idx="1">
                  <c:v>0</c:v>
                </c:pt>
                <c:pt idx="2">
                  <c:v>0</c:v>
                </c:pt>
                <c:pt idx="3">
                  <c:v>0</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12700" cap="flat" cmpd="sng" algn="ctr">
      <a:noFill/>
      <a:prstDash val="solid"/>
      <a:round/>
    </a:ln>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2242005080313"/>
          <c:y val="0.04"/>
        </c:manualLayout>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支出结构</c:v>
                </c:pt>
              </c:strCache>
            </c:strRef>
          </c:tx>
          <c:spPr>
            <a:ln>
              <a:noFill/>
            </a:ln>
          </c:spPr>
          <c:explosion val="0"/>
          <c:dPt>
            <c:idx val="0"/>
            <c:bubble3D val="false"/>
            <c:spPr>
              <a:ln>
                <a:noFill/>
              </a:ln>
            </c:spPr>
          </c:dPt>
          <c:dPt>
            <c:idx val="1"/>
            <c:bubble3D val="false"/>
            <c:spPr>
              <a:ln>
                <a:noFill/>
              </a:ln>
            </c:spPr>
          </c:dPt>
          <c:dPt>
            <c:idx val="2"/>
            <c:bubble3D val="false"/>
            <c:spPr>
              <a:ln>
                <a:noFill/>
              </a:ln>
            </c:spPr>
          </c:dPt>
          <c:dPt>
            <c:idx val="3"/>
            <c:bubble3D val="false"/>
            <c:spPr>
              <a:ln>
                <a:noFill/>
              </a:ln>
            </c:spPr>
          </c:dPt>
          <c:dLbls>
            <c:delete val="true"/>
          </c:dLbls>
          <c:cat>
            <c:strRef>
              <c:f>Sheet1!$A$2:$A$5</c:f>
              <c:strCache>
                <c:ptCount val="3"/>
                <c:pt idx="0">
                  <c:v>基本支出</c:v>
                </c:pt>
                <c:pt idx="1">
                  <c:v>项目支出</c:v>
                </c:pt>
                <c:pt idx="2">
                  <c:v>经营支出</c:v>
                </c:pt>
              </c:strCache>
            </c:strRef>
          </c:cat>
          <c:val>
            <c:numRef>
              <c:f>Sheet1!$B$2:$B$5</c:f>
              <c:numCache>
                <c:formatCode>General</c:formatCode>
                <c:ptCount val="4"/>
                <c:pt idx="0">
                  <c:v>16.02</c:v>
                </c:pt>
                <c:pt idx="1">
                  <c:v>83.98</c:v>
                </c:pt>
                <c:pt idx="2">
                  <c:v>0</c:v>
                </c:pt>
                <c:pt idx="3">
                  <c:v>0</c:v>
                </c:pt>
              </c:numCache>
            </c:numRef>
          </c:val>
        </c:ser>
        <c:dLbls>
          <c:showLegendKey val="false"/>
          <c:showVal val="false"/>
          <c:showCatName val="false"/>
          <c:showSerName val="false"/>
          <c:showPercent val="false"/>
          <c:showBubbleSize val="false"/>
          <c:showLeaderLines val="true"/>
        </c:dLbls>
        <c:firstSliceAng val="0"/>
      </c:pieChart>
    </c:plotArea>
    <c:legend>
      <c:legendPos val="r"/>
      <c:legendEntry>
        <c:idx val="3"/>
        <c:delete val="true"/>
      </c:legendEntry>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12700" cap="flat" cmpd="sng" algn="ctr">
      <a:noFill/>
      <a:prstDash val="solid"/>
      <a:round/>
    </a:ln>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2018年</c:v>
                </c:pt>
              </c:strCache>
            </c:strRef>
          </c:tx>
          <c:invertIfNegative val="false"/>
          <c:dLbls>
            <c:delete val="true"/>
          </c:dLbls>
          <c:cat>
            <c:strRef>
              <c:f>Sheet1!$A$2:$A$7</c:f>
              <c:strCache>
                <c:ptCount val="6"/>
                <c:pt idx="0">
                  <c:v>财政拨款收入</c:v>
                </c:pt>
                <c:pt idx="1">
                  <c:v>财政拨款支出</c:v>
                </c:pt>
                <c:pt idx="2">
                  <c:v>一般公共预算财政拨款收入</c:v>
                </c:pt>
                <c:pt idx="3">
                  <c:v>一般公共预算财政拨款支出</c:v>
                </c:pt>
                <c:pt idx="4">
                  <c:v>政府性基金预算财政拨款收入</c:v>
                </c:pt>
                <c:pt idx="5">
                  <c:v>政府性基金预算财政拨款支出</c:v>
                </c:pt>
              </c:strCache>
            </c:strRef>
          </c:cat>
          <c:val>
            <c:numRef>
              <c:f>Sheet1!$B$2:$B$7</c:f>
              <c:numCache>
                <c:formatCode>General</c:formatCode>
                <c:ptCount val="6"/>
                <c:pt idx="0">
                  <c:v>16760.92</c:v>
                </c:pt>
                <c:pt idx="1">
                  <c:v>15828.98</c:v>
                </c:pt>
                <c:pt idx="2">
                  <c:v>15241.7</c:v>
                </c:pt>
                <c:pt idx="3">
                  <c:v>14346.66</c:v>
                </c:pt>
                <c:pt idx="4">
                  <c:v>1519.22</c:v>
                </c:pt>
                <c:pt idx="5">
                  <c:v>1482.32</c:v>
                </c:pt>
              </c:numCache>
            </c:numRef>
          </c:val>
        </c:ser>
        <c:ser>
          <c:idx val="1"/>
          <c:order val="1"/>
          <c:tx>
            <c:strRef>
              <c:f>Sheet1!$C$1</c:f>
              <c:strCache>
                <c:ptCount val="1"/>
                <c:pt idx="0">
                  <c:v>2017年</c:v>
                </c:pt>
              </c:strCache>
            </c:strRef>
          </c:tx>
          <c:invertIfNegative val="false"/>
          <c:dLbls>
            <c:delete val="true"/>
          </c:dLbls>
          <c:cat>
            <c:strRef>
              <c:f>Sheet1!$A$2:$A$7</c:f>
              <c:strCache>
                <c:ptCount val="6"/>
                <c:pt idx="0">
                  <c:v>财政拨款收入</c:v>
                </c:pt>
                <c:pt idx="1">
                  <c:v>财政拨款支出</c:v>
                </c:pt>
                <c:pt idx="2">
                  <c:v>一般公共预算财政拨款收入</c:v>
                </c:pt>
                <c:pt idx="3">
                  <c:v>一般公共预算财政拨款支出</c:v>
                </c:pt>
                <c:pt idx="4">
                  <c:v>政府性基金预算财政拨款收入</c:v>
                </c:pt>
                <c:pt idx="5">
                  <c:v>政府性基金预算财政拨款支出</c:v>
                </c:pt>
              </c:strCache>
            </c:strRef>
          </c:cat>
          <c:val>
            <c:numRef>
              <c:f>Sheet1!$C$2:$C$7</c:f>
              <c:numCache>
                <c:formatCode>General</c:formatCode>
                <c:ptCount val="6"/>
                <c:pt idx="0">
                  <c:v>12519.86</c:v>
                </c:pt>
                <c:pt idx="1">
                  <c:v>13236.99</c:v>
                </c:pt>
                <c:pt idx="2">
                  <c:v>16173.52</c:v>
                </c:pt>
                <c:pt idx="3">
                  <c:v>11034.21</c:v>
                </c:pt>
                <c:pt idx="4">
                  <c:v>2202.78</c:v>
                </c:pt>
                <c:pt idx="5">
                  <c:v>2202.78</c:v>
                </c:pt>
              </c:numCache>
            </c:numRef>
          </c:val>
        </c:ser>
        <c:dLbls>
          <c:showLegendKey val="false"/>
          <c:showVal val="false"/>
          <c:showCatName val="false"/>
          <c:showSerName val="false"/>
          <c:showPercent val="false"/>
          <c:showBubbleSize val="false"/>
        </c:dLbls>
        <c:gapWidth val="150"/>
        <c:axId val="207614720"/>
        <c:axId val="207616256"/>
      </c:barChart>
      <c:catAx>
        <c:axId val="207614720"/>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07616256"/>
        <c:crosses val="autoZero"/>
        <c:auto val="true"/>
        <c:lblAlgn val="ctr"/>
        <c:lblOffset val="100"/>
        <c:noMultiLvlLbl val="false"/>
      </c:catAx>
      <c:valAx>
        <c:axId val="20761625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07614720"/>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12700" cap="flat" cmpd="sng" algn="ctr">
      <a:noFill/>
      <a:prstDash val="solid"/>
      <a:round/>
    </a:ln>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2018年决算</c:v>
                </c:pt>
              </c:strCache>
            </c:strRef>
          </c:tx>
          <c:invertIfNegative val="false"/>
          <c:dLbls>
            <c:delete val="true"/>
          </c:dLbls>
          <c:cat>
            <c:strRef>
              <c:f>Sheet1!$A$2:$A$7</c:f>
              <c:strCache>
                <c:ptCount val="6"/>
                <c:pt idx="0">
                  <c:v>财政拨款收入</c:v>
                </c:pt>
                <c:pt idx="1">
                  <c:v>财政拨款支出</c:v>
                </c:pt>
                <c:pt idx="2">
                  <c:v>一般公共预算财政拨款收入</c:v>
                </c:pt>
                <c:pt idx="3">
                  <c:v>一般公共预算财政拨款支出</c:v>
                </c:pt>
                <c:pt idx="4">
                  <c:v>政府性基金预算财政拨款收入</c:v>
                </c:pt>
                <c:pt idx="5">
                  <c:v>政府性基金预算财政拨款支出</c:v>
                </c:pt>
              </c:strCache>
            </c:strRef>
          </c:cat>
          <c:val>
            <c:numRef>
              <c:f>Sheet1!$B$2:$B$7</c:f>
              <c:numCache>
                <c:formatCode>General</c:formatCode>
                <c:ptCount val="6"/>
                <c:pt idx="0">
                  <c:v>16760.92</c:v>
                </c:pt>
                <c:pt idx="1">
                  <c:v>15828.98</c:v>
                </c:pt>
                <c:pt idx="2">
                  <c:v>15241.7</c:v>
                </c:pt>
                <c:pt idx="3">
                  <c:v>14346.66</c:v>
                </c:pt>
                <c:pt idx="4">
                  <c:v>1519.22</c:v>
                </c:pt>
                <c:pt idx="5">
                  <c:v>1482.32</c:v>
                </c:pt>
              </c:numCache>
            </c:numRef>
          </c:val>
        </c:ser>
        <c:ser>
          <c:idx val="1"/>
          <c:order val="1"/>
          <c:tx>
            <c:strRef>
              <c:f>Sheet1!$C$1</c:f>
              <c:strCache>
                <c:ptCount val="1"/>
                <c:pt idx="0">
                  <c:v>2018年预算</c:v>
                </c:pt>
              </c:strCache>
            </c:strRef>
          </c:tx>
          <c:invertIfNegative val="false"/>
          <c:dLbls>
            <c:delete val="true"/>
          </c:dLbls>
          <c:cat>
            <c:strRef>
              <c:f>Sheet1!$A$2:$A$7</c:f>
              <c:strCache>
                <c:ptCount val="6"/>
                <c:pt idx="0">
                  <c:v>财政拨款收入</c:v>
                </c:pt>
                <c:pt idx="1">
                  <c:v>财政拨款支出</c:v>
                </c:pt>
                <c:pt idx="2">
                  <c:v>一般公共预算财政拨款收入</c:v>
                </c:pt>
                <c:pt idx="3">
                  <c:v>一般公共预算财政拨款支出</c:v>
                </c:pt>
                <c:pt idx="4">
                  <c:v>政府性基金预算财政拨款收入</c:v>
                </c:pt>
                <c:pt idx="5">
                  <c:v>政府性基金预算财政拨款支出</c:v>
                </c:pt>
              </c:strCache>
            </c:strRef>
          </c:cat>
          <c:val>
            <c:numRef>
              <c:f>Sheet1!$C$2:$C$7</c:f>
              <c:numCache>
                <c:formatCode>General</c:formatCode>
                <c:ptCount val="6"/>
                <c:pt idx="0">
                  <c:v>12091.57</c:v>
                </c:pt>
                <c:pt idx="1">
                  <c:v>12091.57</c:v>
                </c:pt>
                <c:pt idx="2">
                  <c:v>10782.26</c:v>
                </c:pt>
                <c:pt idx="3">
                  <c:v>10782.26</c:v>
                </c:pt>
                <c:pt idx="4">
                  <c:v>1309.31</c:v>
                </c:pt>
                <c:pt idx="5">
                  <c:v>1309.31</c:v>
                </c:pt>
              </c:numCache>
            </c:numRef>
          </c:val>
        </c:ser>
        <c:ser>
          <c:idx val="2"/>
          <c:order val="2"/>
          <c:tx>
            <c:strRef>
              <c:f>Sheet1!$D$1</c:f>
              <c:strCache>
                <c:ptCount val="1"/>
                <c:pt idx="0">
                  <c:v>列1</c:v>
                </c:pt>
              </c:strCache>
            </c:strRef>
          </c:tx>
          <c:invertIfNegative val="false"/>
          <c:dLbls>
            <c:delete val="true"/>
          </c:dLbls>
          <c:cat>
            <c:strRef>
              <c:f>Sheet1!$A$2:$A$7</c:f>
              <c:strCache>
                <c:ptCount val="6"/>
                <c:pt idx="0">
                  <c:v>财政拨款收入</c:v>
                </c:pt>
                <c:pt idx="1">
                  <c:v>财政拨款支出</c:v>
                </c:pt>
                <c:pt idx="2">
                  <c:v>一般公共预算财政拨款收入</c:v>
                </c:pt>
                <c:pt idx="3">
                  <c:v>一般公共预算财政拨款支出</c:v>
                </c:pt>
                <c:pt idx="4">
                  <c:v>政府性基金预算财政拨款收入</c:v>
                </c:pt>
                <c:pt idx="5">
                  <c:v>政府性基金预算财政拨款支出</c:v>
                </c:pt>
              </c:strCache>
            </c:strRef>
          </c:cat>
          <c:val>
            <c:numRef>
              <c:f>Sheet1!$D$2:$D$7</c:f>
              <c:numCache>
                <c:formatCode>General</c:formatCode>
                <c:ptCount val="6"/>
              </c:numCache>
            </c:numRef>
          </c:val>
        </c:ser>
        <c:dLbls>
          <c:showLegendKey val="false"/>
          <c:showVal val="false"/>
          <c:showCatName val="false"/>
          <c:showSerName val="false"/>
          <c:showPercent val="false"/>
          <c:showBubbleSize val="false"/>
        </c:dLbls>
        <c:gapWidth val="150"/>
        <c:axId val="249822208"/>
        <c:axId val="249832192"/>
      </c:barChart>
      <c:catAx>
        <c:axId val="249822208"/>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49832192"/>
        <c:crosses val="autoZero"/>
        <c:auto val="true"/>
        <c:lblAlgn val="ctr"/>
        <c:lblOffset val="100"/>
        <c:noMultiLvlLbl val="false"/>
      </c:catAx>
      <c:valAx>
        <c:axId val="249832192"/>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249822208"/>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12700" cap="flat" cmpd="sng" algn="ctr">
      <a:noFill/>
      <a:prstDash val="solid"/>
      <a:round/>
    </a:ln>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r>
              <a:rPr lang="zh-CN" altLang="en-US"/>
              <a:t>财政拨款支出结构</a:t>
            </a:r>
            <a:endParaRPr lang="zh-CN" altLang="en-US"/>
          </a:p>
        </c:rich>
      </c:tx>
      <c:layout>
        <c:manualLayout>
          <c:xMode val="edge"/>
          <c:yMode val="edge"/>
          <c:x val="0.194904761904762"/>
          <c:y val="0.0431654676258993"/>
        </c:manualLayout>
      </c:layout>
      <c:overlay val="false"/>
    </c:title>
    <c:autoTitleDeleted val="false"/>
    <c:plotArea>
      <c:layout/>
      <c:pieChart>
        <c:varyColors val="true"/>
        <c:ser>
          <c:idx val="0"/>
          <c:order val="0"/>
          <c:tx>
            <c:strRef>
              <c:f>Sheet1!$B$1</c:f>
              <c:strCache>
                <c:ptCount val="1"/>
                <c:pt idx="0">
                  <c:v>支出结构</c:v>
                </c:pt>
              </c:strCache>
            </c:strRef>
          </c:tx>
          <c:explosion val="0"/>
          <c:dPt>
            <c:idx val="0"/>
            <c:bubble3D val="false"/>
          </c:dPt>
          <c:dPt>
            <c:idx val="1"/>
            <c:bubble3D val="false"/>
          </c:dPt>
          <c:dPt>
            <c:idx val="2"/>
            <c:bubble3D val="false"/>
          </c:dPt>
          <c:dPt>
            <c:idx val="3"/>
            <c:bubble3D val="false"/>
          </c:dPt>
          <c:dPt>
            <c:idx val="4"/>
            <c:bubble3D val="false"/>
          </c:dPt>
          <c:dPt>
            <c:idx val="5"/>
            <c:bubble3D val="false"/>
          </c:dPt>
          <c:dPt>
            <c:idx val="6"/>
            <c:bubble3D val="false"/>
          </c:dPt>
          <c:dLbls>
            <c:delete val="true"/>
          </c:dLbls>
          <c:cat>
            <c:strRef>
              <c:f>Sheet1!$A$2:$A$8</c:f>
              <c:strCache>
                <c:ptCount val="7"/>
                <c:pt idx="0">
                  <c:v>科学技术</c:v>
                </c:pt>
                <c:pt idx="1">
                  <c:v>社会保障和就业</c:v>
                </c:pt>
                <c:pt idx="2">
                  <c:v>医疗卫生和计划生育</c:v>
                </c:pt>
                <c:pt idx="3">
                  <c:v>节能环保</c:v>
                </c:pt>
                <c:pt idx="4">
                  <c:v>农林水</c:v>
                </c:pt>
                <c:pt idx="5">
                  <c:v>资源勘探信息</c:v>
                </c:pt>
                <c:pt idx="6">
                  <c:v>其他支出</c:v>
                </c:pt>
              </c:strCache>
            </c:strRef>
          </c:cat>
          <c:val>
            <c:numRef>
              <c:f>Sheet1!$B$2:$B$8</c:f>
              <c:numCache>
                <c:formatCode>General</c:formatCode>
                <c:ptCount val="7"/>
                <c:pt idx="0">
                  <c:v>0.49</c:v>
                </c:pt>
                <c:pt idx="1">
                  <c:v>0.940000000000001</c:v>
                </c:pt>
                <c:pt idx="2">
                  <c:v>0.46</c:v>
                </c:pt>
                <c:pt idx="3">
                  <c:v>5.87</c:v>
                </c:pt>
                <c:pt idx="4">
                  <c:v>82.85</c:v>
                </c:pt>
                <c:pt idx="5">
                  <c:v>0.02</c:v>
                </c:pt>
                <c:pt idx="6">
                  <c:v>9.37</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spPr>
    <a:ln w="12700" cap="flat" cmpd="sng" algn="ctr">
      <a:noFill/>
      <a:prstDash val="solid"/>
      <a:round/>
    </a:ln>
  </c:spPr>
  <c:txPr>
    <a:bodyPr/>
    <a:lstStyle/>
    <a:p>
      <a:pPr>
        <a:defRPr lang="zh-CN"/>
      </a:pPr>
    </a:p>
  </c:txPr>
  <c:externalData r:id="rId1">
    <c:autoUpdate val="false"/>
  </c:externalData>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true">
          <a:gsLst>
            <a:gs pos="0">
              <a:schemeClr val="phClr">
                <a:tint val="65000"/>
                <a:satMod val="180000"/>
              </a:schemeClr>
            </a:gs>
            <a:gs pos="50000">
              <a:schemeClr val="phClr">
                <a:tint val="40000"/>
                <a:satMod val="175000"/>
              </a:schemeClr>
            </a:gs>
            <a:gs pos="100000">
              <a:schemeClr val="phClr">
                <a:tint val="65000"/>
                <a:satMod val="180000"/>
              </a:schemeClr>
            </a:gs>
          </a:gsLst>
          <a:lin ang="0" scaled="true"/>
        </a:gradFill>
        <a:gradFill rotWithShape="true">
          <a:gsLst>
            <a:gs pos="0">
              <a:schemeClr val="phClr">
                <a:shade val="38000"/>
                <a:satMod val="150000"/>
              </a:schemeClr>
            </a:gs>
            <a:gs pos="50000">
              <a:schemeClr val="phClr">
                <a:shade val="100000"/>
                <a:satMod val="100000"/>
              </a:schemeClr>
            </a:gs>
            <a:gs pos="100000">
              <a:schemeClr val="phClr">
                <a:shade val="38000"/>
                <a:satMod val="150000"/>
              </a:schemeClr>
            </a:gs>
          </a:gsLst>
          <a:lin ang="0" scaled="true"/>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1064</Words>
  <Characters>6066</Characters>
  <Lines>50</Lines>
  <Paragraphs>14</Paragraphs>
  <TotalTime>4</TotalTime>
  <ScaleCrop>false</ScaleCrop>
  <LinksUpToDate>false</LinksUpToDate>
  <CharactersWithSpaces>7116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2019-09-26T09:09:00Z</dcterms:created>
  <dc:creator>User</dc:creator>
  <cp:lastModifiedBy>uos</cp:lastModifiedBy>
  <cp:lastPrinted>2021-05-27T10:08:00Z</cp:lastPrinted>
  <dcterms:modified xsi:type="dcterms:W3CDTF">2023-06-08T17:11:10Z</dcterms:modified>
  <dc:subject>石家庄市xxx部门</dc:subject>
  <dc:title>2017年度部门决算</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FB064D4C4E4540619B895E3643A3862D</vt:lpwstr>
  </property>
</Properties>
</file>