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color w:val="000000" w:themeColor="text1"/>
          <w:sz w:val="96"/>
          <w:szCs w:val="96"/>
          <w14:textFill>
            <w14:solidFill>
              <w14:schemeClr w14:val="tx1"/>
            </w14:solidFill>
          </w14:textFill>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1272" w:firstLineChars="288"/>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b/>
          <w:sz w:val="44"/>
          <w:szCs w:val="44"/>
        </w:rPr>
        <w:t>廊坊市</w:t>
      </w:r>
      <w:r>
        <w:rPr>
          <w:rFonts w:hint="eastAsia"/>
          <w:b/>
          <w:sz w:val="44"/>
          <w:szCs w:val="44"/>
        </w:rPr>
        <w:t>大城县国防教育办公室</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大城县国防教育办公室</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1、依照《国防教育法》和《全民国防教育大纲》，对我县国防教育工作实施组织、指导、协调和检查。</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2、贯彻党和国家关于国防教育的方针、政策，通过调研向国防动员委员会提出决策建议。</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3、制定国防教育规划，统筹安排我县国防教育工作，向上级国防教育部门请示汇报工作。</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4、指导国防教育阵地建设、国防教育活动的开展和宣传国防教育典型。</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5、加强国防教育师资队伍建设，组织、协调有关部门做好国防教育教员的选拔、培训和管理工作；组织开展全县的国防教育骨干培训。</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6、协调教育、民政、宣传文化、新闻媒体等部门在各自职责范围内负责国防教育工作。</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7、协调工会、共青团、妇联以及其他有关社会团体，协助开展国防教育。</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8、指导、协调县直各部门和各乡镇开展国防教育工作。</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年度本部门决算汇编范围的独立核算单位（以下简称“单位”）共1个，具体情况如下：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vAlign w:val="center"/>
          </w:tcPr>
          <w:p>
            <w:pPr>
              <w:spacing w:line="300" w:lineRule="exact"/>
              <w:ind w:firstLine="420" w:firstLineChars="200"/>
              <w:jc w:val="left"/>
              <w:rPr>
                <w:rFonts w:eastAsia="方正书宋_GBK"/>
              </w:rPr>
            </w:pPr>
            <w:r>
              <w:rPr>
                <w:rFonts w:hint="eastAsia" w:eastAsia="方正书宋_GBK"/>
              </w:rPr>
              <w:t>大城县国防教育办公室</w:t>
            </w:r>
          </w:p>
        </w:tc>
        <w:tc>
          <w:tcPr>
            <w:tcW w:w="2445" w:type="dxa"/>
            <w:vAlign w:val="center"/>
          </w:tcPr>
          <w:p>
            <w:pPr>
              <w:spacing w:line="300" w:lineRule="exact"/>
              <w:ind w:firstLine="420" w:firstLineChars="200"/>
              <w:jc w:val="left"/>
              <w:rPr>
                <w:rFonts w:eastAsia="方正书宋_GBK"/>
              </w:rPr>
            </w:pPr>
            <w:r>
              <w:rPr>
                <w:rFonts w:hint="eastAsia" w:eastAsia="方正书宋_GBK"/>
              </w:rPr>
              <w:t>事业</w:t>
            </w:r>
          </w:p>
        </w:tc>
        <w:tc>
          <w:tcPr>
            <w:tcW w:w="2665" w:type="dxa"/>
            <w:vAlign w:val="center"/>
          </w:tcPr>
          <w:p>
            <w:pPr>
              <w:spacing w:line="300" w:lineRule="exact"/>
              <w:ind w:firstLine="420" w:firstLineChars="200"/>
              <w:jc w:val="left"/>
              <w:rPr>
                <w:rFonts w:hint="eastAsia" w:eastAsia="方正书宋_GBK"/>
                <w:lang w:eastAsia="zh-CN"/>
              </w:rPr>
            </w:pPr>
            <w:r>
              <w:rPr>
                <w:rFonts w:hint="eastAsia" w:eastAsia="方正书宋_GBK"/>
                <w:lang w:eastAsia="zh-CN"/>
              </w:rPr>
              <w:t>财政拨款</w:t>
            </w:r>
          </w:p>
        </w:tc>
      </w:tr>
    </w:tbl>
    <w:p>
      <w:pPr>
        <w:widowControl/>
        <w:spacing w:line="560" w:lineRule="exact"/>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第二部分</w:t>
      </w:r>
    </w:p>
    <w:p>
      <w:pPr>
        <w:widowControl/>
        <w:spacing w:line="1200" w:lineRule="exact"/>
        <w:jc w:val="center"/>
        <w:rPr>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2018年度部门决算报表</w:t>
      </w: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sectPr>
          <w:pgSz w:w="11906" w:h="16838"/>
          <w:pgMar w:top="2098" w:right="1474" w:bottom="1984" w:left="1588" w:header="851" w:footer="992" w:gutter="0"/>
          <w:cols w:space="0" w:num="1"/>
          <w:docGrid w:type="lines" w:linePitch="312" w:charSpace="0"/>
        </w:sectPr>
      </w:pPr>
      <w:r>
        <w:rPr>
          <w:rFonts w:hint="eastAsia" w:hAnsi="宋体" w:asciiTheme="minorEastAsia" w:eastAsiaTheme="minorEastAsia"/>
          <w:color w:val="000000" w:themeColor="text1"/>
          <w:sz w:val="72"/>
          <w:szCs w:val="96"/>
          <w14:textFill>
            <w14:solidFill>
              <w14:schemeClr w14:val="tx1"/>
            </w14:solidFill>
          </w14:textFill>
        </w:rPr>
        <w:t>(见附表)</w:t>
      </w:r>
    </w:p>
    <w:p>
      <w:pPr>
        <w:widowControl/>
        <w:spacing w:line="1200" w:lineRule="exact"/>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第三部分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hint="eastAsia" w:ascii="宋体" w:hAnsi="宋体" w:cs="宋体"/>
          <w:sz w:val="32"/>
          <w:szCs w:val="32"/>
        </w:rPr>
        <w:t>923.51</w:t>
      </w:r>
      <w:r>
        <w:rPr>
          <w:rFonts w:hint="eastAsia" w:ascii="仿宋_GB2312" w:eastAsia="仿宋_GB2312" w:cs="DengXian-Regular"/>
          <w:sz w:val="32"/>
          <w:szCs w:val="32"/>
        </w:rPr>
        <w:t>万元。与2017年度决算相比，收支各增加72</w:t>
      </w:r>
      <w:r>
        <w:rPr>
          <w:rFonts w:hint="eastAsia" w:ascii="宋体" w:hAnsi="宋体" w:cs="宋体"/>
          <w:sz w:val="32"/>
          <w:szCs w:val="32"/>
        </w:rPr>
        <w:t>4.99</w:t>
      </w:r>
      <w:r>
        <w:rPr>
          <w:rFonts w:hint="eastAsia" w:ascii="仿宋_GB2312" w:eastAsia="仿宋_GB2312" w:cs="DengXian-Regular"/>
          <w:sz w:val="32"/>
          <w:szCs w:val="32"/>
        </w:rPr>
        <w:t>万元，增长365</w:t>
      </w:r>
      <w:r>
        <w:rPr>
          <w:rFonts w:hint="eastAsia" w:ascii="宋体" w:hAnsi="宋体" w:cs="宋体"/>
          <w:sz w:val="32"/>
          <w:szCs w:val="32"/>
        </w:rPr>
        <w:t>.20</w:t>
      </w:r>
      <w:r>
        <w:rPr>
          <w:rFonts w:hint="eastAsia" w:ascii="仿宋_GB2312" w:eastAsia="仿宋_GB2312" w:cs="DengXian-Regular"/>
          <w:sz w:val="32"/>
          <w:szCs w:val="32"/>
        </w:rPr>
        <w:t>%，主要是</w:t>
      </w:r>
      <w:r>
        <w:rPr>
          <w:rFonts w:hint="eastAsia" w:ascii="仿宋" w:hAnsi="仿宋" w:eastAsia="仿宋" w:cs="DengXian-Regular"/>
          <w:sz w:val="32"/>
          <w:szCs w:val="32"/>
        </w:rPr>
        <w:t>调整</w:t>
      </w:r>
      <w:r>
        <w:rPr>
          <w:rFonts w:hint="eastAsia" w:ascii="仿宋_GB2312" w:eastAsia="仿宋_GB2312" w:cs="DengXian-Regular"/>
          <w:sz w:val="32"/>
          <w:szCs w:val="32"/>
        </w:rPr>
        <w:t>预算</w:t>
      </w:r>
      <w:r>
        <w:rPr>
          <w:rFonts w:hint="eastAsia" w:ascii="仿宋" w:hAnsi="仿宋" w:eastAsia="仿宋" w:cs="DengXian-Regular"/>
          <w:sz w:val="32"/>
          <w:szCs w:val="32"/>
        </w:rPr>
        <w:t>时</w:t>
      </w:r>
      <w:r>
        <w:rPr>
          <w:rFonts w:hint="eastAsia" w:ascii="仿宋_GB2312" w:eastAsia="仿宋_GB2312" w:cs="DengXian-Regular"/>
          <w:sz w:val="32"/>
          <w:szCs w:val="32"/>
        </w:rPr>
        <w:t>增加</w:t>
      </w:r>
      <w:r>
        <w:rPr>
          <w:rFonts w:hint="eastAsia" w:ascii="仿宋" w:hAnsi="仿宋" w:eastAsia="仿宋" w:cs="DengXian-Regular"/>
          <w:sz w:val="32"/>
          <w:szCs w:val="32"/>
        </w:rPr>
        <w:t>了义务兵</w:t>
      </w:r>
      <w:r>
        <w:rPr>
          <w:rFonts w:hint="eastAsia" w:ascii="仿宋_GB2312" w:eastAsia="仿宋_GB2312" w:cs="DengXian-Regular"/>
          <w:sz w:val="32"/>
          <w:szCs w:val="32"/>
        </w:rPr>
        <w:t>优待金和退</w:t>
      </w:r>
      <w:r>
        <w:rPr>
          <w:rFonts w:hint="eastAsia" w:ascii="仿宋" w:hAnsi="仿宋" w:eastAsia="仿宋" w:cs="DengXian-Regular"/>
          <w:sz w:val="32"/>
          <w:szCs w:val="32"/>
        </w:rPr>
        <w:t>役</w:t>
      </w:r>
      <w:r>
        <w:rPr>
          <w:rFonts w:hint="eastAsia" w:ascii="仿宋_GB2312" w:eastAsia="仿宋_GB2312" w:cs="DengXian-Regular"/>
          <w:sz w:val="32"/>
          <w:szCs w:val="32"/>
        </w:rPr>
        <w:t>安置人员工资保险。</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宋体" w:hAnsi="宋体" w:cs="宋体"/>
          <w:sz w:val="32"/>
          <w:szCs w:val="32"/>
        </w:rPr>
        <w:t>923.51</w:t>
      </w:r>
      <w:r>
        <w:rPr>
          <w:rFonts w:hint="eastAsia" w:ascii="仿宋_GB2312" w:eastAsia="仿宋_GB2312" w:cs="DengXian-Regular"/>
          <w:sz w:val="32"/>
          <w:szCs w:val="32"/>
        </w:rPr>
        <w:t>万元，其中：财政拨款收入</w:t>
      </w:r>
      <w:r>
        <w:rPr>
          <w:rFonts w:hint="eastAsia" w:ascii="宋体" w:hAnsi="宋体" w:cs="宋体"/>
          <w:sz w:val="32"/>
          <w:szCs w:val="32"/>
        </w:rPr>
        <w:t>923.51</w:t>
      </w:r>
      <w:r>
        <w:rPr>
          <w:rFonts w:hint="eastAsia" w:ascii="仿宋_GB2312" w:eastAsia="仿宋_GB2312" w:cs="DengXian-Regular"/>
          <w:sz w:val="32"/>
          <w:szCs w:val="32"/>
        </w:rPr>
        <w:t>万元，占100%；事业收入0万元，占0%；经营收入0万元，占0%；其他收入0万元，占0%。如图所示：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ind w:firstLine="640" w:firstLineChars="200"/>
      </w:pPr>
      <w:r>
        <w:rPr>
          <w:rFonts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2017395</wp:posOffset>
                </wp:positionH>
                <wp:positionV relativeFrom="paragraph">
                  <wp:posOffset>94615</wp:posOffset>
                </wp:positionV>
                <wp:extent cx="1765300" cy="535305"/>
                <wp:effectExtent l="5080" t="4445" r="20320" b="12700"/>
                <wp:wrapNone/>
                <wp:docPr id="2" name="文本框 2"/>
                <wp:cNvGraphicFramePr/>
                <a:graphic xmlns:a="http://schemas.openxmlformats.org/drawingml/2006/main">
                  <a:graphicData uri="http://schemas.microsoft.com/office/word/2010/wordprocessingShape">
                    <wps:wsp>
                      <wps:cNvSpPr txBox="true"/>
                      <wps:spPr>
                        <a:xfrm>
                          <a:off x="0" y="0"/>
                          <a:ext cx="1765300" cy="5353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黑体" w:hAnsi="黑体" w:eastAsia="黑体"/>
                                <w:sz w:val="32"/>
                              </w:rPr>
                            </w:pPr>
                            <w:r>
                              <w:rPr>
                                <w:rFonts w:hint="eastAsia" w:ascii="黑体" w:hAnsi="黑体" w:eastAsia="黑体"/>
                                <w:sz w:val="32"/>
                              </w:rPr>
                              <w:t>2018年度收入</w:t>
                            </w:r>
                          </w:p>
                        </w:txbxContent>
                      </wps:txbx>
                      <wps:bodyPr upright="true"/>
                    </wps:wsp>
                  </a:graphicData>
                </a:graphic>
              </wp:anchor>
            </w:drawing>
          </mc:Choice>
          <mc:Fallback>
            <w:pict>
              <v:shape id="_x0000_s1026" o:spid="_x0000_s1026" o:spt="202" type="#_x0000_t202" style="position:absolute;left:0pt;margin-left:158.85pt;margin-top:7.45pt;height:42.15pt;width:139pt;z-index:251659264;mso-width-relative:page;mso-height-relative:page;" fillcolor="#FFFFFF" filled="t" stroked="t" coordsize="21600,21600" o:gfxdata="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LgBP/DXAAAACQEAAA8AAAAAAAAAAQAgAAAAOAAAAGRycy9k&#10;b3ducmV2LnhtbFBLAQIUABQAAAAIAIdO4kDkcbVK7QEAAO4DAAAOAAAAAAAAAAEAIAAAADwBAABk&#10;cnMvZTJvRG9jLnhtbFBLBQYAAAAABgAGAFkBAACbBQAAAAA=&#10;">
                <v:fill on="t" focussize="0,0"/>
                <v:stroke color="#FFFFFF" joinstyle="miter"/>
                <v:imagedata o:title=""/>
                <o:lock v:ext="edit" aspectratio="f"/>
                <v:textbox>
                  <w:txbxContent>
                    <w:p>
                      <w:pPr>
                        <w:rPr>
                          <w:rFonts w:ascii="黑体" w:hAnsi="黑体" w:eastAsia="黑体"/>
                          <w:sz w:val="32"/>
                        </w:rPr>
                      </w:pPr>
                      <w:r>
                        <w:rPr>
                          <w:rFonts w:hint="eastAsia" w:ascii="黑体" w:hAnsi="黑体" w:eastAsia="黑体"/>
                          <w:sz w:val="32"/>
                        </w:rPr>
                        <w:t>2018年度收入</w:t>
                      </w:r>
                    </w:p>
                  </w:txbxContent>
                </v:textbox>
              </v:shape>
            </w:pict>
          </mc:Fallback>
        </mc:AlternateContent>
      </w:r>
    </w:p>
    <w:p>
      <w:pPr>
        <w:ind w:firstLine="640" w:firstLineChars="200"/>
      </w:pPr>
      <w:r>
        <w:rPr>
          <w:rFonts w:eastAsia="仿宋_GB2312"/>
          <w:sz w:val="32"/>
          <w:szCs w:val="32"/>
        </w:rPr>
        <w:drawing>
          <wp:inline distT="0" distB="0" distL="0" distR="0">
            <wp:extent cx="3743325" cy="2371725"/>
            <wp:effectExtent l="0" t="0" r="0" b="0"/>
            <wp:docPr id="1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rFonts w:ascii="黑体" w:eastAsia="黑体" w:hAnsiTheme="majorHAnsi" w:cstheme="majorBidi"/>
          <w:sz w:val="32"/>
          <w:szCs w:val="32"/>
        </w:rPr>
      </w:pP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宋体" w:hAnsi="宋体" w:cs="宋体"/>
          <w:sz w:val="32"/>
          <w:szCs w:val="32"/>
        </w:rPr>
        <w:t>900.81</w:t>
      </w:r>
      <w:r>
        <w:rPr>
          <w:rFonts w:hint="eastAsia" w:ascii="仿宋_GB2312" w:eastAsia="仿宋_GB2312" w:cs="DengXian-Regular"/>
          <w:sz w:val="32"/>
          <w:szCs w:val="32"/>
        </w:rPr>
        <w:t>万元，其中：基本支出12</w:t>
      </w:r>
      <w:r>
        <w:rPr>
          <w:rFonts w:hint="eastAsia" w:ascii="宋体" w:hAnsi="宋体" w:cs="宋体"/>
          <w:sz w:val="32"/>
          <w:szCs w:val="32"/>
        </w:rPr>
        <w:t>9.34</w:t>
      </w:r>
      <w:r>
        <w:rPr>
          <w:rFonts w:hint="eastAsia" w:ascii="仿宋_GB2312" w:eastAsia="仿宋_GB2312" w:cs="DengXian-Regular"/>
          <w:sz w:val="32"/>
          <w:szCs w:val="32"/>
        </w:rPr>
        <w:t>万元，占1</w:t>
      </w:r>
      <w:r>
        <w:rPr>
          <w:rFonts w:hint="eastAsia" w:ascii="宋体" w:hAnsi="宋体" w:cs="宋体"/>
          <w:sz w:val="32"/>
          <w:szCs w:val="32"/>
        </w:rPr>
        <w:t>4.36</w:t>
      </w:r>
      <w:r>
        <w:rPr>
          <w:rFonts w:hint="eastAsia" w:ascii="仿宋_GB2312" w:eastAsia="仿宋_GB2312" w:cs="DengXian-Regular"/>
          <w:sz w:val="32"/>
          <w:szCs w:val="32"/>
        </w:rPr>
        <w:t>%；项目支出771</w:t>
      </w:r>
      <w:r>
        <w:rPr>
          <w:rFonts w:hint="eastAsia" w:ascii="宋体" w:hAnsi="宋体" w:cs="宋体"/>
          <w:sz w:val="32"/>
          <w:szCs w:val="32"/>
        </w:rPr>
        <w:t>.47</w:t>
      </w:r>
      <w:r>
        <w:rPr>
          <w:rFonts w:hint="eastAsia" w:ascii="仿宋_GB2312" w:eastAsia="仿宋_GB2312" w:cs="DengXian-Regular"/>
          <w:sz w:val="32"/>
          <w:szCs w:val="32"/>
        </w:rPr>
        <w:t>万元，占85</w:t>
      </w:r>
      <w:r>
        <w:rPr>
          <w:rFonts w:hint="eastAsia" w:ascii="宋体" w:hAnsi="宋体" w:cs="宋体"/>
          <w:sz w:val="32"/>
          <w:szCs w:val="32"/>
        </w:rPr>
        <w:t>.64</w:t>
      </w:r>
      <w:r>
        <w:rPr>
          <w:rFonts w:hint="eastAsia" w:ascii="仿宋_GB2312" w:eastAsia="仿宋_GB2312" w:cs="DengXian-Regular"/>
          <w:sz w:val="32"/>
          <w:szCs w:val="32"/>
        </w:rPr>
        <w:t>%；经营支出0万元，占0%。如图所示：</w:t>
      </w: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ind w:firstLine="640" w:firstLineChars="200"/>
        <w:rPr>
          <w:rFonts w:eastAsia="仿宋_GB2312"/>
          <w:sz w:val="32"/>
          <w:szCs w:val="32"/>
        </w:rPr>
      </w:pPr>
      <w:r>
        <w:rPr>
          <w:rFonts w:eastAsia="仿宋_GB2312"/>
          <w:sz w:val="32"/>
          <w:szCs w:val="32"/>
        </w:rPr>
        <w:drawing>
          <wp:inline distT="0" distB="0" distL="0" distR="0">
            <wp:extent cx="5219700" cy="2724150"/>
            <wp:effectExtent l="0" t="0" r="0" b="0"/>
            <wp:docPr id="7"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2"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w:t>
      </w:r>
      <w:r>
        <w:rPr>
          <w:rFonts w:hint="eastAsia" w:ascii="仿宋" w:hAnsi="仿宋" w:eastAsia="仿宋" w:cs="DengXian-Regular"/>
          <w:sz w:val="32"/>
          <w:szCs w:val="32"/>
        </w:rPr>
        <w:t>支均为</w:t>
      </w:r>
      <w:r>
        <w:rPr>
          <w:rFonts w:hint="eastAsia" w:ascii="仿宋_GB2312" w:eastAsia="仿宋_GB2312" w:cs="DengXian-Regular"/>
          <w:sz w:val="32"/>
          <w:szCs w:val="32"/>
        </w:rPr>
        <w:t>一般公共预算财政拨款，其中一般公共预算财政拨款本年收入</w:t>
      </w:r>
      <w:r>
        <w:rPr>
          <w:rFonts w:hint="eastAsia" w:ascii="宋体" w:hAnsi="宋体" w:cs="宋体"/>
          <w:sz w:val="32"/>
          <w:szCs w:val="32"/>
        </w:rPr>
        <w:t>923.51</w:t>
      </w:r>
      <w:r>
        <w:rPr>
          <w:rFonts w:hint="eastAsia" w:ascii="仿宋_GB2312" w:eastAsia="仿宋_GB2312" w:cs="DengXian-Regular"/>
          <w:sz w:val="32"/>
          <w:szCs w:val="32"/>
        </w:rPr>
        <w:t>万元,比2017年度增加72</w:t>
      </w:r>
      <w:r>
        <w:rPr>
          <w:rFonts w:hint="eastAsia" w:ascii="宋体" w:hAnsi="宋体" w:cs="宋体"/>
          <w:sz w:val="32"/>
          <w:szCs w:val="32"/>
        </w:rPr>
        <w:t>4.99</w:t>
      </w:r>
      <w:r>
        <w:rPr>
          <w:rFonts w:hint="eastAsia" w:ascii="仿宋_GB2312" w:eastAsia="仿宋_GB2312" w:cs="DengXian-Regular"/>
          <w:sz w:val="32"/>
          <w:szCs w:val="32"/>
        </w:rPr>
        <w:t>万元，增长365</w:t>
      </w:r>
      <w:r>
        <w:rPr>
          <w:rFonts w:hint="eastAsia" w:ascii="宋体" w:hAnsi="宋体" w:cs="宋体"/>
          <w:sz w:val="32"/>
          <w:szCs w:val="32"/>
        </w:rPr>
        <w:t>.2</w:t>
      </w:r>
      <w:r>
        <w:rPr>
          <w:rFonts w:hint="eastAsia" w:ascii="仿宋_GB2312" w:eastAsia="仿宋_GB2312" w:cs="DengXian-Regular"/>
          <w:sz w:val="32"/>
          <w:szCs w:val="32"/>
        </w:rPr>
        <w:t>%，主要是</w:t>
      </w:r>
      <w:r>
        <w:rPr>
          <w:rFonts w:hint="eastAsia" w:ascii="仿宋" w:hAnsi="仿宋" w:eastAsia="仿宋" w:cs="DengXian-Regular"/>
          <w:sz w:val="32"/>
          <w:szCs w:val="32"/>
        </w:rPr>
        <w:t>调整</w:t>
      </w:r>
      <w:r>
        <w:rPr>
          <w:rFonts w:hint="eastAsia" w:ascii="仿宋_GB2312" w:eastAsia="仿宋_GB2312" w:cs="DengXian-Regular"/>
          <w:sz w:val="32"/>
          <w:szCs w:val="32"/>
        </w:rPr>
        <w:t>预算</w:t>
      </w:r>
      <w:r>
        <w:rPr>
          <w:rFonts w:hint="eastAsia" w:ascii="仿宋" w:hAnsi="仿宋" w:eastAsia="仿宋" w:cs="DengXian-Regular"/>
          <w:sz w:val="32"/>
          <w:szCs w:val="32"/>
        </w:rPr>
        <w:t>时</w:t>
      </w:r>
      <w:r>
        <w:rPr>
          <w:rFonts w:hint="eastAsia" w:ascii="仿宋_GB2312" w:eastAsia="仿宋_GB2312" w:cs="DengXian-Regular"/>
          <w:sz w:val="32"/>
          <w:szCs w:val="32"/>
        </w:rPr>
        <w:t>增加</w:t>
      </w:r>
      <w:r>
        <w:rPr>
          <w:rFonts w:hint="eastAsia" w:ascii="仿宋" w:hAnsi="仿宋" w:eastAsia="仿宋" w:cs="DengXian-Regular"/>
          <w:sz w:val="32"/>
          <w:szCs w:val="32"/>
        </w:rPr>
        <w:t>了义务兵</w:t>
      </w:r>
      <w:r>
        <w:rPr>
          <w:rFonts w:hint="eastAsia" w:ascii="仿宋_GB2312" w:eastAsia="仿宋_GB2312" w:cs="DengXian-Regular"/>
          <w:sz w:val="32"/>
          <w:szCs w:val="32"/>
        </w:rPr>
        <w:t>优待金和退</w:t>
      </w:r>
      <w:r>
        <w:rPr>
          <w:rFonts w:hint="eastAsia" w:ascii="仿宋" w:hAnsi="仿宋" w:eastAsia="仿宋" w:cs="DengXian-Regular"/>
          <w:sz w:val="32"/>
          <w:szCs w:val="32"/>
        </w:rPr>
        <w:t>役</w:t>
      </w:r>
      <w:r>
        <w:rPr>
          <w:rFonts w:hint="eastAsia" w:ascii="仿宋_GB2312" w:eastAsia="仿宋_GB2312" w:cs="DengXian-Regular"/>
          <w:sz w:val="32"/>
          <w:szCs w:val="32"/>
        </w:rPr>
        <w:t>安置人员工资保险；本年支出</w:t>
      </w:r>
      <w:r>
        <w:rPr>
          <w:rFonts w:hint="eastAsia" w:ascii="宋体" w:hAnsi="宋体" w:cs="宋体"/>
          <w:sz w:val="32"/>
          <w:szCs w:val="32"/>
        </w:rPr>
        <w:t>900.81</w:t>
      </w:r>
      <w:r>
        <w:rPr>
          <w:rFonts w:hint="eastAsia" w:ascii="仿宋_GB2312" w:eastAsia="仿宋_GB2312" w:cs="DengXian-Regular"/>
          <w:sz w:val="32"/>
          <w:szCs w:val="32"/>
        </w:rPr>
        <w:t>万元，增加702</w:t>
      </w:r>
      <w:r>
        <w:rPr>
          <w:rFonts w:hint="eastAsia" w:ascii="宋体" w:hAnsi="宋体" w:cs="宋体"/>
          <w:sz w:val="32"/>
          <w:szCs w:val="32"/>
        </w:rPr>
        <w:t>.29</w:t>
      </w:r>
      <w:r>
        <w:rPr>
          <w:rFonts w:hint="eastAsia" w:ascii="仿宋_GB2312" w:eastAsia="仿宋_GB2312" w:cs="DengXian-Regular"/>
          <w:sz w:val="32"/>
          <w:szCs w:val="32"/>
        </w:rPr>
        <w:t>万元，增长353</w:t>
      </w:r>
      <w:r>
        <w:rPr>
          <w:rFonts w:hint="eastAsia" w:ascii="宋体" w:hAnsi="宋体" w:cs="宋体"/>
          <w:sz w:val="32"/>
          <w:szCs w:val="32"/>
        </w:rPr>
        <w:t>.76</w:t>
      </w:r>
      <w:r>
        <w:rPr>
          <w:rFonts w:hint="eastAsia" w:ascii="仿宋_GB2312" w:eastAsia="仿宋_GB2312" w:cs="DengXian-Regular"/>
          <w:sz w:val="32"/>
          <w:szCs w:val="32"/>
        </w:rPr>
        <w:t>%，主要是</w:t>
      </w:r>
      <w:r>
        <w:rPr>
          <w:rFonts w:hint="eastAsia" w:ascii="仿宋" w:hAnsi="仿宋" w:eastAsia="仿宋" w:cs="DengXian-Regular"/>
          <w:sz w:val="32"/>
          <w:szCs w:val="32"/>
        </w:rPr>
        <w:t>调整</w:t>
      </w:r>
      <w:r>
        <w:rPr>
          <w:rFonts w:hint="eastAsia" w:ascii="仿宋_GB2312" w:eastAsia="仿宋_GB2312" w:cs="DengXian-Regular"/>
          <w:sz w:val="32"/>
          <w:szCs w:val="32"/>
        </w:rPr>
        <w:t>预算</w:t>
      </w:r>
      <w:r>
        <w:rPr>
          <w:rFonts w:hint="eastAsia" w:ascii="仿宋" w:hAnsi="仿宋" w:eastAsia="仿宋" w:cs="DengXian-Regular"/>
          <w:sz w:val="32"/>
          <w:szCs w:val="32"/>
        </w:rPr>
        <w:t>时</w:t>
      </w:r>
      <w:r>
        <w:rPr>
          <w:rFonts w:hint="eastAsia" w:ascii="仿宋_GB2312" w:eastAsia="仿宋_GB2312" w:cs="DengXian-Regular"/>
          <w:sz w:val="32"/>
          <w:szCs w:val="32"/>
        </w:rPr>
        <w:t>增加</w:t>
      </w:r>
      <w:r>
        <w:rPr>
          <w:rFonts w:hint="eastAsia" w:ascii="仿宋" w:hAnsi="仿宋" w:eastAsia="仿宋" w:cs="DengXian-Regular"/>
          <w:sz w:val="32"/>
          <w:szCs w:val="32"/>
        </w:rPr>
        <w:t>了义务兵</w:t>
      </w:r>
      <w:r>
        <w:rPr>
          <w:rFonts w:hint="eastAsia" w:ascii="仿宋_GB2312" w:eastAsia="仿宋_GB2312" w:cs="DengXian-Regular"/>
          <w:sz w:val="32"/>
          <w:szCs w:val="32"/>
        </w:rPr>
        <w:t>优待金和退</w:t>
      </w:r>
      <w:r>
        <w:rPr>
          <w:rFonts w:hint="eastAsia" w:ascii="仿宋" w:hAnsi="仿宋" w:eastAsia="仿宋" w:cs="DengXian-Regular"/>
          <w:sz w:val="32"/>
          <w:szCs w:val="32"/>
        </w:rPr>
        <w:t>役</w:t>
      </w:r>
      <w:r>
        <w:rPr>
          <w:rFonts w:hint="eastAsia" w:ascii="仿宋_GB2312" w:eastAsia="仿宋_GB2312" w:cs="DengXian-Regular"/>
          <w:sz w:val="32"/>
          <w:szCs w:val="32"/>
        </w:rPr>
        <w:t>安置人员工资保险。</w:t>
      </w:r>
    </w:p>
    <w:p>
      <w:pPr>
        <w:adjustRightInd w:val="0"/>
        <w:snapToGrid w:val="0"/>
        <w:spacing w:after="0" w:line="580" w:lineRule="exact"/>
        <w:ind w:firstLine="640" w:firstLineChars="200"/>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580" w:lineRule="exact"/>
        <w:rPr>
          <w:rFonts w:ascii="仿宋_GB2312" w:eastAsia="仿宋_GB2312" w:cs="DengXian-Regular"/>
          <w:sz w:val="32"/>
          <w:szCs w:val="32"/>
        </w:rPr>
      </w:pPr>
    </w:p>
    <w:p>
      <w:pPr>
        <w:adjustRightInd w:val="0"/>
        <w:snapToGrid w:val="0"/>
        <w:spacing w:after="0" w:line="240" w:lineRule="auto"/>
        <w:ind w:firstLine="640" w:firstLineChars="200"/>
        <w:rPr>
          <w:rFonts w:ascii="仿宋_GB2312" w:eastAsia="仿宋_GB2312" w:cs="DengXian-Regular"/>
          <w:sz w:val="32"/>
          <w:szCs w:val="32"/>
        </w:rPr>
      </w:pPr>
      <w:r>
        <w:rPr>
          <w:rFonts w:hint="eastAsia" w:ascii="仿宋_GB2312" w:eastAsia="仿宋_GB2312" w:cs="DengXian-Regular"/>
          <w:sz w:val="32"/>
          <w:szCs w:val="32"/>
        </w:rPr>
        <w:drawing>
          <wp:inline distT="0" distB="0" distL="0" distR="0">
            <wp:extent cx="4076700" cy="1914525"/>
            <wp:effectExtent l="0" t="0" r="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2"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宋体" w:hAnsi="宋体" w:cs="宋体"/>
          <w:sz w:val="32"/>
          <w:szCs w:val="32"/>
        </w:rPr>
        <w:t>923.51</w:t>
      </w:r>
      <w:r>
        <w:rPr>
          <w:rFonts w:hint="eastAsia" w:ascii="仿宋_GB2312" w:eastAsia="仿宋_GB2312" w:cs="DengXian-Regular"/>
          <w:sz w:val="32"/>
          <w:szCs w:val="32"/>
        </w:rPr>
        <w:t>万元，完成年初预算的</w:t>
      </w:r>
      <w:r>
        <w:rPr>
          <w:rFonts w:hint="eastAsia" w:ascii="宋体" w:hAnsi="宋体" w:cs="宋体"/>
          <w:color w:val="000000" w:themeColor="text1"/>
          <w:sz w:val="32"/>
          <w:szCs w:val="32"/>
          <w14:textFill>
            <w14:solidFill>
              <w14:schemeClr w14:val="tx1"/>
            </w14:solidFill>
          </w14:textFill>
        </w:rPr>
        <w:t>52.99</w:t>
      </w:r>
      <w:r>
        <w:rPr>
          <w:rFonts w:hint="eastAsia" w:ascii="仿宋_GB2312" w:eastAsia="仿宋_GB2312" w:cs="DengXian-Regular"/>
          <w:sz w:val="32"/>
          <w:szCs w:val="32"/>
        </w:rPr>
        <w:t>%,比年初预算减少</w:t>
      </w:r>
      <w:r>
        <w:rPr>
          <w:rFonts w:hint="eastAsia" w:ascii="宋体" w:hAnsi="宋体" w:cs="宋体"/>
          <w:sz w:val="32"/>
          <w:szCs w:val="32"/>
        </w:rPr>
        <w:t>819.14</w:t>
      </w:r>
      <w:r>
        <w:rPr>
          <w:rFonts w:hint="eastAsia" w:ascii="仿宋_GB2312" w:eastAsia="仿宋_GB2312" w:cs="DengXian-Regular"/>
          <w:sz w:val="32"/>
          <w:szCs w:val="32"/>
        </w:rPr>
        <w:t>万元，决算数小于预算数主要是1、</w:t>
      </w:r>
      <w:r>
        <w:rPr>
          <w:rFonts w:hint="eastAsia" w:ascii="仿宋" w:hAnsi="仿宋" w:eastAsia="仿宋" w:cs="DengXian-Regular"/>
          <w:sz w:val="32"/>
          <w:szCs w:val="32"/>
        </w:rPr>
        <w:t>民兵训练基地建设未支出</w:t>
      </w:r>
      <w:r>
        <w:rPr>
          <w:rFonts w:hint="eastAsia" w:ascii="仿宋_GB2312" w:eastAsia="仿宋_GB2312" w:cs="DengXian-Regular"/>
          <w:sz w:val="32"/>
          <w:szCs w:val="32"/>
        </w:rPr>
        <w:t>；2、</w:t>
      </w:r>
      <w:r>
        <w:rPr>
          <w:rFonts w:hint="eastAsia" w:ascii="仿宋" w:hAnsi="仿宋" w:eastAsia="仿宋" w:cs="DengXian-Regular"/>
          <w:sz w:val="32"/>
          <w:szCs w:val="32"/>
        </w:rPr>
        <w:t>调整预算时增加了义务兵优待金和退役安置人员工资保险</w:t>
      </w:r>
      <w:r>
        <w:rPr>
          <w:rFonts w:hint="eastAsia" w:ascii="仿宋_GB2312" w:eastAsia="仿宋_GB2312" w:cs="DengXian-Regular"/>
          <w:sz w:val="32"/>
          <w:szCs w:val="32"/>
        </w:rPr>
        <w:t>。本年支出</w:t>
      </w:r>
      <w:r>
        <w:rPr>
          <w:rFonts w:hint="eastAsia" w:ascii="宋体" w:hAnsi="宋体" w:cs="宋体"/>
          <w:sz w:val="32"/>
          <w:szCs w:val="32"/>
        </w:rPr>
        <w:t>900.81</w:t>
      </w:r>
      <w:r>
        <w:rPr>
          <w:rFonts w:hint="eastAsia" w:ascii="仿宋_GB2312" w:eastAsia="仿宋_GB2312" w:cs="DengXian-Regular"/>
          <w:sz w:val="32"/>
          <w:szCs w:val="32"/>
        </w:rPr>
        <w:t>万元，完成年初预算的51</w:t>
      </w:r>
      <w:r>
        <w:rPr>
          <w:rFonts w:hint="eastAsia" w:ascii="宋体" w:hAnsi="宋体" w:cs="宋体"/>
          <w:sz w:val="32"/>
          <w:szCs w:val="32"/>
        </w:rPr>
        <w:t>.69</w:t>
      </w:r>
      <w:r>
        <w:rPr>
          <w:rFonts w:hint="eastAsia" w:ascii="仿宋_GB2312" w:eastAsia="仿宋_GB2312" w:cs="DengXian-Regular"/>
          <w:sz w:val="32"/>
          <w:szCs w:val="32"/>
        </w:rPr>
        <w:t>%,比年初预算减少</w:t>
      </w:r>
      <w:r>
        <w:rPr>
          <w:rFonts w:hint="eastAsia" w:ascii="宋体" w:hAnsi="宋体" w:cs="宋体"/>
          <w:sz w:val="32"/>
          <w:szCs w:val="32"/>
        </w:rPr>
        <w:t>819.14</w:t>
      </w:r>
      <w:r>
        <w:rPr>
          <w:rFonts w:hint="eastAsia" w:ascii="仿宋_GB2312" w:eastAsia="仿宋_GB2312" w:cs="DengXian-Regular"/>
          <w:sz w:val="32"/>
          <w:szCs w:val="32"/>
        </w:rPr>
        <w:t>万元，决算数小于预算数主要是1、</w:t>
      </w:r>
      <w:r>
        <w:rPr>
          <w:rFonts w:hint="eastAsia" w:ascii="仿宋" w:hAnsi="仿宋" w:eastAsia="仿宋" w:cs="DengXian-Regular"/>
          <w:sz w:val="32"/>
          <w:szCs w:val="32"/>
        </w:rPr>
        <w:t>民兵训练基地建设未支出；2、调整预算时增加了义务兵优待金和退役安置人员工资保险</w:t>
      </w:r>
      <w:r>
        <w:rPr>
          <w:rFonts w:hint="eastAsia" w:ascii="仿宋_GB2312" w:eastAsia="仿宋_GB2312" w:cs="DengXian-Regular"/>
          <w:sz w:val="32"/>
          <w:szCs w:val="32"/>
        </w:rPr>
        <w:t>。</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20" w:lineRule="exact"/>
        <w:ind w:firstLine="640" w:firstLineChars="200"/>
        <w:rPr>
          <w:rFonts w:ascii="仿宋_GB2312" w:eastAsia="仿宋_GB2312" w:cs="DengXian-Regular"/>
          <w:sz w:val="32"/>
          <w:szCs w:val="32"/>
          <w:highlight w:val="yellow"/>
        </w:rPr>
      </w:pPr>
    </w:p>
    <w:p>
      <w:pPr>
        <w:adjustRightInd w:val="0"/>
        <w:snapToGrid w:val="0"/>
        <w:spacing w:after="0" w:line="240" w:lineRule="atLeast"/>
        <w:ind w:firstLine="640" w:firstLineChars="200"/>
        <w:rPr>
          <w:rFonts w:ascii="仿宋_GB2312" w:cs="DengXian-Regular" w:eastAsiaTheme="minorEastAsia"/>
          <w:sz w:val="32"/>
          <w:szCs w:val="32"/>
          <w:highlight w:val="yellow"/>
        </w:rPr>
      </w:pPr>
      <w:r>
        <w:rPr>
          <w:rFonts w:ascii="仿宋_GB2312" w:eastAsia="仿宋_GB2312" w:cs="DengXian-Regular"/>
          <w:sz w:val="32"/>
          <w:szCs w:val="32"/>
        </w:rPr>
        <w:drawing>
          <wp:inline distT="0" distB="0" distL="0" distR="0">
            <wp:extent cx="5486400" cy="32004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adjustRightInd w:val="0"/>
        <w:snapToGrid w:val="0"/>
        <w:spacing w:after="0" w:line="240" w:lineRule="atLeast"/>
        <w:ind w:firstLine="640" w:firstLineChars="200"/>
        <w:rPr>
          <w:rFonts w:ascii="仿宋_GB2312" w:cs="DengXian-Regular" w:eastAsiaTheme="minorEastAsia"/>
          <w:sz w:val="32"/>
          <w:szCs w:val="32"/>
          <w:highlight w:val="yellow"/>
        </w:rPr>
      </w:pPr>
    </w:p>
    <w:p>
      <w:pPr>
        <w:adjustRightInd w:val="0"/>
        <w:snapToGrid w:val="0"/>
        <w:spacing w:after="0" w:line="240" w:lineRule="atLeast"/>
        <w:ind w:firstLine="640" w:firstLineChars="200"/>
        <w:rPr>
          <w:rFonts w:ascii="仿宋_GB2312" w:cs="DengXian-Regular" w:eastAsiaTheme="minorEastAsia"/>
          <w:sz w:val="32"/>
          <w:szCs w:val="32"/>
          <w:highlight w:val="yellow"/>
        </w:rPr>
      </w:pPr>
    </w:p>
    <w:p>
      <w:pPr>
        <w:adjustRightInd w:val="0"/>
        <w:snapToGrid w:val="0"/>
        <w:spacing w:after="0" w:line="240" w:lineRule="atLeast"/>
        <w:ind w:firstLine="640" w:firstLineChars="200"/>
        <w:rPr>
          <w:rFonts w:ascii="仿宋_GB2312" w:cs="DengXian-Regular" w:eastAsiaTheme="minorEastAsia"/>
          <w:sz w:val="32"/>
          <w:szCs w:val="32"/>
          <w:highlight w:val="yellow"/>
        </w:rPr>
      </w:pPr>
      <w:r>
        <w:rPr>
          <w:rFonts w:hint="eastAsia" w:ascii="仿宋_GB2312" w:cs="DengXian-Regular" w:eastAsiaTheme="minorEastAsia"/>
          <w:sz w:val="32"/>
          <w:szCs w:val="32"/>
        </w:rPr>
        <w:drawing>
          <wp:inline distT="0" distB="0" distL="0" distR="0">
            <wp:extent cx="5486400" cy="32004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adjustRightInd w:val="0"/>
        <w:snapToGrid w:val="0"/>
        <w:spacing w:after="0" w:line="240" w:lineRule="atLeast"/>
        <w:ind w:firstLine="640" w:firstLineChars="200"/>
        <w:rPr>
          <w:rFonts w:ascii="仿宋_GB2312" w:cs="DengXian-Regular" w:eastAsiaTheme="minorEastAsia"/>
          <w:sz w:val="32"/>
          <w:szCs w:val="32"/>
          <w:highlight w:val="yellow"/>
        </w:rPr>
      </w:pPr>
    </w:p>
    <w:p>
      <w:pPr>
        <w:adjustRightInd w:val="0"/>
        <w:snapToGrid w:val="0"/>
        <w:spacing w:after="0" w:line="240" w:lineRule="atLeast"/>
        <w:ind w:firstLine="640" w:firstLineChars="200"/>
        <w:rPr>
          <w:rFonts w:ascii="仿宋_GB2312" w:cs="DengXian-Regular" w:eastAsiaTheme="minorEastAsia"/>
          <w:sz w:val="32"/>
          <w:szCs w:val="32"/>
          <w:highlight w:val="yellow"/>
        </w:rPr>
      </w:pPr>
    </w:p>
    <w:p>
      <w:pPr>
        <w:adjustRightInd w:val="0"/>
        <w:snapToGrid w:val="0"/>
        <w:spacing w:after="0" w:line="240" w:lineRule="atLeast"/>
        <w:ind w:firstLine="640" w:firstLineChars="200"/>
        <w:rPr>
          <w:rFonts w:ascii="仿宋_GB2312" w:cs="DengXian-Regular" w:eastAsiaTheme="minorEastAsia"/>
          <w:sz w:val="32"/>
          <w:szCs w:val="32"/>
          <w:highlight w:val="yellow"/>
        </w:rPr>
      </w:pPr>
    </w:p>
    <w:p>
      <w:pPr>
        <w:adjustRightInd w:val="0"/>
        <w:snapToGrid w:val="0"/>
        <w:spacing w:after="0" w:line="240" w:lineRule="atLeast"/>
        <w:ind w:firstLine="640" w:firstLineChars="200"/>
        <w:rPr>
          <w:rFonts w:ascii="仿宋_GB2312" w:cs="DengXian-Regular" w:eastAsiaTheme="minorEastAsia"/>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宋体" w:hAnsi="宋体" w:cs="宋体"/>
          <w:sz w:val="32"/>
          <w:szCs w:val="32"/>
        </w:rPr>
        <w:t>900.81</w:t>
      </w:r>
      <w:r>
        <w:rPr>
          <w:rFonts w:hint="eastAsia" w:ascii="仿宋_GB2312" w:eastAsia="仿宋_GB2312" w:cs="DengXian-Regular"/>
          <w:sz w:val="32"/>
          <w:szCs w:val="32"/>
        </w:rPr>
        <w:t>万元，主要用于以下方面一般公共服务支出111</w:t>
      </w:r>
      <w:r>
        <w:rPr>
          <w:rFonts w:hint="eastAsia" w:ascii="宋体" w:hAnsi="宋体" w:cs="宋体"/>
          <w:sz w:val="32"/>
          <w:szCs w:val="32"/>
        </w:rPr>
        <w:t>.33</w:t>
      </w:r>
      <w:r>
        <w:rPr>
          <w:rFonts w:hint="eastAsia" w:ascii="仿宋_GB2312" w:eastAsia="仿宋_GB2312" w:cs="DengXian-Regular"/>
          <w:sz w:val="32"/>
          <w:szCs w:val="32"/>
        </w:rPr>
        <w:t>万元，占12</w:t>
      </w:r>
      <w:r>
        <w:rPr>
          <w:rFonts w:hint="eastAsia" w:ascii="宋体" w:hAnsi="宋体" w:cs="宋体"/>
          <w:sz w:val="32"/>
          <w:szCs w:val="32"/>
        </w:rPr>
        <w:t>.36</w:t>
      </w:r>
      <w:r>
        <w:rPr>
          <w:rFonts w:hint="eastAsia" w:ascii="仿宋_GB2312" w:eastAsia="仿宋_GB2312" w:cs="DengXian-Regular"/>
          <w:sz w:val="32"/>
          <w:szCs w:val="32"/>
        </w:rPr>
        <w:t>%；</w:t>
      </w:r>
      <w:r>
        <w:rPr>
          <w:rFonts w:hint="eastAsia" w:ascii="仿宋" w:hAnsi="仿宋" w:eastAsia="仿宋" w:cs="DengXian-Regular"/>
          <w:sz w:val="32"/>
          <w:szCs w:val="32"/>
        </w:rPr>
        <w:t>国防支出</w:t>
      </w:r>
      <w:r>
        <w:rPr>
          <w:rFonts w:hint="eastAsia" w:ascii="宋体" w:hAnsi="宋体" w:cs="宋体"/>
          <w:sz w:val="32"/>
          <w:szCs w:val="32"/>
        </w:rPr>
        <w:t>57.46</w:t>
      </w:r>
      <w:r>
        <w:rPr>
          <w:rFonts w:hint="eastAsia" w:ascii="仿宋" w:hAnsi="仿宋" w:eastAsia="仿宋" w:cs="宋体"/>
          <w:sz w:val="32"/>
          <w:szCs w:val="32"/>
        </w:rPr>
        <w:t>万元，占</w:t>
      </w:r>
      <w:r>
        <w:rPr>
          <w:rFonts w:hint="eastAsia" w:ascii="宋体" w:hAnsi="宋体" w:cs="宋体"/>
          <w:sz w:val="32"/>
          <w:szCs w:val="32"/>
        </w:rPr>
        <w:t>6.38%</w:t>
      </w:r>
      <w:r>
        <w:rPr>
          <w:rFonts w:hint="eastAsia" w:ascii="仿宋_GB2312" w:eastAsia="仿宋_GB2312" w:cs="DengXian-Regular"/>
          <w:sz w:val="32"/>
          <w:szCs w:val="32"/>
        </w:rPr>
        <w:t>；社会保障和就业支出 726</w:t>
      </w:r>
      <w:r>
        <w:rPr>
          <w:rFonts w:hint="eastAsia" w:ascii="宋体" w:hAnsi="宋体" w:cs="宋体"/>
          <w:sz w:val="32"/>
          <w:szCs w:val="32"/>
        </w:rPr>
        <w:t>.58</w:t>
      </w:r>
      <w:r>
        <w:rPr>
          <w:rFonts w:hint="eastAsia" w:ascii="仿宋_GB2312" w:eastAsia="仿宋_GB2312" w:cs="DengXian-Regular"/>
          <w:sz w:val="32"/>
          <w:szCs w:val="32"/>
        </w:rPr>
        <w:t>万元，占80</w:t>
      </w:r>
      <w:r>
        <w:rPr>
          <w:rFonts w:hint="eastAsia" w:ascii="宋体" w:hAnsi="宋体" w:cs="宋体"/>
          <w:sz w:val="32"/>
          <w:szCs w:val="32"/>
        </w:rPr>
        <w:t>.66</w:t>
      </w:r>
      <w:r>
        <w:rPr>
          <w:rFonts w:hint="eastAsia" w:ascii="仿宋_GB2312" w:eastAsia="仿宋_GB2312" w:cs="DengXian-Regular"/>
          <w:sz w:val="32"/>
          <w:szCs w:val="32"/>
        </w:rPr>
        <w:t>%；医疗卫生与计划生育支出5</w:t>
      </w:r>
      <w:r>
        <w:rPr>
          <w:rFonts w:hint="eastAsia" w:ascii="宋体" w:hAnsi="宋体" w:cs="宋体"/>
          <w:sz w:val="32"/>
          <w:szCs w:val="32"/>
        </w:rPr>
        <w:t>.43</w:t>
      </w:r>
      <w:r>
        <w:rPr>
          <w:rFonts w:hint="eastAsia" w:ascii="仿宋_GB2312" w:eastAsia="仿宋_GB2312" w:cs="DengXian-Regular"/>
          <w:sz w:val="32"/>
          <w:szCs w:val="32"/>
        </w:rPr>
        <w:t>万元，占0</w:t>
      </w:r>
      <w:r>
        <w:rPr>
          <w:rFonts w:hint="eastAsia" w:ascii="宋体" w:hAnsi="宋体" w:cs="宋体"/>
          <w:sz w:val="32"/>
          <w:szCs w:val="32"/>
        </w:rPr>
        <w:t>.6</w:t>
      </w:r>
      <w:r>
        <w:rPr>
          <w:rFonts w:hint="eastAsia" w:ascii="仿宋_GB2312" w:eastAsia="仿宋_GB2312" w:cs="DengXian-Regular"/>
          <w:sz w:val="32"/>
          <w:szCs w:val="32"/>
        </w:rPr>
        <w:t>%。</w:t>
      </w:r>
    </w:p>
    <w:p>
      <w:pPr>
        <w:adjustRightInd w:val="0"/>
        <w:snapToGrid w:val="0"/>
        <w:spacing w:after="0" w:line="580" w:lineRule="exact"/>
        <w:jc w:val="center"/>
        <w:rPr>
          <w:rFonts w:eastAsia="仿宋_GB2312"/>
          <w:sz w:val="32"/>
          <w:szCs w:val="32"/>
        </w:rPr>
      </w:pPr>
      <w:r>
        <w:rPr>
          <w:rFonts w:hint="eastAsia" w:eastAsia="仿宋_GB2312"/>
          <w:sz w:val="32"/>
          <w:szCs w:val="32"/>
        </w:rPr>
        <w:t>图5：财政拨款支出决算结构（按功能分类）</w:t>
      </w:r>
    </w:p>
    <w:p>
      <w:pPr>
        <w:adjustRightInd w:val="0"/>
        <w:snapToGrid w:val="0"/>
        <w:spacing w:after="0" w:line="240" w:lineRule="auto"/>
        <w:jc w:val="center"/>
        <w:rPr>
          <w:rFonts w:ascii="楷体_GB2312" w:eastAsia="楷体_GB2312" w:cs="DengXian-Bold"/>
          <w:b/>
          <w:bCs/>
          <w:sz w:val="32"/>
          <w:szCs w:val="32"/>
        </w:rPr>
      </w:pPr>
      <w:r>
        <w:rPr>
          <w:rFonts w:ascii="楷体_GB2312" w:eastAsia="楷体_GB2312" w:cs="DengXian-Bold"/>
          <w:b/>
          <w:bCs/>
          <w:sz w:val="32"/>
          <w:szCs w:val="32"/>
        </w:rPr>
        <w:drawing>
          <wp:inline distT="0" distB="0" distL="0" distR="0">
            <wp:extent cx="5486400" cy="3200400"/>
            <wp:effectExtent l="0" t="0" r="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年度一般公共预算财政拨款基本支出12</w:t>
      </w:r>
      <w:r>
        <w:rPr>
          <w:rFonts w:hint="eastAsia" w:ascii="宋体" w:hAnsi="宋体" w:cs="宋体"/>
          <w:sz w:val="32"/>
          <w:szCs w:val="32"/>
        </w:rPr>
        <w:t>9.35</w:t>
      </w:r>
      <w:r>
        <w:rPr>
          <w:rFonts w:hint="eastAsia" w:ascii="仿宋_GB2312" w:eastAsia="仿宋_GB2312" w:cs="DengXian-Regular"/>
          <w:sz w:val="32"/>
          <w:szCs w:val="32"/>
        </w:rPr>
        <w:t>万元，其中：人员经费107</w:t>
      </w:r>
      <w:r>
        <w:rPr>
          <w:rFonts w:hint="eastAsia" w:ascii="宋体" w:hAnsi="宋体" w:cs="宋体"/>
          <w:sz w:val="32"/>
          <w:szCs w:val="32"/>
        </w:rPr>
        <w:t>.58</w:t>
      </w:r>
      <w:r>
        <w:rPr>
          <w:rFonts w:hint="eastAsia" w:ascii="仿宋_GB2312" w:eastAsia="仿宋_GB2312" w:cs="DengXian-Regular"/>
          <w:sz w:val="32"/>
          <w:szCs w:val="32"/>
        </w:rPr>
        <w:t>万元，主要包括基本工资、津贴补贴、奖金、机关事业单位基本养老保险缴费、职工基本医疗保险缴费、公务员医疗补助缴费、其他工资福利支出等；公用经费21</w:t>
      </w:r>
      <w:r>
        <w:rPr>
          <w:rFonts w:hint="eastAsia" w:ascii="宋体" w:hAnsi="宋体" w:cs="宋体"/>
          <w:sz w:val="32"/>
          <w:szCs w:val="32"/>
        </w:rPr>
        <w:t>.77</w:t>
      </w:r>
      <w:r>
        <w:rPr>
          <w:rFonts w:hint="eastAsia" w:ascii="仿宋_GB2312" w:eastAsia="仿宋_GB2312" w:cs="DengXian-Regular"/>
          <w:sz w:val="32"/>
          <w:szCs w:val="32"/>
        </w:rPr>
        <w:t>万元，主要包括办公费、取暖费、公务用车运行维护费、其他交通费用等。</w:t>
      </w:r>
    </w:p>
    <w:p>
      <w:pPr>
        <w:adjustRightInd w:val="0"/>
        <w:snapToGrid w:val="0"/>
        <w:spacing w:after="0" w:line="580" w:lineRule="exact"/>
        <w:ind w:firstLine="642" w:firstLineChars="200"/>
        <w:rPr>
          <w:rFonts w:ascii="黑体" w:hAnsi="黑体" w:eastAsia="黑体" w:cs="DengXian-Regular"/>
          <w:sz w:val="32"/>
          <w:szCs w:val="32"/>
        </w:rPr>
      </w:pPr>
      <w:r>
        <w:rPr>
          <w:rFonts w:hint="eastAsia" w:ascii="楷体" w:hAnsi="楷体" w:eastAsia="楷体"/>
          <w:b/>
          <w:bCs/>
          <w:sz w:val="32"/>
          <w:szCs w:val="32"/>
        </w:rPr>
        <w:t>五、</w:t>
      </w:r>
      <w:r>
        <w:rPr>
          <w:rFonts w:hint="eastAsia" w:ascii="黑体" w:hAnsi="黑体" w:eastAsia="黑体"/>
          <w:bCs/>
          <w:sz w:val="32"/>
          <w:szCs w:val="32"/>
        </w:rPr>
        <w:t>一般公共预算财政拨款“三公” 经费支出决算情况说明</w:t>
      </w:r>
    </w:p>
    <w:p>
      <w:pPr>
        <w:adjustRightInd w:val="0"/>
        <w:snapToGrid w:val="0"/>
        <w:spacing w:line="584" w:lineRule="exact"/>
        <w:ind w:firstLine="640" w:firstLineChars="200"/>
        <w:rPr>
          <w:rFonts w:ascii="仿宋" w:hAnsi="仿宋" w:eastAsia="仿宋"/>
          <w:color w:val="000000" w:themeColor="text1"/>
          <w:sz w:val="32"/>
          <w:szCs w:val="32"/>
          <w:highlight w:val="yellow"/>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本部门201</w:t>
      </w:r>
      <w:r>
        <w:rPr>
          <w:rFonts w:hint="eastAsia" w:ascii="仿宋" w:hAnsi="仿宋" w:eastAsia="仿宋"/>
          <w:color w:val="000000" w:themeColor="text1"/>
          <w:sz w:val="32"/>
          <w:szCs w:val="32"/>
          <w14:textFill>
            <w14:solidFill>
              <w14:schemeClr w14:val="tx1"/>
            </w14:solidFill>
          </w14:textFill>
        </w:rPr>
        <w:t>8</w:t>
      </w:r>
      <w:r>
        <w:rPr>
          <w:rFonts w:ascii="仿宋" w:hAnsi="仿宋" w:eastAsia="仿宋"/>
          <w:color w:val="000000" w:themeColor="text1"/>
          <w:sz w:val="32"/>
          <w:szCs w:val="32"/>
          <w14:textFill>
            <w14:solidFill>
              <w14:schemeClr w14:val="tx1"/>
            </w14:solidFill>
          </w14:textFill>
        </w:rPr>
        <w:t>年度一般公共预算财政拨款“三公”经费支出共计</w:t>
      </w:r>
      <w:r>
        <w:rPr>
          <w:rFonts w:hint="eastAsia" w:ascii="仿宋" w:hAnsi="仿宋" w:eastAsia="仿宋"/>
          <w:color w:val="000000" w:themeColor="text1"/>
          <w:sz w:val="32"/>
          <w:szCs w:val="32"/>
          <w14:textFill>
            <w14:solidFill>
              <w14:schemeClr w14:val="tx1"/>
            </w14:solidFill>
          </w14:textFill>
        </w:rPr>
        <w:t>5.79</w:t>
      </w:r>
      <w:r>
        <w:rPr>
          <w:rFonts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比</w:t>
      </w:r>
      <w:r>
        <w:rPr>
          <w:rFonts w:ascii="仿宋" w:hAnsi="仿宋" w:eastAsia="仿宋"/>
          <w:color w:val="000000" w:themeColor="text1"/>
          <w:sz w:val="32"/>
          <w:szCs w:val="32"/>
          <w14:textFill>
            <w14:solidFill>
              <w14:schemeClr w14:val="tx1"/>
            </w14:solidFill>
          </w14:textFill>
        </w:rPr>
        <w:t>年初预算减少</w:t>
      </w:r>
      <w:r>
        <w:rPr>
          <w:rFonts w:hint="eastAsia" w:ascii="仿宋" w:hAnsi="仿宋" w:eastAsia="仿宋"/>
          <w:color w:val="000000" w:themeColor="text1"/>
          <w:sz w:val="32"/>
          <w:szCs w:val="32"/>
          <w14:textFill>
            <w14:solidFill>
              <w14:schemeClr w14:val="tx1"/>
            </w14:solidFill>
          </w14:textFill>
        </w:rPr>
        <w:t>1.71</w:t>
      </w:r>
      <w:r>
        <w:rPr>
          <w:rFonts w:ascii="仿宋" w:hAnsi="仿宋" w:eastAsia="仿宋"/>
          <w:color w:val="000000" w:themeColor="text1"/>
          <w:sz w:val="32"/>
          <w:szCs w:val="32"/>
          <w14:textFill>
            <w14:solidFill>
              <w14:schemeClr w14:val="tx1"/>
            </w14:solidFill>
          </w14:textFill>
        </w:rPr>
        <w:t>万元，降低</w:t>
      </w:r>
      <w:r>
        <w:rPr>
          <w:rFonts w:hint="eastAsia" w:ascii="仿宋" w:hAnsi="仿宋" w:eastAsia="仿宋"/>
          <w:color w:val="000000" w:themeColor="text1"/>
          <w:sz w:val="32"/>
          <w:szCs w:val="32"/>
          <w14:textFill>
            <w14:solidFill>
              <w14:schemeClr w14:val="tx1"/>
            </w14:solidFill>
          </w14:textFill>
        </w:rPr>
        <w:t>22.8</w:t>
      </w:r>
      <w:r>
        <w:rPr>
          <w:rFonts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14:textFill>
            <w14:solidFill>
              <w14:schemeClr w14:val="tx1"/>
            </w14:solidFill>
          </w14:textFill>
        </w:rPr>
        <w:t>厉行节约，反对浪费，严控经费支出。比</w:t>
      </w:r>
      <w:r>
        <w:rPr>
          <w:rFonts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14:textFill>
            <w14:solidFill>
              <w14:schemeClr w14:val="tx1"/>
            </w14:solidFill>
          </w14:textFill>
        </w:rPr>
        <w:t>7</w:t>
      </w:r>
      <w:r>
        <w:rPr>
          <w:rFonts w:ascii="仿宋" w:hAnsi="仿宋" w:eastAsia="仿宋"/>
          <w:color w:val="000000" w:themeColor="text1"/>
          <w:sz w:val="32"/>
          <w:szCs w:val="32"/>
          <w14:textFill>
            <w14:solidFill>
              <w14:schemeClr w14:val="tx1"/>
            </w14:solidFill>
          </w14:textFill>
        </w:rPr>
        <w:t>年度决算减少</w:t>
      </w:r>
      <w:r>
        <w:rPr>
          <w:rFonts w:hint="eastAsia" w:ascii="仿宋" w:hAnsi="仿宋" w:eastAsia="仿宋"/>
          <w:color w:val="000000" w:themeColor="text1"/>
          <w:sz w:val="32"/>
          <w:szCs w:val="32"/>
          <w14:textFill>
            <w14:solidFill>
              <w14:schemeClr w14:val="tx1"/>
            </w14:solidFill>
          </w14:textFill>
        </w:rPr>
        <w:t>1.99</w:t>
      </w:r>
      <w:r>
        <w:rPr>
          <w:rFonts w:ascii="仿宋" w:hAnsi="仿宋" w:eastAsia="仿宋"/>
          <w:color w:val="000000" w:themeColor="text1"/>
          <w:sz w:val="32"/>
          <w:szCs w:val="32"/>
          <w14:textFill>
            <w14:solidFill>
              <w14:schemeClr w14:val="tx1"/>
            </w14:solidFill>
          </w14:textFill>
        </w:rPr>
        <w:t>万元，降低</w:t>
      </w:r>
      <w:r>
        <w:rPr>
          <w:rFonts w:hint="eastAsia" w:ascii="仿宋" w:hAnsi="仿宋" w:eastAsia="仿宋"/>
          <w:color w:val="000000" w:themeColor="text1"/>
          <w:sz w:val="32"/>
          <w:szCs w:val="32"/>
          <w14:textFill>
            <w14:solidFill>
              <w14:schemeClr w14:val="tx1"/>
            </w14:solidFill>
          </w14:textFill>
        </w:rPr>
        <w:t>25.58</w:t>
      </w:r>
      <w:r>
        <w:rPr>
          <w:rFonts w:ascii="仿宋" w:hAnsi="仿宋" w:eastAsia="仿宋"/>
          <w:color w:val="000000" w:themeColor="text1"/>
          <w:sz w:val="32"/>
          <w:szCs w:val="32"/>
          <w14:textFill>
            <w14:solidFill>
              <w14:schemeClr w14:val="tx1"/>
            </w14:solidFill>
          </w14:textFill>
        </w:rPr>
        <w:t>%，主要</w:t>
      </w:r>
      <w:r>
        <w:rPr>
          <w:rFonts w:hint="eastAsia" w:ascii="仿宋" w:hAnsi="仿宋" w:eastAsia="仿宋"/>
          <w:color w:val="000000" w:themeColor="text1"/>
          <w:sz w:val="32"/>
          <w:szCs w:val="32"/>
          <w:lang w:eastAsia="zh-CN"/>
          <w14:textFill>
            <w14:solidFill>
              <w14:schemeClr w14:val="tx1"/>
            </w14:solidFill>
          </w14:textFill>
        </w:rPr>
        <w:t>是</w:t>
      </w:r>
      <w:r>
        <w:rPr>
          <w:rFonts w:hint="eastAsia" w:ascii="仿宋" w:hAnsi="仿宋" w:eastAsia="仿宋"/>
          <w:color w:val="000000" w:themeColor="text1"/>
          <w:sz w:val="32"/>
          <w:szCs w:val="32"/>
          <w14:textFill>
            <w14:solidFill>
              <w14:schemeClr w14:val="tx1"/>
            </w14:solidFill>
          </w14:textFill>
        </w:rPr>
        <w:t>公务用车维护费减少</w:t>
      </w:r>
      <w:r>
        <w:rPr>
          <w:rFonts w:ascii="仿宋" w:hAnsi="仿宋" w:eastAsia="仿宋"/>
          <w:color w:val="000000" w:themeColor="text1"/>
          <w:sz w:val="32"/>
          <w:szCs w:val="32"/>
          <w14:textFill>
            <w14:solidFill>
              <w14:schemeClr w14:val="tx1"/>
            </w14:solidFill>
          </w14:textFill>
        </w:rPr>
        <w:t>。具体情况如下：</w:t>
      </w:r>
    </w:p>
    <w:p>
      <w:pPr>
        <w:pStyle w:val="32"/>
        <w:numPr>
          <w:ilvl w:val="0"/>
          <w:numId w:val="2"/>
        </w:numPr>
        <w:adjustRightInd w:val="0"/>
        <w:snapToGrid w:val="0"/>
        <w:spacing w:line="584" w:lineRule="exact"/>
        <w:ind w:left="17" w:firstLine="409" w:firstLineChars="0"/>
        <w:rPr>
          <w:rFonts w:eastAsia="仿宋_GB2312"/>
          <w:sz w:val="32"/>
          <w:szCs w:val="32"/>
        </w:rPr>
      </w:pPr>
      <w:r>
        <w:rPr>
          <w:rFonts w:eastAsia="楷体_GB2312"/>
          <w:b/>
          <w:bCs/>
          <w:sz w:val="32"/>
          <w:szCs w:val="32"/>
        </w:rPr>
        <w:t>因公出国（境）费支出</w:t>
      </w:r>
      <w:r>
        <w:rPr>
          <w:rFonts w:hint="eastAsia" w:eastAsia="楷体_GB2312"/>
          <w:b/>
          <w:bCs/>
          <w:sz w:val="32"/>
          <w:szCs w:val="32"/>
        </w:rPr>
        <w:t>0</w:t>
      </w:r>
      <w:r>
        <w:rPr>
          <w:rFonts w:eastAsia="楷体_GB2312"/>
          <w:b/>
          <w:bCs/>
          <w:sz w:val="32"/>
          <w:szCs w:val="32"/>
        </w:rPr>
        <w:t>万元。</w:t>
      </w:r>
      <w:r>
        <w:rPr>
          <w:rFonts w:ascii="仿宋" w:hAnsi="仿宋" w:eastAsia="仿宋"/>
          <w:sz w:val="32"/>
          <w:szCs w:val="32"/>
        </w:rPr>
        <w:t>本部门201</w:t>
      </w:r>
      <w:r>
        <w:rPr>
          <w:rFonts w:hint="eastAsia" w:ascii="仿宋" w:hAnsi="仿宋" w:eastAsia="仿宋"/>
          <w:sz w:val="32"/>
          <w:szCs w:val="32"/>
        </w:rPr>
        <w:t>8</w:t>
      </w:r>
      <w:r>
        <w:rPr>
          <w:rFonts w:ascii="仿宋" w:hAnsi="仿宋" w:eastAsia="仿宋"/>
          <w:sz w:val="32"/>
          <w:szCs w:val="32"/>
        </w:rPr>
        <w:t>年度</w:t>
      </w:r>
      <w:r>
        <w:rPr>
          <w:rFonts w:hint="eastAsia" w:ascii="仿宋" w:hAnsi="仿宋" w:eastAsia="仿宋" w:cs="DengXian-Regular"/>
          <w:sz w:val="32"/>
          <w:szCs w:val="32"/>
        </w:rPr>
        <w:t>因公出国（境）团组0个、共0人/参加其他单位组织的因公出国（境）团组0个、共0人/无本单位组织的出国（境）团组。</w:t>
      </w:r>
      <w:r>
        <w:rPr>
          <w:rFonts w:ascii="仿宋" w:hAnsi="仿宋" w:eastAsia="仿宋"/>
          <w:sz w:val="32"/>
          <w:szCs w:val="32"/>
        </w:rPr>
        <w:t>因公出国（境）费支出</w:t>
      </w:r>
      <w:r>
        <w:rPr>
          <w:rFonts w:hint="eastAsia" w:ascii="仿宋" w:hAnsi="仿宋" w:eastAsia="仿宋"/>
          <w:sz w:val="32"/>
          <w:szCs w:val="32"/>
        </w:rPr>
        <w:t>比</w:t>
      </w:r>
      <w:r>
        <w:rPr>
          <w:rFonts w:ascii="仿宋" w:hAnsi="仿宋" w:eastAsia="仿宋"/>
          <w:sz w:val="32"/>
          <w:szCs w:val="32"/>
        </w:rPr>
        <w:t>年初预算增加</w:t>
      </w:r>
      <w:r>
        <w:rPr>
          <w:rFonts w:hint="eastAsia" w:ascii="仿宋" w:hAnsi="仿宋" w:eastAsia="仿宋"/>
          <w:sz w:val="32"/>
          <w:szCs w:val="32"/>
        </w:rPr>
        <w:t>0</w:t>
      </w:r>
      <w:r>
        <w:rPr>
          <w:rFonts w:ascii="仿宋" w:hAnsi="仿宋" w:eastAsia="仿宋"/>
          <w:sz w:val="32"/>
          <w:szCs w:val="32"/>
        </w:rPr>
        <w:t>万元，增长</w:t>
      </w:r>
      <w:r>
        <w:rPr>
          <w:rFonts w:hint="eastAsia" w:ascii="仿宋" w:hAnsi="仿宋" w:eastAsia="仿宋"/>
          <w:sz w:val="32"/>
          <w:szCs w:val="32"/>
        </w:rPr>
        <w:t>0</w:t>
      </w:r>
      <w:r>
        <w:rPr>
          <w:rFonts w:ascii="仿宋" w:hAnsi="仿宋" w:eastAsia="仿宋"/>
          <w:sz w:val="32"/>
          <w:szCs w:val="32"/>
        </w:rPr>
        <w:t>%，主要是</w:t>
      </w:r>
      <w:r>
        <w:rPr>
          <w:rFonts w:hint="eastAsia" w:ascii="仿宋" w:hAnsi="仿宋" w:eastAsia="仿宋"/>
          <w:sz w:val="32"/>
          <w:szCs w:val="32"/>
        </w:rPr>
        <w:t>未发生</w:t>
      </w:r>
      <w:r>
        <w:rPr>
          <w:rFonts w:ascii="仿宋" w:hAnsi="仿宋" w:eastAsia="仿宋"/>
          <w:sz w:val="32"/>
          <w:szCs w:val="32"/>
        </w:rPr>
        <w:t>因公出国（境）费支出；</w:t>
      </w:r>
      <w:r>
        <w:rPr>
          <w:rFonts w:hint="eastAsia" w:ascii="仿宋" w:hAnsi="仿宋" w:eastAsia="仿宋"/>
          <w:sz w:val="32"/>
          <w:szCs w:val="32"/>
        </w:rPr>
        <w:t>比</w:t>
      </w:r>
      <w:r>
        <w:rPr>
          <w:rFonts w:ascii="仿宋" w:hAnsi="仿宋" w:eastAsia="仿宋"/>
          <w:sz w:val="32"/>
          <w:szCs w:val="32"/>
        </w:rPr>
        <w:t>201</w:t>
      </w:r>
      <w:r>
        <w:rPr>
          <w:rFonts w:hint="eastAsia" w:ascii="仿宋" w:hAnsi="仿宋" w:eastAsia="仿宋"/>
          <w:sz w:val="32"/>
          <w:szCs w:val="32"/>
        </w:rPr>
        <w:t>7</w:t>
      </w:r>
      <w:r>
        <w:rPr>
          <w:rFonts w:ascii="仿宋" w:hAnsi="仿宋" w:eastAsia="仿宋"/>
          <w:sz w:val="32"/>
          <w:szCs w:val="32"/>
        </w:rPr>
        <w:t>年度决算增加</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%，主要是</w:t>
      </w:r>
      <w:r>
        <w:rPr>
          <w:rFonts w:hint="eastAsia" w:ascii="仿宋" w:hAnsi="仿宋" w:eastAsia="仿宋"/>
          <w:sz w:val="32"/>
          <w:szCs w:val="32"/>
        </w:rPr>
        <w:t>未发生</w:t>
      </w:r>
      <w:r>
        <w:rPr>
          <w:rFonts w:ascii="仿宋" w:hAnsi="仿宋" w:eastAsia="仿宋"/>
          <w:sz w:val="32"/>
          <w:szCs w:val="32"/>
        </w:rPr>
        <w:t>因公出国（境）费支出。</w:t>
      </w:r>
    </w:p>
    <w:p>
      <w:pPr>
        <w:numPr>
          <w:ilvl w:val="0"/>
          <w:numId w:val="2"/>
        </w:numPr>
        <w:adjustRightInd w:val="0"/>
        <w:snapToGrid w:val="0"/>
        <w:spacing w:line="584" w:lineRule="exact"/>
        <w:ind w:left="17" w:leftChars="0" w:firstLine="409" w:firstLineChars="0"/>
        <w:rPr>
          <w:rFonts w:eastAsia="仿宋_GB2312"/>
          <w:b/>
          <w:bCs/>
          <w:sz w:val="32"/>
          <w:szCs w:val="32"/>
        </w:rPr>
      </w:pPr>
      <w:r>
        <w:rPr>
          <w:rFonts w:eastAsia="楷体_GB2312"/>
          <w:b/>
          <w:bCs/>
          <w:sz w:val="32"/>
          <w:szCs w:val="32"/>
        </w:rPr>
        <w:t>公务用车购置及运行维护费支出</w:t>
      </w:r>
      <w:r>
        <w:rPr>
          <w:rFonts w:hint="eastAsia" w:eastAsia="楷体_GB2312"/>
          <w:b/>
          <w:bCs/>
          <w:sz w:val="32"/>
          <w:szCs w:val="32"/>
        </w:rPr>
        <w:t>5.79</w:t>
      </w:r>
      <w:r>
        <w:rPr>
          <w:rFonts w:eastAsia="楷体_GB2312"/>
          <w:b/>
          <w:bCs/>
          <w:sz w:val="32"/>
          <w:szCs w:val="32"/>
        </w:rPr>
        <w:t>万元。</w:t>
      </w:r>
      <w:r>
        <w:rPr>
          <w:rFonts w:hint="eastAsia" w:ascii="仿宋_GB2312" w:eastAsia="仿宋_GB2312" w:cs="DengXian-Regular"/>
          <w:sz w:val="32"/>
          <w:szCs w:val="32"/>
        </w:rPr>
        <w:t>本部门</w:t>
      </w:r>
      <w:r>
        <w:rPr>
          <w:rFonts w:hint="eastAsia" w:ascii="仿宋" w:hAnsi="仿宋" w:eastAsia="仿宋" w:cs="DengXian-Regular"/>
          <w:sz w:val="32"/>
          <w:szCs w:val="32"/>
        </w:rPr>
        <w:t>2018年度公务用车购置及运行维护费比年初预算</w:t>
      </w:r>
      <w:r>
        <w:rPr>
          <w:rFonts w:ascii="仿宋" w:hAnsi="仿宋" w:eastAsia="仿宋"/>
          <w:sz w:val="32"/>
          <w:szCs w:val="32"/>
        </w:rPr>
        <w:t>减少</w:t>
      </w:r>
      <w:r>
        <w:rPr>
          <w:rFonts w:hint="eastAsia" w:ascii="仿宋" w:hAnsi="仿宋" w:eastAsia="仿宋"/>
          <w:sz w:val="32"/>
          <w:szCs w:val="32"/>
        </w:rPr>
        <w:t>1.71</w:t>
      </w:r>
      <w:r>
        <w:rPr>
          <w:rFonts w:ascii="仿宋" w:hAnsi="仿宋" w:eastAsia="仿宋"/>
          <w:sz w:val="32"/>
          <w:szCs w:val="32"/>
        </w:rPr>
        <w:t>万元</w:t>
      </w:r>
      <w:r>
        <w:rPr>
          <w:rFonts w:hint="eastAsia" w:ascii="仿宋" w:hAnsi="仿宋" w:eastAsia="仿宋" w:cs="DengXian-Regular"/>
          <w:sz w:val="32"/>
          <w:szCs w:val="32"/>
        </w:rPr>
        <w:t>，</w:t>
      </w:r>
      <w:r>
        <w:rPr>
          <w:rFonts w:ascii="仿宋" w:hAnsi="仿宋" w:eastAsia="仿宋"/>
          <w:sz w:val="32"/>
          <w:szCs w:val="32"/>
        </w:rPr>
        <w:t>降低</w:t>
      </w:r>
      <w:r>
        <w:rPr>
          <w:rFonts w:hint="eastAsia" w:ascii="仿宋" w:hAnsi="仿宋" w:eastAsia="仿宋"/>
          <w:sz w:val="32"/>
          <w:szCs w:val="32"/>
        </w:rPr>
        <w:t>22.8</w:t>
      </w:r>
      <w:r>
        <w:rPr>
          <w:rFonts w:ascii="仿宋" w:hAnsi="仿宋" w:eastAsia="仿宋"/>
          <w:sz w:val="32"/>
          <w:szCs w:val="32"/>
        </w:rPr>
        <w:t>%</w:t>
      </w:r>
      <w:r>
        <w:rPr>
          <w:rFonts w:hint="eastAsia" w:ascii="仿宋" w:hAnsi="仿宋" w:eastAsia="仿宋" w:cs="DengXian-Regular"/>
          <w:sz w:val="32"/>
          <w:szCs w:val="32"/>
        </w:rPr>
        <w:t>,主要是</w:t>
      </w:r>
      <w:r>
        <w:rPr>
          <w:rFonts w:hint="eastAsia" w:ascii="仿宋" w:hAnsi="仿宋" w:eastAsia="仿宋"/>
          <w:sz w:val="32"/>
          <w:szCs w:val="32"/>
        </w:rPr>
        <w:t>厉行节约，反对浪费，严控经费支出</w:t>
      </w:r>
      <w:r>
        <w:rPr>
          <w:rFonts w:hint="eastAsia" w:ascii="仿宋" w:hAnsi="仿宋" w:eastAsia="仿宋" w:cs="DengXian-Regular"/>
          <w:sz w:val="32"/>
          <w:szCs w:val="32"/>
        </w:rPr>
        <w:t>；</w:t>
      </w:r>
      <w:r>
        <w:rPr>
          <w:rFonts w:hint="eastAsia" w:ascii="仿宋" w:hAnsi="仿宋" w:eastAsia="仿宋"/>
          <w:sz w:val="32"/>
          <w:szCs w:val="32"/>
        </w:rPr>
        <w:t>比</w:t>
      </w:r>
      <w:r>
        <w:rPr>
          <w:rFonts w:ascii="仿宋" w:hAnsi="仿宋" w:eastAsia="仿宋"/>
          <w:sz w:val="32"/>
          <w:szCs w:val="32"/>
        </w:rPr>
        <w:t>201</w:t>
      </w:r>
      <w:r>
        <w:rPr>
          <w:rFonts w:hint="eastAsia" w:ascii="仿宋" w:hAnsi="仿宋" w:eastAsia="仿宋"/>
          <w:sz w:val="32"/>
          <w:szCs w:val="32"/>
        </w:rPr>
        <w:t>7</w:t>
      </w:r>
      <w:r>
        <w:rPr>
          <w:rFonts w:ascii="仿宋" w:hAnsi="仿宋" w:eastAsia="仿宋"/>
          <w:sz w:val="32"/>
          <w:szCs w:val="32"/>
        </w:rPr>
        <w:t>年度决算减少</w:t>
      </w:r>
      <w:r>
        <w:rPr>
          <w:rFonts w:hint="eastAsia" w:ascii="仿宋" w:hAnsi="仿宋" w:eastAsia="仿宋"/>
          <w:sz w:val="32"/>
          <w:szCs w:val="32"/>
        </w:rPr>
        <w:t>1.99</w:t>
      </w:r>
      <w:r>
        <w:rPr>
          <w:rFonts w:ascii="仿宋" w:hAnsi="仿宋" w:eastAsia="仿宋"/>
          <w:sz w:val="32"/>
          <w:szCs w:val="32"/>
        </w:rPr>
        <w:t>万元，降低</w:t>
      </w:r>
      <w:r>
        <w:rPr>
          <w:rFonts w:hint="eastAsia" w:ascii="仿宋" w:hAnsi="仿宋" w:eastAsia="仿宋"/>
          <w:sz w:val="32"/>
          <w:szCs w:val="32"/>
        </w:rPr>
        <w:t>25.58</w:t>
      </w:r>
      <w:r>
        <w:rPr>
          <w:rFonts w:ascii="仿宋" w:hAnsi="仿宋" w:eastAsia="仿宋"/>
          <w:sz w:val="32"/>
          <w:szCs w:val="32"/>
        </w:rPr>
        <w:t>%，主要</w:t>
      </w:r>
      <w:r>
        <w:rPr>
          <w:rFonts w:hint="eastAsia" w:ascii="仿宋" w:hAnsi="仿宋" w:eastAsia="仿宋"/>
          <w:sz w:val="32"/>
          <w:szCs w:val="32"/>
          <w:lang w:eastAsia="zh-CN"/>
        </w:rPr>
        <w:t>是</w:t>
      </w:r>
      <w:r>
        <w:rPr>
          <w:rFonts w:hint="eastAsia" w:ascii="仿宋" w:hAnsi="仿宋" w:eastAsia="仿宋"/>
          <w:sz w:val="32"/>
          <w:szCs w:val="32"/>
        </w:rPr>
        <w:t>厉行节约，反对浪费，严控经费支出</w:t>
      </w:r>
      <w:r>
        <w:rPr>
          <w:rFonts w:ascii="仿宋" w:hAnsi="仿宋" w:eastAsia="仿宋"/>
          <w:sz w:val="32"/>
          <w:szCs w:val="32"/>
        </w:rPr>
        <w:t>。</w:t>
      </w:r>
      <w:r>
        <w:rPr>
          <w:rFonts w:eastAsia="仿宋_GB2312"/>
          <w:b/>
          <w:bCs/>
          <w:sz w:val="32"/>
          <w:szCs w:val="32"/>
        </w:rPr>
        <w:t>其中：</w:t>
      </w:r>
    </w:p>
    <w:p>
      <w:pPr>
        <w:numPr>
          <w:ilvl w:val="0"/>
          <w:numId w:val="0"/>
        </w:numPr>
        <w:adjustRightInd w:val="0"/>
        <w:snapToGrid w:val="0"/>
        <w:spacing w:line="584" w:lineRule="exact"/>
        <w:ind w:firstLine="642" w:firstLineChars="200"/>
        <w:rPr>
          <w:rFonts w:eastAsia="仿宋_GB2312"/>
          <w:sz w:val="32"/>
          <w:szCs w:val="32"/>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w:t>
      </w:r>
      <w:r>
        <w:rPr>
          <w:rFonts w:ascii="仿宋" w:hAnsi="仿宋" w:eastAsia="仿宋"/>
          <w:sz w:val="32"/>
          <w:szCs w:val="32"/>
        </w:rPr>
        <w:t>部门201</w:t>
      </w:r>
      <w:r>
        <w:rPr>
          <w:rFonts w:hint="eastAsia" w:ascii="仿宋" w:hAnsi="仿宋" w:eastAsia="仿宋"/>
          <w:sz w:val="32"/>
          <w:szCs w:val="32"/>
        </w:rPr>
        <w:t>8</w:t>
      </w:r>
      <w:r>
        <w:rPr>
          <w:rFonts w:ascii="仿宋" w:hAnsi="仿宋" w:eastAsia="仿宋"/>
          <w:sz w:val="32"/>
          <w:szCs w:val="32"/>
        </w:rPr>
        <w:t>年度公务用车购置数量</w:t>
      </w:r>
      <w:r>
        <w:rPr>
          <w:rFonts w:hint="eastAsia" w:ascii="仿宋" w:hAnsi="仿宋" w:eastAsia="仿宋"/>
          <w:sz w:val="32"/>
          <w:szCs w:val="32"/>
        </w:rPr>
        <w:t>0</w:t>
      </w:r>
      <w:r>
        <w:rPr>
          <w:rFonts w:ascii="仿宋" w:hAnsi="仿宋" w:eastAsia="仿宋"/>
          <w:sz w:val="32"/>
          <w:szCs w:val="32"/>
        </w:rPr>
        <w:t>辆。公务用车购置费支出</w:t>
      </w:r>
      <w:r>
        <w:rPr>
          <w:rFonts w:hint="eastAsia" w:ascii="仿宋" w:hAnsi="仿宋" w:eastAsia="仿宋"/>
          <w:sz w:val="32"/>
          <w:szCs w:val="32"/>
        </w:rPr>
        <w:t>比</w:t>
      </w:r>
      <w:r>
        <w:rPr>
          <w:rFonts w:ascii="仿宋" w:hAnsi="仿宋" w:eastAsia="仿宋"/>
          <w:sz w:val="32"/>
          <w:szCs w:val="32"/>
        </w:rPr>
        <w:t>年初预算增加</w:t>
      </w:r>
      <w:r>
        <w:rPr>
          <w:rFonts w:hint="eastAsia" w:ascii="仿宋" w:hAnsi="仿宋" w:eastAsia="仿宋"/>
          <w:sz w:val="32"/>
          <w:szCs w:val="32"/>
        </w:rPr>
        <w:t>0</w:t>
      </w:r>
      <w:r>
        <w:rPr>
          <w:rFonts w:ascii="仿宋" w:hAnsi="仿宋" w:eastAsia="仿宋"/>
          <w:sz w:val="32"/>
          <w:szCs w:val="32"/>
        </w:rPr>
        <w:t>万元，增长</w:t>
      </w:r>
      <w:r>
        <w:rPr>
          <w:rFonts w:hint="eastAsia" w:ascii="仿宋" w:hAnsi="仿宋" w:eastAsia="仿宋"/>
          <w:sz w:val="32"/>
          <w:szCs w:val="32"/>
        </w:rPr>
        <w:t>0</w:t>
      </w:r>
      <w:r>
        <w:rPr>
          <w:rFonts w:ascii="仿宋" w:hAnsi="仿宋" w:eastAsia="仿宋"/>
          <w:sz w:val="32"/>
          <w:szCs w:val="32"/>
        </w:rPr>
        <w:t>%，主要</w:t>
      </w:r>
      <w:bookmarkStart w:id="0" w:name="_GoBack"/>
      <w:r>
        <w:rPr>
          <w:rFonts w:ascii="仿宋" w:hAnsi="仿宋" w:eastAsia="仿宋"/>
          <w:sz w:val="32"/>
          <w:szCs w:val="32"/>
        </w:rPr>
        <w:t>是</w:t>
      </w:r>
      <w:bookmarkEnd w:id="0"/>
      <w:r>
        <w:rPr>
          <w:rFonts w:hint="eastAsia" w:ascii="仿宋" w:hAnsi="仿宋" w:eastAsia="仿宋"/>
          <w:sz w:val="32"/>
          <w:szCs w:val="32"/>
        </w:rPr>
        <w:t>未发生公务用车购置费支出</w:t>
      </w:r>
      <w:r>
        <w:rPr>
          <w:rFonts w:ascii="仿宋" w:hAnsi="仿宋" w:eastAsia="仿宋"/>
          <w:sz w:val="32"/>
          <w:szCs w:val="32"/>
        </w:rPr>
        <w:t>；</w:t>
      </w:r>
      <w:r>
        <w:rPr>
          <w:rFonts w:hint="eastAsia" w:ascii="仿宋" w:hAnsi="仿宋" w:eastAsia="仿宋"/>
          <w:sz w:val="32"/>
          <w:szCs w:val="32"/>
        </w:rPr>
        <w:t>比</w:t>
      </w:r>
      <w:r>
        <w:rPr>
          <w:rFonts w:ascii="仿宋" w:hAnsi="仿宋" w:eastAsia="仿宋"/>
          <w:sz w:val="32"/>
          <w:szCs w:val="32"/>
        </w:rPr>
        <w:t>201</w:t>
      </w:r>
      <w:r>
        <w:rPr>
          <w:rFonts w:hint="eastAsia" w:ascii="仿宋" w:hAnsi="仿宋" w:eastAsia="仿宋"/>
          <w:sz w:val="32"/>
          <w:szCs w:val="32"/>
        </w:rPr>
        <w:t>7</w:t>
      </w:r>
      <w:r>
        <w:rPr>
          <w:rFonts w:ascii="仿宋" w:hAnsi="仿宋" w:eastAsia="仿宋"/>
          <w:sz w:val="32"/>
          <w:szCs w:val="32"/>
        </w:rPr>
        <w:t>年度决算增加</w:t>
      </w:r>
      <w:r>
        <w:rPr>
          <w:rFonts w:hint="eastAsia" w:ascii="仿宋" w:hAnsi="仿宋" w:eastAsia="仿宋"/>
          <w:sz w:val="32"/>
          <w:szCs w:val="32"/>
        </w:rPr>
        <w:t>0</w:t>
      </w:r>
      <w:r>
        <w:rPr>
          <w:rFonts w:ascii="仿宋" w:hAnsi="仿宋" w:eastAsia="仿宋"/>
          <w:sz w:val="32"/>
          <w:szCs w:val="32"/>
        </w:rPr>
        <w:t>万元，</w:t>
      </w:r>
      <w:r>
        <w:rPr>
          <w:rFonts w:eastAsia="仿宋_GB2312"/>
          <w:sz w:val="32"/>
          <w:szCs w:val="32"/>
        </w:rPr>
        <w:t>增长</w:t>
      </w:r>
      <w:r>
        <w:rPr>
          <w:rFonts w:hint="eastAsia" w:ascii="仿宋" w:hAnsi="仿宋" w:eastAsia="仿宋"/>
          <w:sz w:val="32"/>
          <w:szCs w:val="32"/>
        </w:rPr>
        <w:t>0</w:t>
      </w:r>
      <w:r>
        <w:rPr>
          <w:rFonts w:ascii="仿宋" w:hAnsi="仿宋" w:eastAsia="仿宋"/>
          <w:sz w:val="32"/>
          <w:szCs w:val="32"/>
        </w:rPr>
        <w:t>%，主要是</w:t>
      </w:r>
      <w:r>
        <w:rPr>
          <w:rFonts w:hint="eastAsia" w:ascii="仿宋" w:hAnsi="仿宋" w:eastAsia="仿宋"/>
          <w:sz w:val="32"/>
          <w:szCs w:val="32"/>
        </w:rPr>
        <w:t>未发生公务用车购置费支出</w:t>
      </w:r>
      <w:r>
        <w:rPr>
          <w:rFonts w:eastAsia="仿宋_GB2312"/>
          <w:sz w:val="32"/>
          <w:szCs w:val="32"/>
        </w:rPr>
        <w:t>。</w:t>
      </w:r>
    </w:p>
    <w:p>
      <w:pPr>
        <w:numPr>
          <w:ilvl w:val="0"/>
          <w:numId w:val="0"/>
        </w:numPr>
        <w:adjustRightInd w:val="0"/>
        <w:snapToGrid w:val="0"/>
        <w:spacing w:line="584" w:lineRule="exact"/>
        <w:ind w:firstLine="642" w:firstLineChars="200"/>
        <w:rPr>
          <w:rFonts w:ascii="仿宋" w:hAnsi="仿宋" w:eastAsia="仿宋"/>
          <w:b/>
          <w:bCs/>
          <w:sz w:val="32"/>
          <w:szCs w:val="32"/>
        </w:rPr>
      </w:pPr>
      <w:r>
        <w:rPr>
          <w:rFonts w:eastAsia="仿宋_GB2312"/>
          <w:b/>
          <w:sz w:val="32"/>
          <w:szCs w:val="32"/>
        </w:rPr>
        <w:t>公务用车运行维护费支出</w:t>
      </w:r>
      <w:r>
        <w:rPr>
          <w:rFonts w:hint="eastAsia" w:eastAsia="仿宋_GB2312"/>
          <w:b/>
          <w:sz w:val="32"/>
          <w:szCs w:val="32"/>
        </w:rPr>
        <w:t>5.79</w:t>
      </w:r>
      <w:r>
        <w:rPr>
          <w:rFonts w:eastAsia="仿宋_GB2312"/>
          <w:b/>
          <w:sz w:val="32"/>
          <w:szCs w:val="32"/>
        </w:rPr>
        <w:t>万元。</w:t>
      </w:r>
      <w:r>
        <w:rPr>
          <w:rFonts w:eastAsia="仿宋_GB2312"/>
          <w:sz w:val="32"/>
          <w:szCs w:val="32"/>
        </w:rPr>
        <w:t>本部</w:t>
      </w:r>
      <w:r>
        <w:rPr>
          <w:rFonts w:ascii="仿宋" w:hAnsi="仿宋" w:eastAsia="仿宋"/>
          <w:sz w:val="32"/>
          <w:szCs w:val="32"/>
        </w:rPr>
        <w:t>门201</w:t>
      </w:r>
      <w:r>
        <w:rPr>
          <w:rFonts w:hint="eastAsia" w:ascii="仿宋" w:hAnsi="仿宋" w:eastAsia="仿宋"/>
          <w:sz w:val="32"/>
          <w:szCs w:val="32"/>
        </w:rPr>
        <w:t>8</w:t>
      </w:r>
      <w:r>
        <w:rPr>
          <w:rFonts w:ascii="仿宋" w:hAnsi="仿宋" w:eastAsia="仿宋"/>
          <w:sz w:val="32"/>
          <w:szCs w:val="32"/>
        </w:rPr>
        <w:t>年</w:t>
      </w:r>
      <w:r>
        <w:rPr>
          <w:rFonts w:eastAsia="仿宋_GB2312"/>
          <w:sz w:val="32"/>
          <w:szCs w:val="32"/>
        </w:rPr>
        <w:t>末单位公务用车保</w:t>
      </w:r>
      <w:r>
        <w:rPr>
          <w:rFonts w:ascii="仿宋" w:hAnsi="仿宋" w:eastAsia="仿宋"/>
          <w:sz w:val="32"/>
          <w:szCs w:val="32"/>
        </w:rPr>
        <w:t>有量</w:t>
      </w:r>
      <w:r>
        <w:rPr>
          <w:rFonts w:hint="eastAsia" w:ascii="仿宋" w:hAnsi="仿宋" w:eastAsia="仿宋"/>
          <w:sz w:val="32"/>
          <w:szCs w:val="32"/>
        </w:rPr>
        <w:t>1</w:t>
      </w:r>
      <w:r>
        <w:rPr>
          <w:rFonts w:ascii="仿宋" w:hAnsi="仿宋" w:eastAsia="仿宋"/>
          <w:sz w:val="32"/>
          <w:szCs w:val="32"/>
        </w:rPr>
        <w:t>辆。公车运行维护费支出</w:t>
      </w:r>
      <w:r>
        <w:rPr>
          <w:rFonts w:hint="eastAsia" w:ascii="仿宋" w:hAnsi="仿宋" w:eastAsia="仿宋"/>
          <w:sz w:val="32"/>
          <w:szCs w:val="32"/>
        </w:rPr>
        <w:t>比</w:t>
      </w:r>
      <w:r>
        <w:rPr>
          <w:rFonts w:ascii="仿宋" w:hAnsi="仿宋" w:eastAsia="仿宋"/>
          <w:sz w:val="32"/>
          <w:szCs w:val="32"/>
        </w:rPr>
        <w:t>年初预算增加减少</w:t>
      </w:r>
      <w:r>
        <w:rPr>
          <w:rFonts w:hint="eastAsia" w:ascii="仿宋" w:hAnsi="仿宋" w:eastAsia="仿宋"/>
          <w:sz w:val="32"/>
          <w:szCs w:val="32"/>
        </w:rPr>
        <w:t>1.71</w:t>
      </w:r>
      <w:r>
        <w:rPr>
          <w:rFonts w:ascii="仿宋" w:hAnsi="仿宋" w:eastAsia="仿宋"/>
          <w:sz w:val="32"/>
          <w:szCs w:val="32"/>
        </w:rPr>
        <w:t>万元降低</w:t>
      </w:r>
      <w:r>
        <w:rPr>
          <w:rFonts w:hint="eastAsia" w:ascii="仿宋" w:hAnsi="仿宋" w:eastAsia="仿宋"/>
          <w:sz w:val="32"/>
          <w:szCs w:val="32"/>
        </w:rPr>
        <w:t>22.8</w:t>
      </w:r>
      <w:r>
        <w:rPr>
          <w:rFonts w:ascii="仿宋" w:hAnsi="仿宋" w:eastAsia="仿宋"/>
          <w:sz w:val="32"/>
          <w:szCs w:val="32"/>
        </w:rPr>
        <w:t>%，主要是</w:t>
      </w:r>
      <w:r>
        <w:rPr>
          <w:rFonts w:hint="eastAsia" w:ascii="仿宋" w:hAnsi="仿宋" w:eastAsia="仿宋"/>
          <w:sz w:val="32"/>
          <w:szCs w:val="32"/>
        </w:rPr>
        <w:t>厉行节约，反对浪费，严控经费支出</w:t>
      </w:r>
      <w:r>
        <w:rPr>
          <w:rFonts w:ascii="仿宋" w:hAnsi="仿宋" w:eastAsia="仿宋"/>
          <w:sz w:val="32"/>
          <w:szCs w:val="32"/>
        </w:rPr>
        <w:t>；</w:t>
      </w:r>
      <w:r>
        <w:rPr>
          <w:rFonts w:hint="eastAsia" w:ascii="仿宋" w:hAnsi="仿宋" w:eastAsia="仿宋"/>
          <w:sz w:val="32"/>
          <w:szCs w:val="32"/>
        </w:rPr>
        <w:t>比</w:t>
      </w:r>
      <w:r>
        <w:rPr>
          <w:rFonts w:ascii="仿宋" w:hAnsi="仿宋" w:eastAsia="仿宋"/>
          <w:sz w:val="32"/>
          <w:szCs w:val="32"/>
        </w:rPr>
        <w:t>201</w:t>
      </w:r>
      <w:r>
        <w:rPr>
          <w:rFonts w:hint="eastAsia" w:ascii="仿宋" w:hAnsi="仿宋" w:eastAsia="仿宋"/>
          <w:sz w:val="32"/>
          <w:szCs w:val="32"/>
        </w:rPr>
        <w:t>7</w:t>
      </w:r>
      <w:r>
        <w:rPr>
          <w:rFonts w:ascii="仿宋" w:hAnsi="仿宋" w:eastAsia="仿宋"/>
          <w:sz w:val="32"/>
          <w:szCs w:val="32"/>
        </w:rPr>
        <w:t>年度决算减少</w:t>
      </w:r>
      <w:r>
        <w:rPr>
          <w:rFonts w:hint="eastAsia" w:ascii="仿宋" w:hAnsi="仿宋" w:eastAsia="仿宋"/>
          <w:sz w:val="32"/>
          <w:szCs w:val="32"/>
        </w:rPr>
        <w:t>1.99</w:t>
      </w:r>
      <w:r>
        <w:rPr>
          <w:rFonts w:ascii="仿宋" w:hAnsi="仿宋" w:eastAsia="仿宋"/>
          <w:sz w:val="32"/>
          <w:szCs w:val="32"/>
        </w:rPr>
        <w:t>万元，降低</w:t>
      </w:r>
      <w:r>
        <w:rPr>
          <w:rFonts w:hint="eastAsia" w:ascii="仿宋" w:hAnsi="仿宋" w:eastAsia="仿宋"/>
          <w:sz w:val="32"/>
          <w:szCs w:val="32"/>
        </w:rPr>
        <w:t>25.58</w:t>
      </w:r>
      <w:r>
        <w:rPr>
          <w:rFonts w:ascii="仿宋" w:hAnsi="仿宋" w:eastAsia="仿宋"/>
          <w:sz w:val="32"/>
          <w:szCs w:val="32"/>
        </w:rPr>
        <w:t>%，主要</w:t>
      </w:r>
      <w:r>
        <w:rPr>
          <w:rFonts w:hint="eastAsia" w:ascii="仿宋" w:hAnsi="仿宋" w:eastAsia="仿宋"/>
          <w:sz w:val="32"/>
          <w:szCs w:val="32"/>
          <w:lang w:eastAsia="zh-CN"/>
        </w:rPr>
        <w:t>是</w:t>
      </w:r>
      <w:r>
        <w:rPr>
          <w:rFonts w:hint="eastAsia" w:ascii="仿宋" w:hAnsi="仿宋" w:eastAsia="仿宋"/>
          <w:sz w:val="32"/>
          <w:szCs w:val="32"/>
        </w:rPr>
        <w:t>厉行节约，反对浪费，严控经费支出。</w:t>
      </w:r>
    </w:p>
    <w:p>
      <w:pPr>
        <w:adjustRightInd w:val="0"/>
        <w:snapToGrid w:val="0"/>
        <w:spacing w:line="584" w:lineRule="exact"/>
        <w:ind w:firstLine="642"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w:t>
      </w:r>
      <w:r>
        <w:rPr>
          <w:rFonts w:ascii="仿宋" w:hAnsi="仿宋" w:eastAsia="仿宋"/>
          <w:sz w:val="32"/>
          <w:szCs w:val="32"/>
        </w:rPr>
        <w:t>201</w:t>
      </w:r>
      <w:r>
        <w:rPr>
          <w:rFonts w:hint="eastAsia" w:ascii="仿宋" w:hAnsi="仿宋" w:eastAsia="仿宋"/>
          <w:sz w:val="32"/>
          <w:szCs w:val="32"/>
        </w:rPr>
        <w:t>8</w:t>
      </w:r>
      <w:r>
        <w:rPr>
          <w:rFonts w:eastAsia="仿宋_GB2312"/>
          <w:sz w:val="32"/>
          <w:szCs w:val="32"/>
        </w:rPr>
        <w:t>年度公务接待共</w:t>
      </w:r>
      <w:r>
        <w:rPr>
          <w:rFonts w:hint="eastAsia" w:eastAsia="仿宋_GB2312"/>
          <w:sz w:val="32"/>
          <w:szCs w:val="32"/>
        </w:rPr>
        <w:t>0</w:t>
      </w:r>
      <w:r>
        <w:rPr>
          <w:rFonts w:eastAsia="仿宋_GB2312"/>
          <w:sz w:val="32"/>
          <w:szCs w:val="32"/>
        </w:rPr>
        <w:t>批次、</w:t>
      </w:r>
      <w:r>
        <w:rPr>
          <w:rFonts w:hint="eastAsia" w:eastAsia="仿宋_GB2312"/>
          <w:sz w:val="32"/>
          <w:szCs w:val="32"/>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hint="eastAsia" w:ascii="仿宋" w:hAnsi="仿宋" w:eastAsia="仿宋"/>
          <w:sz w:val="32"/>
          <w:szCs w:val="32"/>
        </w:rPr>
        <w:t>未发生公务接待费支出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hint="eastAsia" w:ascii="仿宋" w:hAnsi="仿宋" w:eastAsia="仿宋"/>
          <w:sz w:val="32"/>
          <w:szCs w:val="32"/>
        </w:rPr>
        <w:t>未发生公务接待费支出</w:t>
      </w:r>
      <w:r>
        <w:rPr>
          <w:rFonts w:eastAsia="仿宋_GB2312"/>
          <w:sz w:val="32"/>
          <w:szCs w:val="32"/>
        </w:rPr>
        <w:t>。</w:t>
      </w:r>
    </w:p>
    <w:p>
      <w:pPr>
        <w:adjustRightInd w:val="0"/>
        <w:snapToGrid w:val="0"/>
        <w:spacing w:after="0" w:line="580" w:lineRule="exact"/>
        <w:ind w:firstLine="960" w:firstLineChars="300"/>
        <w:rPr>
          <w:rFonts w:ascii="黑体" w:eastAsia="黑体"/>
          <w:sz w:val="32"/>
          <w:szCs w:val="40"/>
        </w:rPr>
      </w:pPr>
      <w:r>
        <w:rPr>
          <w:rFonts w:hint="eastAsia" w:ascii="黑体" w:eastAsia="黑体"/>
          <w:sz w:val="32"/>
          <w:szCs w:val="40"/>
        </w:rPr>
        <w:t>六、预算绩效情况说明</w:t>
      </w:r>
    </w:p>
    <w:p>
      <w:pPr>
        <w:spacing w:after="0" w:line="584"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spacing w:after="0" w:line="584"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进一步建立科学规范的绩效预算运行监控体系，提高财政资金使用绩效，我单位按照预算绩效管理改革要求，以绩效为导向，严格执行绩效预算管理。按照省市县文件要求，我单位重新修订了部门职责、工作活动及绩效评价指标，对预算项目执行及工作活动进行了绩效评价，并将绩效评价结果应用到实际工作中，进一步提升了部门预算绩效管理工作水平。</w:t>
      </w:r>
    </w:p>
    <w:p>
      <w:pPr>
        <w:spacing w:after="0" w:line="584"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w:t>
      </w:r>
      <w:r>
        <w:rPr>
          <w:rFonts w:hint="eastAsia" w:ascii="仿宋" w:hAnsi="仿宋" w:eastAsia="仿宋" w:cs="DengXian-Regular"/>
          <w:sz w:val="32"/>
          <w:szCs w:val="32"/>
        </w:rPr>
        <w:t>效自评结</w:t>
      </w:r>
      <w:r>
        <w:rPr>
          <w:rFonts w:hint="eastAsia" w:ascii="仿宋_GB2312" w:eastAsia="仿宋_GB2312" w:cs="DengXian-Regular"/>
          <w:sz w:val="32"/>
          <w:szCs w:val="32"/>
        </w:rPr>
        <w:t>果。</w:t>
      </w:r>
    </w:p>
    <w:p>
      <w:pPr>
        <w:spacing w:after="0" w:line="584" w:lineRule="exact"/>
        <w:ind w:firstLine="640" w:firstLineChars="200"/>
        <w:rPr>
          <w:rFonts w:ascii="仿宋" w:hAnsi="仿宋" w:eastAsia="仿宋"/>
          <w:sz w:val="32"/>
          <w:szCs w:val="32"/>
        </w:rPr>
      </w:pPr>
      <w:r>
        <w:rPr>
          <w:rFonts w:hint="eastAsia" w:ascii="仿宋" w:hAnsi="仿宋" w:eastAsia="仿宋"/>
          <w:sz w:val="32"/>
          <w:szCs w:val="32"/>
        </w:rPr>
        <w:t>为深入推进全过程预算绩效管理，不断完善项目管理，进一步落实支出责任，加快预算执行进度，更好地实现绩效目标，我单位对《“四个秩序”建设项目》、《义务兵父母合作医疗免费项目》等项目开展绩效监控工作。建立了“部门职责-工作活动-预算项目”三个层级的绩效预算管理结构和绩效目标指标管理体系，预算编制进一步科学、规范、高效。通过对典型部门的典型项目实施全程监控，实现一个项目从“预算绩效指标建立-项目实施-绩效评价”贯彻始终的全过程绩效管理模式，及时发现问题，积累经验，为全面规范预算管理，提高财政资金使用绩效夯实基础。</w:t>
      </w:r>
    </w:p>
    <w:p>
      <w:pPr>
        <w:spacing w:after="0" w:line="584" w:lineRule="exact"/>
        <w:ind w:firstLine="640" w:firstLineChars="200"/>
        <w:rPr>
          <w:rFonts w:ascii="仿宋" w:hAnsi="仿宋" w:eastAsia="仿宋" w:cs="DengXian-Regular"/>
          <w:sz w:val="32"/>
          <w:szCs w:val="32"/>
        </w:rPr>
      </w:pPr>
      <w:r>
        <w:rPr>
          <w:rFonts w:hint="eastAsia" w:ascii="仿宋_GB2312" w:eastAsia="仿宋_GB2312" w:cs="DengXian-Regular"/>
          <w:sz w:val="32"/>
          <w:szCs w:val="32"/>
        </w:rPr>
        <w:t>（三）重点项目绩</w:t>
      </w:r>
      <w:r>
        <w:rPr>
          <w:rFonts w:hint="eastAsia" w:ascii="仿宋" w:hAnsi="仿宋" w:eastAsia="仿宋" w:cs="DengXian-Regular"/>
          <w:sz w:val="32"/>
          <w:szCs w:val="32"/>
        </w:rPr>
        <w:t>效评价结</w:t>
      </w:r>
      <w:r>
        <w:rPr>
          <w:rFonts w:hint="eastAsia" w:ascii="仿宋_GB2312" w:eastAsia="仿宋_GB2312" w:cs="DengXian-Regular"/>
          <w:sz w:val="32"/>
          <w:szCs w:val="32"/>
        </w:rPr>
        <w:t>果。</w:t>
      </w:r>
    </w:p>
    <w:tbl>
      <w:tblPr>
        <w:tblStyle w:val="12"/>
        <w:tblW w:w="90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7"/>
        <w:gridCol w:w="720"/>
        <w:gridCol w:w="1275"/>
        <w:gridCol w:w="1710"/>
        <w:gridCol w:w="920"/>
        <w:gridCol w:w="690"/>
        <w:gridCol w:w="690"/>
        <w:gridCol w:w="780"/>
        <w:gridCol w:w="9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5962"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p>
        </w:tc>
        <w:tc>
          <w:tcPr>
            <w:tcW w:w="3070"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5962"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宋体" w:hAnsi="宋体" w:cs="宋体"/>
                <w:sz w:val="24"/>
              </w:rPr>
              <w:t>801</w:t>
            </w:r>
            <w:r>
              <w:rPr>
                <w:rFonts w:hint="eastAsia" w:ascii="方正小标宋_GBK" w:eastAsia="方正小标宋_GBK"/>
                <w:sz w:val="24"/>
              </w:rPr>
              <w:t>大城县国防教育办公室</w:t>
            </w:r>
          </w:p>
        </w:tc>
        <w:tc>
          <w:tcPr>
            <w:tcW w:w="3070"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337"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72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1275"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1710"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20"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3070"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337" w:type="dxa"/>
            <w:vMerge w:val="continue"/>
            <w:vAlign w:val="center"/>
          </w:tcPr>
          <w:p>
            <w:pPr>
              <w:spacing w:line="300" w:lineRule="exact"/>
              <w:jc w:val="left"/>
              <w:outlineLvl w:val="0"/>
            </w:pPr>
          </w:p>
        </w:tc>
        <w:tc>
          <w:tcPr>
            <w:tcW w:w="720" w:type="dxa"/>
            <w:vMerge w:val="continue"/>
            <w:vAlign w:val="center"/>
          </w:tcPr>
          <w:p>
            <w:pPr>
              <w:spacing w:line="300" w:lineRule="exact"/>
              <w:jc w:val="left"/>
              <w:outlineLvl w:val="0"/>
            </w:pPr>
          </w:p>
        </w:tc>
        <w:tc>
          <w:tcPr>
            <w:tcW w:w="1275" w:type="dxa"/>
            <w:vMerge w:val="continue"/>
            <w:vAlign w:val="center"/>
          </w:tcPr>
          <w:p>
            <w:pPr>
              <w:spacing w:line="300" w:lineRule="exact"/>
              <w:jc w:val="left"/>
              <w:outlineLvl w:val="0"/>
            </w:pPr>
          </w:p>
        </w:tc>
        <w:tc>
          <w:tcPr>
            <w:tcW w:w="1710" w:type="dxa"/>
            <w:vMerge w:val="continue"/>
            <w:vAlign w:val="center"/>
          </w:tcPr>
          <w:p>
            <w:pPr>
              <w:spacing w:line="300" w:lineRule="exact"/>
              <w:jc w:val="left"/>
              <w:outlineLvl w:val="0"/>
            </w:pPr>
          </w:p>
        </w:tc>
        <w:tc>
          <w:tcPr>
            <w:tcW w:w="920" w:type="dxa"/>
            <w:vMerge w:val="continue"/>
            <w:vAlign w:val="center"/>
          </w:tcPr>
          <w:p>
            <w:pPr>
              <w:spacing w:line="300" w:lineRule="exact"/>
              <w:jc w:val="left"/>
              <w:outlineLvl w:val="0"/>
            </w:pPr>
          </w:p>
        </w:tc>
        <w:tc>
          <w:tcPr>
            <w:tcW w:w="690"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690"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80"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910"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37" w:type="dxa"/>
            <w:vAlign w:val="center"/>
          </w:tcPr>
          <w:p>
            <w:pPr>
              <w:spacing w:line="300" w:lineRule="exact"/>
              <w:jc w:val="left"/>
              <w:rPr>
                <w:rFonts w:ascii="方正书宋_GBK" w:eastAsia="方正书宋_GBK"/>
                <w:b/>
              </w:rPr>
            </w:pPr>
            <w:r>
              <w:rPr>
                <w:rFonts w:hint="eastAsia" w:ascii="方正书宋_GBK" w:eastAsia="方正书宋_GBK"/>
                <w:b/>
              </w:rPr>
              <w:t>国防</w:t>
            </w:r>
            <w:r>
              <w:rPr>
                <w:rFonts w:hint="eastAsia" w:ascii="宋体" w:hAnsi="宋体" w:cs="宋体"/>
                <w:b/>
              </w:rPr>
              <w:t>教</w:t>
            </w:r>
            <w:r>
              <w:rPr>
                <w:rFonts w:hint="eastAsia" w:ascii="方正书宋_GBK" w:eastAsia="方正书宋_GBK"/>
                <w:b/>
              </w:rPr>
              <w:t>育</w:t>
            </w:r>
          </w:p>
        </w:tc>
        <w:tc>
          <w:tcPr>
            <w:tcW w:w="720" w:type="dxa"/>
            <w:vAlign w:val="center"/>
          </w:tcPr>
          <w:p>
            <w:pPr>
              <w:spacing w:line="300" w:lineRule="exact"/>
              <w:jc w:val="left"/>
              <w:rPr>
                <w:rFonts w:ascii="方正书宋_GBK" w:eastAsia="方正书宋_GBK"/>
              </w:rPr>
            </w:pPr>
          </w:p>
        </w:tc>
        <w:tc>
          <w:tcPr>
            <w:tcW w:w="1275" w:type="dxa"/>
            <w:vAlign w:val="center"/>
          </w:tcPr>
          <w:p>
            <w:pPr>
              <w:spacing w:line="300" w:lineRule="exact"/>
              <w:jc w:val="left"/>
              <w:rPr>
                <w:rFonts w:hint="eastAsia" w:ascii="方正书宋_GBK" w:eastAsia="方正书宋_GBK"/>
              </w:rPr>
            </w:pPr>
            <w:r>
              <w:rPr>
                <w:rFonts w:hint="eastAsia" w:ascii="方正书宋_GBK" w:eastAsia="方正书宋_GBK"/>
              </w:rPr>
              <w:t>通过各种方式、利用各种活动对我县人民进行爱国主义教育</w:t>
            </w:r>
          </w:p>
        </w:tc>
        <w:tc>
          <w:tcPr>
            <w:tcW w:w="1710" w:type="dxa"/>
            <w:vAlign w:val="center"/>
          </w:tcPr>
          <w:p>
            <w:pPr>
              <w:spacing w:line="300" w:lineRule="exact"/>
              <w:jc w:val="left"/>
              <w:rPr>
                <w:rFonts w:hint="eastAsia" w:ascii="方正书宋_GBK" w:eastAsia="方正书宋_GBK"/>
              </w:rPr>
            </w:pPr>
            <w:r>
              <w:rPr>
                <w:rFonts w:hint="eastAsia" w:ascii="方正书宋_GBK" w:eastAsia="方正书宋_GBK"/>
              </w:rPr>
              <w:t>完成上级机关下发我县的新兵征集任务；按计划完成，民兵的训练和政治教育；增强全县人民的爱国热情。</w:t>
            </w:r>
          </w:p>
        </w:tc>
        <w:tc>
          <w:tcPr>
            <w:tcW w:w="920" w:type="dxa"/>
            <w:vAlign w:val="center"/>
          </w:tcPr>
          <w:p>
            <w:pPr>
              <w:spacing w:line="300" w:lineRule="exact"/>
              <w:jc w:val="left"/>
              <w:rPr>
                <w:rFonts w:hint="eastAsia" w:ascii="方正书宋_GBK" w:eastAsia="方正书宋_GBK"/>
              </w:rPr>
            </w:pPr>
            <w:r>
              <w:rPr>
                <w:rFonts w:hint="eastAsia" w:ascii="方正书宋_GBK" w:eastAsia="方正书宋_GBK"/>
              </w:rPr>
              <w:t>参加教育活动人数占总人口的比率</w:t>
            </w:r>
          </w:p>
        </w:tc>
        <w:tc>
          <w:tcPr>
            <w:tcW w:w="690" w:type="dxa"/>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690" w:type="dxa"/>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780" w:type="dxa"/>
            <w:vAlign w:val="center"/>
          </w:tcPr>
          <w:p>
            <w:pPr>
              <w:spacing w:line="300" w:lineRule="exact"/>
              <w:jc w:val="left"/>
              <w:rPr>
                <w:rFonts w:hint="eastAsia" w:ascii="方正书宋_GBK" w:eastAsia="方正书宋_GBK"/>
              </w:rPr>
            </w:pPr>
            <w:r>
              <w:rPr>
                <w:rFonts w:hint="eastAsia" w:ascii="方正书宋_GBK" w:eastAsia="方正书宋_GBK"/>
              </w:rPr>
              <w:t>50%</w:t>
            </w:r>
          </w:p>
        </w:tc>
        <w:tc>
          <w:tcPr>
            <w:tcW w:w="910" w:type="dxa"/>
            <w:vAlign w:val="center"/>
          </w:tcPr>
          <w:p>
            <w:pPr>
              <w:spacing w:line="300" w:lineRule="exact"/>
              <w:jc w:val="left"/>
              <w:rPr>
                <w:rFonts w:hint="eastAsia" w:ascii="方正书宋_GBK" w:eastAsia="方正书宋_GBK"/>
              </w:rPr>
            </w:pPr>
            <w:r>
              <w:rPr>
                <w:rFonts w:hint="eastAsia" w:ascii="方正书宋_GBK" w:eastAsia="方正书宋_GBK"/>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37" w:type="dxa"/>
            <w:vAlign w:val="center"/>
          </w:tcPr>
          <w:p>
            <w:pPr>
              <w:spacing w:line="300" w:lineRule="exact"/>
              <w:jc w:val="left"/>
              <w:rPr>
                <w:rFonts w:ascii="方正书宋_GBK" w:eastAsia="方正书宋_GBK"/>
                <w:b/>
              </w:rPr>
            </w:pPr>
            <w:r>
              <w:rPr>
                <w:rFonts w:hint="eastAsia" w:ascii="方正书宋_GBK" w:eastAsia="方正书宋_GBK"/>
                <w:b/>
              </w:rPr>
              <w:t>综合事务管理</w:t>
            </w:r>
          </w:p>
        </w:tc>
        <w:tc>
          <w:tcPr>
            <w:tcW w:w="720" w:type="dxa"/>
            <w:vAlign w:val="center"/>
          </w:tcPr>
          <w:p>
            <w:pPr>
              <w:spacing w:line="300" w:lineRule="exact"/>
              <w:jc w:val="left"/>
              <w:rPr>
                <w:rFonts w:ascii="方正书宋_GBK" w:eastAsia="方正书宋_GBK"/>
              </w:rPr>
            </w:pPr>
          </w:p>
        </w:tc>
        <w:tc>
          <w:tcPr>
            <w:tcW w:w="1275" w:type="dxa"/>
            <w:vAlign w:val="center"/>
          </w:tcPr>
          <w:p>
            <w:pPr>
              <w:spacing w:line="300" w:lineRule="exact"/>
              <w:jc w:val="left"/>
              <w:rPr>
                <w:rFonts w:hint="eastAsia" w:ascii="方正书宋_GBK" w:eastAsia="方正书宋_GBK"/>
              </w:rPr>
            </w:pPr>
            <w:r>
              <w:rPr>
                <w:rFonts w:hint="eastAsia" w:ascii="方正书宋_GBK" w:eastAsia="方正书宋_GBK"/>
              </w:rPr>
              <w:t>机关基础设施建设与维护；机关日常管理事务</w:t>
            </w:r>
          </w:p>
        </w:tc>
        <w:tc>
          <w:tcPr>
            <w:tcW w:w="1710" w:type="dxa"/>
            <w:vAlign w:val="center"/>
          </w:tcPr>
          <w:p>
            <w:pPr>
              <w:spacing w:line="300" w:lineRule="exact"/>
              <w:jc w:val="left"/>
              <w:rPr>
                <w:rFonts w:hint="eastAsia" w:ascii="方正书宋_GBK" w:eastAsia="方正书宋_GBK"/>
              </w:rPr>
            </w:pPr>
            <w:r>
              <w:rPr>
                <w:rFonts w:hint="eastAsia" w:ascii="方正书宋_GBK" w:eastAsia="方正书宋_GBK"/>
              </w:rPr>
              <w:t xml:space="preserve"> 确保机关工作有效运行</w:t>
            </w:r>
          </w:p>
        </w:tc>
        <w:tc>
          <w:tcPr>
            <w:tcW w:w="920" w:type="dxa"/>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690" w:type="dxa"/>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690" w:type="dxa"/>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780" w:type="dxa"/>
            <w:vAlign w:val="center"/>
          </w:tcPr>
          <w:p>
            <w:pPr>
              <w:spacing w:line="300" w:lineRule="exact"/>
              <w:jc w:val="left"/>
              <w:rPr>
                <w:rFonts w:hint="eastAsia" w:ascii="方正书宋_GBK" w:eastAsia="方正书宋_GBK"/>
              </w:rPr>
            </w:pPr>
            <w:r>
              <w:rPr>
                <w:rFonts w:hint="eastAsia" w:ascii="方正书宋_GBK" w:eastAsia="方正书宋_GBK"/>
              </w:rPr>
              <w:t>50%</w:t>
            </w:r>
          </w:p>
        </w:tc>
        <w:tc>
          <w:tcPr>
            <w:tcW w:w="910" w:type="dxa"/>
            <w:vAlign w:val="center"/>
          </w:tcPr>
          <w:p>
            <w:pPr>
              <w:spacing w:line="300" w:lineRule="exact"/>
              <w:jc w:val="left"/>
              <w:rPr>
                <w:rFonts w:hint="eastAsia" w:ascii="方正书宋_GBK" w:eastAsia="方正书宋_GBK"/>
              </w:rPr>
            </w:pPr>
            <w:r>
              <w:rPr>
                <w:rFonts w:hint="eastAsia" w:ascii="方正书宋_GBK" w:eastAsia="方正书宋_GBK"/>
              </w:rPr>
              <w:t>25%</w:t>
            </w:r>
          </w:p>
        </w:tc>
      </w:tr>
    </w:tbl>
    <w:p>
      <w:pPr>
        <w:spacing w:after="0" w:line="584" w:lineRule="exact"/>
        <w:rPr>
          <w:rFonts w:hint="eastAsia" w:ascii="仿宋" w:hAnsi="仿宋" w:eastAsia="仿宋"/>
          <w:sz w:val="32"/>
          <w:szCs w:val="32"/>
          <w:highlight w:val="yellow"/>
        </w:rPr>
      </w:pPr>
    </w:p>
    <w:p>
      <w:pPr>
        <w:adjustRightInd w:val="0"/>
        <w:snapToGrid w:val="0"/>
        <w:spacing w:after="0" w:line="580" w:lineRule="exact"/>
        <w:ind w:firstLine="640" w:firstLineChars="200"/>
        <w:rPr>
          <w:rFonts w:hint="eastAsia" w:ascii="仿宋" w:hAnsi="仿宋" w:eastAsia="仿宋" w:cs="DengXian-Regular"/>
          <w:sz w:val="32"/>
          <w:szCs w:val="32"/>
          <w:lang w:eastAsia="zh-CN"/>
        </w:rPr>
      </w:pPr>
      <w:r>
        <w:rPr>
          <w:rFonts w:hint="eastAsia" w:ascii="仿宋" w:hAnsi="仿宋" w:eastAsia="仿宋" w:cs="DengXian-Regular"/>
          <w:sz w:val="32"/>
          <w:szCs w:val="32"/>
          <w:lang w:eastAsia="zh-CN"/>
        </w:rPr>
        <w:t>公开绩效评价结果为优秀。</w:t>
      </w:r>
    </w:p>
    <w:p>
      <w:pPr>
        <w:adjustRightInd w:val="0"/>
        <w:snapToGrid w:val="0"/>
        <w:spacing w:after="0" w:line="580" w:lineRule="exact"/>
        <w:ind w:firstLine="642" w:firstLineChars="200"/>
        <w:rPr>
          <w:rFonts w:ascii="黑体" w:eastAsia="黑体"/>
          <w:b/>
          <w:bCs/>
          <w:sz w:val="32"/>
          <w:szCs w:val="32"/>
        </w:rPr>
      </w:pPr>
      <w:r>
        <w:rPr>
          <w:rFonts w:hint="eastAsia" w:ascii="黑体" w:eastAsia="黑体"/>
          <w:b/>
          <w:bCs/>
          <w:sz w:val="32"/>
          <w:szCs w:val="32"/>
        </w:rPr>
        <w:t>七、其他重要事项的说明</w:t>
      </w:r>
    </w:p>
    <w:p>
      <w:pPr>
        <w:pStyle w:val="4"/>
        <w:spacing w:before="0" w:after="0" w:line="580" w:lineRule="exact"/>
        <w:ind w:firstLine="642"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本部门2018年度机关运行经费支出21</w:t>
      </w:r>
      <w:r>
        <w:rPr>
          <w:rFonts w:hint="eastAsia" w:ascii="仿宋" w:hAnsi="仿宋" w:eastAsia="仿宋" w:cs="宋体"/>
          <w:sz w:val="32"/>
          <w:szCs w:val="32"/>
        </w:rPr>
        <w:t>.77</w:t>
      </w:r>
      <w:r>
        <w:rPr>
          <w:rFonts w:hint="eastAsia" w:ascii="仿宋" w:hAnsi="仿宋" w:eastAsia="仿宋" w:cs="DengXian-Regular"/>
          <w:sz w:val="32"/>
          <w:szCs w:val="32"/>
        </w:rPr>
        <w:t>万元，比年初预算数减少</w:t>
      </w:r>
      <w:r>
        <w:rPr>
          <w:rFonts w:hint="eastAsia" w:ascii="仿宋" w:hAnsi="仿宋" w:eastAsia="仿宋" w:cs="宋体"/>
          <w:sz w:val="32"/>
          <w:szCs w:val="32"/>
        </w:rPr>
        <w:t>49.69</w:t>
      </w:r>
      <w:r>
        <w:rPr>
          <w:rFonts w:hint="eastAsia" w:ascii="仿宋" w:hAnsi="仿宋" w:eastAsia="仿宋" w:cs="DengXian-Regular"/>
          <w:sz w:val="32"/>
          <w:szCs w:val="32"/>
        </w:rPr>
        <w:t>万元，降低30</w:t>
      </w:r>
      <w:r>
        <w:rPr>
          <w:rFonts w:hint="eastAsia" w:ascii="仿宋" w:hAnsi="仿宋" w:eastAsia="仿宋" w:cs="宋体"/>
          <w:sz w:val="32"/>
          <w:szCs w:val="32"/>
        </w:rPr>
        <w:t>.46</w:t>
      </w:r>
      <w:r>
        <w:rPr>
          <w:rFonts w:ascii="仿宋" w:hAnsi="仿宋" w:eastAsia="仿宋"/>
          <w:sz w:val="32"/>
          <w:szCs w:val="32"/>
        </w:rPr>
        <w:t>%</w:t>
      </w:r>
      <w:r>
        <w:rPr>
          <w:rFonts w:hint="eastAsia" w:ascii="仿宋" w:hAnsi="仿宋" w:eastAsia="仿宋" w:cs="DengXian-Regular"/>
          <w:sz w:val="32"/>
          <w:szCs w:val="32"/>
        </w:rPr>
        <w:t>。主要是1</w:t>
      </w:r>
      <w:r>
        <w:rPr>
          <w:rFonts w:hint="eastAsia" w:ascii="仿宋" w:hAnsi="仿宋" w:eastAsia="仿宋" w:cs="宋体"/>
          <w:sz w:val="32"/>
          <w:szCs w:val="32"/>
        </w:rPr>
        <w:t>.“四个秩序”建设经费；2.征兵信息化建设经费；3.新兵役前培训经费</w:t>
      </w:r>
      <w:r>
        <w:rPr>
          <w:rFonts w:hint="eastAsia" w:ascii="仿宋" w:hAnsi="仿宋" w:eastAsia="仿宋" w:cs="DengXian-Regular"/>
          <w:sz w:val="32"/>
          <w:szCs w:val="32"/>
        </w:rPr>
        <w:t>。</w:t>
      </w:r>
      <w:r>
        <w:rPr>
          <w:rFonts w:ascii="仿宋" w:hAnsi="仿宋" w:eastAsia="仿宋"/>
          <w:sz w:val="32"/>
          <w:szCs w:val="32"/>
        </w:rPr>
        <w:t>较201</w:t>
      </w:r>
      <w:r>
        <w:rPr>
          <w:rFonts w:hint="eastAsia" w:ascii="仿宋" w:hAnsi="仿宋" w:eastAsia="仿宋"/>
          <w:sz w:val="32"/>
          <w:szCs w:val="32"/>
        </w:rPr>
        <w:t>7</w:t>
      </w:r>
      <w:r>
        <w:rPr>
          <w:rFonts w:ascii="仿宋" w:hAnsi="仿宋" w:eastAsia="仿宋"/>
          <w:sz w:val="32"/>
          <w:szCs w:val="32"/>
        </w:rPr>
        <w:t>年度决算减少</w:t>
      </w:r>
      <w:r>
        <w:rPr>
          <w:rFonts w:hint="eastAsia" w:ascii="仿宋" w:hAnsi="仿宋" w:eastAsia="仿宋" w:cs="宋体"/>
          <w:sz w:val="32"/>
          <w:szCs w:val="32"/>
        </w:rPr>
        <w:t>49.69</w:t>
      </w:r>
      <w:r>
        <w:rPr>
          <w:rFonts w:ascii="仿宋" w:hAnsi="仿宋" w:eastAsia="仿宋"/>
          <w:sz w:val="32"/>
          <w:szCs w:val="32"/>
        </w:rPr>
        <w:t>万元降低</w:t>
      </w:r>
      <w:r>
        <w:rPr>
          <w:rFonts w:hint="eastAsia" w:ascii="仿宋" w:hAnsi="仿宋" w:eastAsia="仿宋"/>
          <w:sz w:val="32"/>
          <w:szCs w:val="32"/>
        </w:rPr>
        <w:t>30.46</w:t>
      </w:r>
      <w:r>
        <w:rPr>
          <w:rFonts w:ascii="仿宋" w:hAnsi="仿宋" w:eastAsia="仿宋"/>
          <w:sz w:val="32"/>
          <w:szCs w:val="32"/>
        </w:rPr>
        <w:t>%，主要是</w:t>
      </w:r>
      <w:r>
        <w:rPr>
          <w:rFonts w:hint="eastAsia" w:ascii="仿宋" w:hAnsi="仿宋" w:eastAsia="仿宋" w:cs="DengXian-Regular"/>
          <w:sz w:val="32"/>
          <w:szCs w:val="32"/>
        </w:rPr>
        <w:t>1</w:t>
      </w:r>
      <w:r>
        <w:rPr>
          <w:rFonts w:hint="eastAsia" w:ascii="仿宋" w:hAnsi="仿宋" w:eastAsia="仿宋" w:cs="宋体"/>
          <w:sz w:val="32"/>
          <w:szCs w:val="32"/>
        </w:rPr>
        <w:t>.“四个秩序”建设经费；2.征兵信息化建设经费；3.新兵役前培训经费</w:t>
      </w:r>
      <w:r>
        <w:rPr>
          <w:rFonts w:hint="eastAsia" w:ascii="仿宋" w:hAnsi="仿宋" w:eastAsia="仿宋" w:cs="DengXian-Regular"/>
          <w:sz w:val="32"/>
          <w:szCs w:val="32"/>
        </w:rPr>
        <w:t>。</w:t>
      </w:r>
      <w:r>
        <w:rPr>
          <w:rFonts w:ascii="仿宋" w:hAnsi="仿宋" w:eastAsia="仿宋"/>
          <w:sz w:val="32"/>
          <w:szCs w:val="32"/>
        </w:rPr>
        <w:t>。</w:t>
      </w:r>
    </w:p>
    <w:p>
      <w:pPr>
        <w:pStyle w:val="4"/>
        <w:spacing w:before="0" w:after="0" w:line="580" w:lineRule="exact"/>
        <w:ind w:firstLine="642"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w:t>
      </w:r>
      <w:r>
        <w:rPr>
          <w:rFonts w:hint="eastAsia" w:ascii="宋体" w:hAnsi="宋体" w:cs="宋体"/>
          <w:sz w:val="32"/>
          <w:szCs w:val="32"/>
        </w:rPr>
        <w:t>44.59</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宋体" w:hAnsi="宋体" w:cs="宋体"/>
          <w:color w:val="000000"/>
          <w:kern w:val="0"/>
          <w:sz w:val="32"/>
          <w:szCs w:val="32"/>
        </w:rPr>
        <w:t>44.59</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pStyle w:val="4"/>
        <w:spacing w:before="0" w:after="0" w:line="580" w:lineRule="exact"/>
        <w:ind w:firstLine="642"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 w:hAnsi="仿宋" w:eastAsia="仿宋" w:cs="DengXian-Regular"/>
          <w:sz w:val="32"/>
          <w:szCs w:val="32"/>
        </w:rPr>
        <w:t>截至2018年12月31日，本部门共有车辆1辆，比上年1减少1辆，主要是原</w:t>
      </w:r>
      <w:r>
        <w:rPr>
          <w:rFonts w:hint="eastAsia" w:ascii="仿宋" w:hAnsi="仿宋" w:eastAsia="仿宋" w:cs="宋体"/>
          <w:sz w:val="32"/>
          <w:szCs w:val="32"/>
        </w:rPr>
        <w:t>军车有一套地方车手续，其地方车手续到期</w:t>
      </w:r>
      <w:r>
        <w:rPr>
          <w:rFonts w:hint="eastAsia" w:ascii="仿宋" w:hAnsi="仿宋" w:eastAsia="仿宋" w:cs="DengXian-Regular"/>
          <w:sz w:val="32"/>
          <w:szCs w:val="32"/>
        </w:rPr>
        <w:t>。其中，副部（省）级及以上领导用车0辆，主要领导干部用车1辆，机要通信用车0辆，应急保障用车0辆，执法执勤用车0辆，特种专业技术用车0辆，离退休干部用车0辆，其他用车0辆。单位价值</w:t>
      </w:r>
      <w:r>
        <w:rPr>
          <w:rFonts w:hint="eastAsia" w:ascii="仿宋" w:hAnsi="仿宋" w:eastAsia="仿宋" w:cs="TimesNewRomanPSMT"/>
          <w:sz w:val="32"/>
          <w:szCs w:val="32"/>
        </w:rPr>
        <w:t>50</w:t>
      </w:r>
      <w:r>
        <w:rPr>
          <w:rFonts w:hint="eastAsia" w:ascii="仿宋" w:hAnsi="仿宋" w:eastAsia="仿宋" w:cs="DengXian-Regular"/>
          <w:sz w:val="32"/>
          <w:szCs w:val="32"/>
        </w:rPr>
        <w:t>万元以上通用设备0台（套），比上年增加0套。单位价值</w:t>
      </w:r>
      <w:r>
        <w:rPr>
          <w:rFonts w:hint="eastAsia" w:ascii="仿宋" w:hAnsi="仿宋" w:eastAsia="仿宋" w:cs="TimesNewRomanPSMT"/>
          <w:sz w:val="32"/>
          <w:szCs w:val="32"/>
        </w:rPr>
        <w:t>100</w:t>
      </w:r>
      <w:r>
        <w:rPr>
          <w:rFonts w:hint="eastAsia" w:ascii="仿宋" w:hAnsi="仿宋" w:eastAsia="仿宋" w:cs="DengXian-Regular"/>
          <w:sz w:val="32"/>
          <w:szCs w:val="32"/>
        </w:rPr>
        <w:t>万元以上专用设备0台（套）比上年增加0</w:t>
      </w:r>
      <w:r>
        <w:rPr>
          <w:rFonts w:hint="eastAsia" w:ascii="仿宋_GB2312" w:eastAsia="仿宋_GB2312" w:cs="DengXian-Regular"/>
          <w:sz w:val="32"/>
          <w:szCs w:val="32"/>
        </w:rPr>
        <w:t>。</w:t>
      </w:r>
    </w:p>
    <w:p>
      <w:pPr>
        <w:pStyle w:val="4"/>
        <w:spacing w:before="0" w:after="0" w:line="580" w:lineRule="exact"/>
        <w:ind w:firstLine="642"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1、本部门2018年度无收支及结转结余情况，故</w:t>
      </w:r>
      <w:r>
        <w:rPr>
          <w:rFonts w:hint="eastAsia" w:ascii="仿宋" w:hAnsi="仿宋" w:eastAsia="仿宋"/>
          <w:sz w:val="32"/>
          <w:szCs w:val="32"/>
        </w:rPr>
        <w:t>国有资本经营预算财政拨款收入支出</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第四部分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2"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黑体">
    <w:altName w:val="方正黑体_GBK"/>
    <w:panose1 w:val="00000000000000000000"/>
    <w:charset w:val="86"/>
    <w:family w:val="auto"/>
    <w:pitch w:val="default"/>
    <w:sig w:usb0="00000000" w:usb1="00000000" w:usb2="00000000" w:usb3="00000000" w:csb0="00000000"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ArialUnicodeMS">
    <w:altName w:val="Times New Roman"/>
    <w:panose1 w:val="00000000000000000000"/>
    <w:charset w:val="81"/>
    <w:family w:val="auto"/>
    <w:pitch w:val="default"/>
    <w:sig w:usb0="00000000" w:usb1="00000000" w:usb2="00000010" w:usb3="00000000" w:csb0="00080001" w:csb1="00000000"/>
  </w:font>
  <w:font w:name="方正书宋_GBK">
    <w:panose1 w:val="02000000000000000000"/>
    <w:charset w:val="86"/>
    <w:family w:val="roman"/>
    <w:pitch w:val="default"/>
    <w:sig w:usb0="A00002BF" w:usb1="38CF7CFA" w:usb2="00082016" w:usb3="00000000" w:csb0="00040001" w:csb1="00000000"/>
  </w:font>
  <w:font w:name="MS-UIGothic,Bold">
    <w:altName w:val="方正黑体_GBK"/>
    <w:panose1 w:val="00000000000000000000"/>
    <w:charset w:val="81"/>
    <w:family w:val="auto"/>
    <w:pitch w:val="default"/>
    <w:sig w:usb0="00000000" w:usb1="00000000" w:usb2="00000010" w:usb3="00000000" w:csb0="00080000" w:csb1="00000000"/>
  </w:font>
  <w:font w:name="DengXian-Regular">
    <w:altName w:val="Noto Serif CJK JP"/>
    <w:panose1 w:val="00000000000000000000"/>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DengXian-Bold">
    <w:altName w:val="Noto Serif CJK JP"/>
    <w:panose1 w:val="00000000000000000000"/>
    <w:charset w:val="86"/>
    <w:family w:val="auto"/>
    <w:pitch w:val="default"/>
    <w:sig w:usb0="00000000" w:usb1="00000000" w:usb2="00000010" w:usb3="00000000" w:csb0="00040001" w:csb1="00000000"/>
  </w:font>
  <w:font w:name="方正小标宋_GBK">
    <w:panose1 w:val="02000000000000000000"/>
    <w:charset w:val="86"/>
    <w:family w:val="script"/>
    <w:pitch w:val="default"/>
    <w:sig w:usb0="00000001" w:usb1="08000000" w:usb2="00000000" w:usb3="00000000" w:csb0="00040000" w:csb1="00000000"/>
  </w:font>
  <w:font w:name="TimesNewRomanPSMT">
    <w:altName w:val="Times New Roman"/>
    <w:panose1 w:val="00000000000000000000"/>
    <w:charset w:val="00"/>
    <w:family w:val="swiss"/>
    <w:pitch w:val="default"/>
    <w:sig w:usb0="00000000" w:usb1="00000000" w:usb2="00000000" w:usb3="00000000" w:csb0="00000001" w:csb1="00000000"/>
  </w:font>
  <w:font w:name="黑体">
    <w:altName w:val="方正黑体_GBK"/>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210CE7"/>
    <w:multiLevelType w:val="multilevel"/>
    <w:tmpl w:val="04210CE7"/>
    <w:lvl w:ilvl="0" w:tentative="0">
      <w:start w:val="1"/>
      <w:numFmt w:val="japaneseCounting"/>
      <w:lvlText w:val="（%1）"/>
      <w:lvlJc w:val="left"/>
      <w:pPr>
        <w:ind w:left="2246" w:hanging="1605"/>
      </w:pPr>
      <w:rPr>
        <w:rFonts w:hint="default" w:eastAsia="楷体_GB2312"/>
        <w:b/>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TrueTypeFonts/>
  <w:saveSubsetFonts/>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475A0"/>
    <w:rsid w:val="00056B46"/>
    <w:rsid w:val="00067693"/>
    <w:rsid w:val="000838C3"/>
    <w:rsid w:val="000B2446"/>
    <w:rsid w:val="000C2CC9"/>
    <w:rsid w:val="000D7C65"/>
    <w:rsid w:val="000E265A"/>
    <w:rsid w:val="000E2F81"/>
    <w:rsid w:val="000F44F4"/>
    <w:rsid w:val="00101F8D"/>
    <w:rsid w:val="00115982"/>
    <w:rsid w:val="00117946"/>
    <w:rsid w:val="00117E2C"/>
    <w:rsid w:val="00146C47"/>
    <w:rsid w:val="00152FB8"/>
    <w:rsid w:val="001753AA"/>
    <w:rsid w:val="00176658"/>
    <w:rsid w:val="0018239E"/>
    <w:rsid w:val="001846CC"/>
    <w:rsid w:val="001A0AC1"/>
    <w:rsid w:val="001A397F"/>
    <w:rsid w:val="001A4110"/>
    <w:rsid w:val="001B3410"/>
    <w:rsid w:val="001B7503"/>
    <w:rsid w:val="001C030D"/>
    <w:rsid w:val="001C4A84"/>
    <w:rsid w:val="001E5902"/>
    <w:rsid w:val="00224E01"/>
    <w:rsid w:val="00233705"/>
    <w:rsid w:val="00246D99"/>
    <w:rsid w:val="00250D85"/>
    <w:rsid w:val="00257266"/>
    <w:rsid w:val="00262306"/>
    <w:rsid w:val="00275CA2"/>
    <w:rsid w:val="002764C7"/>
    <w:rsid w:val="00293894"/>
    <w:rsid w:val="002A65A5"/>
    <w:rsid w:val="002B6222"/>
    <w:rsid w:val="002C04C4"/>
    <w:rsid w:val="002D08B0"/>
    <w:rsid w:val="002D1AE3"/>
    <w:rsid w:val="002F2ECE"/>
    <w:rsid w:val="00317B75"/>
    <w:rsid w:val="00330B9B"/>
    <w:rsid w:val="0033222A"/>
    <w:rsid w:val="0034118F"/>
    <w:rsid w:val="00341C8F"/>
    <w:rsid w:val="00350A39"/>
    <w:rsid w:val="0035463A"/>
    <w:rsid w:val="00391D9D"/>
    <w:rsid w:val="003B6C51"/>
    <w:rsid w:val="003C1413"/>
    <w:rsid w:val="003C211B"/>
    <w:rsid w:val="003C549F"/>
    <w:rsid w:val="003D5A16"/>
    <w:rsid w:val="003E3F9A"/>
    <w:rsid w:val="003E7DB3"/>
    <w:rsid w:val="003F50C6"/>
    <w:rsid w:val="0041087C"/>
    <w:rsid w:val="00431175"/>
    <w:rsid w:val="004374A3"/>
    <w:rsid w:val="00442EFA"/>
    <w:rsid w:val="00470FB9"/>
    <w:rsid w:val="00493686"/>
    <w:rsid w:val="00494822"/>
    <w:rsid w:val="004A5E34"/>
    <w:rsid w:val="004B6E37"/>
    <w:rsid w:val="004C32BA"/>
    <w:rsid w:val="004C68EF"/>
    <w:rsid w:val="004E28CD"/>
    <w:rsid w:val="0050761B"/>
    <w:rsid w:val="005505C6"/>
    <w:rsid w:val="0055366D"/>
    <w:rsid w:val="00575922"/>
    <w:rsid w:val="0057642B"/>
    <w:rsid w:val="005A3C0D"/>
    <w:rsid w:val="005A6C90"/>
    <w:rsid w:val="005B0A91"/>
    <w:rsid w:val="005B37E6"/>
    <w:rsid w:val="005B52D3"/>
    <w:rsid w:val="005B643E"/>
    <w:rsid w:val="005C5027"/>
    <w:rsid w:val="005E3FB0"/>
    <w:rsid w:val="005F4B66"/>
    <w:rsid w:val="005F5208"/>
    <w:rsid w:val="00615C31"/>
    <w:rsid w:val="006207A5"/>
    <w:rsid w:val="006231A9"/>
    <w:rsid w:val="006324C3"/>
    <w:rsid w:val="00641318"/>
    <w:rsid w:val="0064405D"/>
    <w:rsid w:val="00672C1D"/>
    <w:rsid w:val="00695557"/>
    <w:rsid w:val="006D2C86"/>
    <w:rsid w:val="006D4EA7"/>
    <w:rsid w:val="006D704A"/>
    <w:rsid w:val="0070012A"/>
    <w:rsid w:val="0070664B"/>
    <w:rsid w:val="007071B8"/>
    <w:rsid w:val="007155C2"/>
    <w:rsid w:val="007414DE"/>
    <w:rsid w:val="00752363"/>
    <w:rsid w:val="00760C0C"/>
    <w:rsid w:val="00766AE9"/>
    <w:rsid w:val="00786905"/>
    <w:rsid w:val="007905A9"/>
    <w:rsid w:val="007B20C1"/>
    <w:rsid w:val="007B230D"/>
    <w:rsid w:val="007B7708"/>
    <w:rsid w:val="007D6109"/>
    <w:rsid w:val="007E072B"/>
    <w:rsid w:val="007E5500"/>
    <w:rsid w:val="007F055B"/>
    <w:rsid w:val="008043E9"/>
    <w:rsid w:val="00811C2F"/>
    <w:rsid w:val="00833D46"/>
    <w:rsid w:val="00836215"/>
    <w:rsid w:val="00840A97"/>
    <w:rsid w:val="00841AA7"/>
    <w:rsid w:val="00860C12"/>
    <w:rsid w:val="00872B02"/>
    <w:rsid w:val="00873292"/>
    <w:rsid w:val="008839B0"/>
    <w:rsid w:val="008954AF"/>
    <w:rsid w:val="008A640A"/>
    <w:rsid w:val="008B23D1"/>
    <w:rsid w:val="008C0149"/>
    <w:rsid w:val="008D5DED"/>
    <w:rsid w:val="008D7040"/>
    <w:rsid w:val="008E25CA"/>
    <w:rsid w:val="008F34FC"/>
    <w:rsid w:val="00944CD7"/>
    <w:rsid w:val="00961190"/>
    <w:rsid w:val="009831B2"/>
    <w:rsid w:val="009A1ABE"/>
    <w:rsid w:val="009A4384"/>
    <w:rsid w:val="009E21A4"/>
    <w:rsid w:val="009F22C6"/>
    <w:rsid w:val="00A07E50"/>
    <w:rsid w:val="00A12C15"/>
    <w:rsid w:val="00A15397"/>
    <w:rsid w:val="00A3368D"/>
    <w:rsid w:val="00A35CE0"/>
    <w:rsid w:val="00A4462E"/>
    <w:rsid w:val="00A44AA4"/>
    <w:rsid w:val="00A54944"/>
    <w:rsid w:val="00A61623"/>
    <w:rsid w:val="00A84687"/>
    <w:rsid w:val="00A94421"/>
    <w:rsid w:val="00AA0458"/>
    <w:rsid w:val="00AB0846"/>
    <w:rsid w:val="00AB0A0E"/>
    <w:rsid w:val="00AD3B6E"/>
    <w:rsid w:val="00AE4EA3"/>
    <w:rsid w:val="00AF4361"/>
    <w:rsid w:val="00AF6D31"/>
    <w:rsid w:val="00B06565"/>
    <w:rsid w:val="00B1751F"/>
    <w:rsid w:val="00B2317E"/>
    <w:rsid w:val="00B50F96"/>
    <w:rsid w:val="00B56722"/>
    <w:rsid w:val="00B67044"/>
    <w:rsid w:val="00B72AE0"/>
    <w:rsid w:val="00B74D39"/>
    <w:rsid w:val="00B827C6"/>
    <w:rsid w:val="00B91DA4"/>
    <w:rsid w:val="00BA7174"/>
    <w:rsid w:val="00BB632E"/>
    <w:rsid w:val="00BB7436"/>
    <w:rsid w:val="00BB76AE"/>
    <w:rsid w:val="00BD25C3"/>
    <w:rsid w:val="00BD4AEF"/>
    <w:rsid w:val="00C12630"/>
    <w:rsid w:val="00C20AFA"/>
    <w:rsid w:val="00C34562"/>
    <w:rsid w:val="00C34C54"/>
    <w:rsid w:val="00C3774E"/>
    <w:rsid w:val="00C57456"/>
    <w:rsid w:val="00C65387"/>
    <w:rsid w:val="00C7656A"/>
    <w:rsid w:val="00C8137C"/>
    <w:rsid w:val="00C84615"/>
    <w:rsid w:val="00C87FAB"/>
    <w:rsid w:val="00C91FF7"/>
    <w:rsid w:val="00C92D15"/>
    <w:rsid w:val="00C94E53"/>
    <w:rsid w:val="00CB1021"/>
    <w:rsid w:val="00CE3FC3"/>
    <w:rsid w:val="00CF073B"/>
    <w:rsid w:val="00D0048E"/>
    <w:rsid w:val="00D17EE3"/>
    <w:rsid w:val="00D23E7A"/>
    <w:rsid w:val="00D40009"/>
    <w:rsid w:val="00D56D8F"/>
    <w:rsid w:val="00D61063"/>
    <w:rsid w:val="00D65CA0"/>
    <w:rsid w:val="00DA1419"/>
    <w:rsid w:val="00DB35AF"/>
    <w:rsid w:val="00DB740C"/>
    <w:rsid w:val="00DD2CA2"/>
    <w:rsid w:val="00DD366E"/>
    <w:rsid w:val="00DD72D7"/>
    <w:rsid w:val="00DE35AF"/>
    <w:rsid w:val="00DF5B88"/>
    <w:rsid w:val="00DF6211"/>
    <w:rsid w:val="00E0589E"/>
    <w:rsid w:val="00E059DF"/>
    <w:rsid w:val="00E0697F"/>
    <w:rsid w:val="00E21FA2"/>
    <w:rsid w:val="00E241FA"/>
    <w:rsid w:val="00E2501D"/>
    <w:rsid w:val="00E2595E"/>
    <w:rsid w:val="00E35374"/>
    <w:rsid w:val="00E50C19"/>
    <w:rsid w:val="00E64655"/>
    <w:rsid w:val="00E73081"/>
    <w:rsid w:val="00E74955"/>
    <w:rsid w:val="00E852F1"/>
    <w:rsid w:val="00E856C9"/>
    <w:rsid w:val="00E95672"/>
    <w:rsid w:val="00EA4F68"/>
    <w:rsid w:val="00EB6A8B"/>
    <w:rsid w:val="00EC6814"/>
    <w:rsid w:val="00ED411D"/>
    <w:rsid w:val="00EE1ADF"/>
    <w:rsid w:val="00EF38C6"/>
    <w:rsid w:val="00EF7955"/>
    <w:rsid w:val="00F679C7"/>
    <w:rsid w:val="00F7711A"/>
    <w:rsid w:val="00F80C72"/>
    <w:rsid w:val="00FA0D58"/>
    <w:rsid w:val="00FA1580"/>
    <w:rsid w:val="00FA56F4"/>
    <w:rsid w:val="00FB4EDA"/>
    <w:rsid w:val="00FC4521"/>
    <w:rsid w:val="00FD3BD5"/>
    <w:rsid w:val="00FE3DC8"/>
    <w:rsid w:val="00FE3F9F"/>
    <w:rsid w:val="04073F84"/>
    <w:rsid w:val="0924107D"/>
    <w:rsid w:val="0B60750A"/>
    <w:rsid w:val="10686488"/>
    <w:rsid w:val="10DF728A"/>
    <w:rsid w:val="1264200E"/>
    <w:rsid w:val="141C5B77"/>
    <w:rsid w:val="186B6D40"/>
    <w:rsid w:val="18D8339D"/>
    <w:rsid w:val="1A21388F"/>
    <w:rsid w:val="1A570D2F"/>
    <w:rsid w:val="267F5295"/>
    <w:rsid w:val="26C0561A"/>
    <w:rsid w:val="2792155A"/>
    <w:rsid w:val="28FB0B8D"/>
    <w:rsid w:val="29D76B5D"/>
    <w:rsid w:val="2D2B7942"/>
    <w:rsid w:val="2D46481D"/>
    <w:rsid w:val="2E733B28"/>
    <w:rsid w:val="30093BFC"/>
    <w:rsid w:val="31852B5A"/>
    <w:rsid w:val="32D01238"/>
    <w:rsid w:val="3DFC59A8"/>
    <w:rsid w:val="3ECF245E"/>
    <w:rsid w:val="3F323C39"/>
    <w:rsid w:val="3FB96314"/>
    <w:rsid w:val="4AA768F7"/>
    <w:rsid w:val="4E386178"/>
    <w:rsid w:val="53A44FAF"/>
    <w:rsid w:val="594329EC"/>
    <w:rsid w:val="5BEE1540"/>
    <w:rsid w:val="5DE61A5D"/>
    <w:rsid w:val="63C04243"/>
    <w:rsid w:val="649C01C7"/>
    <w:rsid w:val="64CD282A"/>
    <w:rsid w:val="699A3F60"/>
    <w:rsid w:val="72902E62"/>
    <w:rsid w:val="73C61104"/>
    <w:rsid w:val="758C2F14"/>
    <w:rsid w:val="776452EA"/>
    <w:rsid w:val="7BEA04C7"/>
    <w:rsid w:val="7DC663B9"/>
    <w:rsid w:val="7FD21032"/>
    <w:rsid w:val="FE870B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14:textFill>
        <w14:solidFill>
          <w14:schemeClr w14:val="accent1"/>
        </w14:solidFill>
      </w14:textFill>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B2C24"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B2C24"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14:textFill>
        <w14:solidFill>
          <w14:schemeClr w14:val="accent1"/>
        </w14:solidFill>
      </w14:textFill>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embeddings/oleObject4.bin"/></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227920632058398"/>
          <c:y val="0.137466190220199"/>
          <c:w val="0.469572105013591"/>
          <c:h val="0.74113187658772"/>
        </c:manualLayout>
      </c:layout>
      <c:pieChart>
        <c:varyColors val="true"/>
        <c:ser>
          <c:idx val="0"/>
          <c:order val="0"/>
          <c:tx>
            <c:strRef>
              <c:f>Sheet1!$B$1</c:f>
              <c:strCache>
                <c:ptCount val="1"/>
                <c:pt idx="0">
                  <c:v>销售额</c:v>
                </c:pt>
              </c:strCache>
            </c:strRef>
          </c:tx>
          <c:explosion val="16"/>
          <c:dPt>
            <c:idx val="0"/>
            <c:bubble3D val="false"/>
            <c:explosion val="5"/>
          </c:dPt>
          <c:dPt>
            <c:idx val="1"/>
            <c:bubble3D val="false"/>
          </c:dPt>
          <c:dPt>
            <c:idx val="2"/>
            <c:bubble3D val="false"/>
          </c:dPt>
          <c:dPt>
            <c:idx val="3"/>
            <c:bubble3D val="false"/>
          </c:dPt>
          <c:dLbls>
            <c:dLbl>
              <c:idx val="0"/>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en-US"/>
                      <a:t>923.51</a:t>
                    </a:r>
                    <a:r>
                      <a:rPr lang="zh-CN" altLang="en-US" baseline="0"/>
                      <a:t>   </a:t>
                    </a:r>
                    <a:r>
                      <a:rPr lang="en-US" altLang="zh-CN" baseline="0"/>
                      <a:t>100%</a:t>
                    </a:r>
                    <a:endParaRPr lang="en-US" altLang="en-US"/>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delete val="true"/>
            </c:dLbl>
            <c:dLbl>
              <c:idx val="2"/>
              <c:delete val="true"/>
            </c:dLbl>
            <c:dLbl>
              <c:idx val="3"/>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Sheet1!$A$2:$A$5</c:f>
              <c:strCache>
                <c:ptCount val="4"/>
                <c:pt idx="0">
                  <c:v>财政拨款</c:v>
                </c:pt>
                <c:pt idx="1">
                  <c:v>事业收入</c:v>
                </c:pt>
                <c:pt idx="2">
                  <c:v>经营收入</c:v>
                </c:pt>
                <c:pt idx="3">
                  <c:v>其它收入</c:v>
                </c:pt>
              </c:strCache>
            </c:strRef>
          </c:cat>
          <c:val>
            <c:numRef>
              <c:f>Sheet1!$B$2:$B$5</c:f>
              <c:numCache>
                <c:formatCode>General</c:formatCode>
                <c:ptCount val="4"/>
                <c:pt idx="0">
                  <c:v>198.52</c:v>
                </c:pt>
                <c:pt idx="1">
                  <c:v>0</c:v>
                </c:pt>
                <c:pt idx="2">
                  <c:v>0</c:v>
                </c:pt>
                <c:pt idx="3">
                  <c:v>0</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0" cap="flat" cmpd="sng" algn="ctr">
      <a:noFill/>
      <a:prstDash val="solid"/>
      <a:round/>
    </a:ln>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a:t>2018</a:t>
            </a:r>
            <a:r>
              <a:rPr lang="zh-CN" altLang="en-US"/>
              <a:t>年度支出</a:t>
            </a:r>
            <a:endParaRPr lang="zh-CN" altLang="en-US"/>
          </a:p>
        </c:rich>
      </c:tx>
      <c:layout>
        <c:manualLayout>
          <c:xMode val="edge"/>
          <c:yMode val="edge"/>
          <c:x val="0.302695940379715"/>
          <c:y val="0.0392155351210469"/>
        </c:manualLayout>
      </c:layout>
      <c:overlay val="false"/>
    </c:title>
    <c:autoTitleDeleted val="false"/>
    <c:plotArea>
      <c:layout/>
      <c:pieChart>
        <c:varyColors val="true"/>
        <c:ser>
          <c:idx val="0"/>
          <c:order val="0"/>
          <c:tx>
            <c:strRef>
              <c:f>Sheet1!$B$1</c:f>
              <c:strCache>
                <c:ptCount val="1"/>
                <c:pt idx="0">
                  <c:v>销售额</c:v>
                </c:pt>
              </c:strCache>
            </c:strRef>
          </c:tx>
          <c:explosion val="0"/>
          <c:dPt>
            <c:idx val="0"/>
            <c:bubble3D val="false"/>
            <c:spPr>
              <a:solidFill>
                <a:srgbClr val="92D050"/>
              </a:solidFill>
            </c:spPr>
          </c:dPt>
          <c:dPt>
            <c:idx val="1"/>
            <c:bubble3D val="false"/>
            <c:spPr>
              <a:solidFill>
                <a:srgbClr val="FFC000"/>
              </a:solidFill>
            </c:spPr>
          </c:dPt>
          <c:dPt>
            <c:idx val="2"/>
            <c:bubble3D val="false"/>
          </c:dPt>
          <c:dLbls>
            <c:dLbl>
              <c:idx val="0"/>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en-US"/>
                      <a:t>771.47</a:t>
                    </a:r>
                    <a:endParaRPr lang="en-US" altLang="en-US"/>
                  </a:p>
                  <a:p>
                    <a:pPr>
                      <a:defRPr lang="zh-CN" sz="1000" b="0" i="0" u="none" strike="noStrike" kern="1200" baseline="0">
                        <a:solidFill>
                          <a:schemeClr val="tx1"/>
                        </a:solidFill>
                        <a:latin typeface="+mn-lt"/>
                        <a:ea typeface="+mn-ea"/>
                        <a:cs typeface="+mn-cs"/>
                      </a:defRPr>
                    </a:pPr>
                    <a:r>
                      <a:rPr lang="en-US" altLang="en-US"/>
                      <a:t>85.64</a:t>
                    </a:r>
                    <a:r>
                      <a:rPr lang="en-US" altLang="zh-CN"/>
                      <a:t>%</a:t>
                    </a:r>
                    <a:endParaRPr lang="en-US" altLang="en-US"/>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en-US" altLang="en-US"/>
                      <a:t>129.34</a:t>
                    </a:r>
                    <a:endParaRPr lang="en-US" altLang="en-US"/>
                  </a:p>
                  <a:p>
                    <a:pPr>
                      <a:defRPr lang="zh-CN" sz="1000" b="0" i="0" u="none" strike="noStrike" kern="1200" baseline="0">
                        <a:solidFill>
                          <a:schemeClr val="tx1"/>
                        </a:solidFill>
                        <a:latin typeface="+mn-lt"/>
                        <a:ea typeface="+mn-ea"/>
                        <a:cs typeface="+mn-cs"/>
                      </a:defRPr>
                    </a:pPr>
                    <a:r>
                      <a:rPr lang="en-US" altLang="en-US"/>
                      <a:t>14.36</a:t>
                    </a:r>
                    <a:r>
                      <a:rPr lang="en-US" altLang="zh-CN"/>
                      <a:t>%</a:t>
                    </a:r>
                    <a:endParaRPr lang="en-US" altLang="en-US"/>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2"/>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Sheet1!$A$2:$A$4</c:f>
              <c:strCache>
                <c:ptCount val="3"/>
                <c:pt idx="0">
                  <c:v>项目支出</c:v>
                </c:pt>
                <c:pt idx="1">
                  <c:v>基本支出</c:v>
                </c:pt>
                <c:pt idx="2">
                  <c:v>经营支出</c:v>
                </c:pt>
              </c:strCache>
            </c:strRef>
          </c:cat>
          <c:val>
            <c:numRef>
              <c:f>Sheet1!$B$2:$B$4</c:f>
              <c:numCache>
                <c:formatCode>General</c:formatCode>
                <c:ptCount val="3"/>
                <c:pt idx="0">
                  <c:v>168.01</c:v>
                </c:pt>
                <c:pt idx="1">
                  <c:v>30.5</c:v>
                </c:pt>
                <c:pt idx="2">
                  <c:v>0</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12700" cap="flat" cmpd="sng" algn="ctr">
      <a:noFill/>
      <a:prstDash val="solid"/>
      <a:round/>
    </a:ln>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manualLayout>
          <c:layoutTarget val="inner"/>
          <c:xMode val="edge"/>
          <c:yMode val="edge"/>
          <c:x val="0.224458017514166"/>
          <c:y val="0.360862354892207"/>
          <c:w val="0.300155763239877"/>
          <c:h val="0.639137645107795"/>
        </c:manualLayout>
      </c:layout>
      <c:pieChart>
        <c:varyColors val="true"/>
        <c:ser>
          <c:idx val="0"/>
          <c:order val="0"/>
          <c:tx>
            <c:strRef>
              <c:f>Sheet1!$B$1</c:f>
              <c:strCache>
                <c:ptCount val="1"/>
                <c:pt idx="0">
                  <c:v>2018年财政拨款收支情况</c:v>
                </c:pt>
              </c:strCache>
            </c:strRef>
          </c:tx>
          <c:explosion val="0"/>
          <c:dPt>
            <c:idx val="0"/>
            <c:bubble3D val="false"/>
            <c:explosion val="22"/>
          </c:dPt>
          <c:dPt>
            <c:idx val="1"/>
            <c:bubble3D val="false"/>
          </c:dPt>
          <c:dPt>
            <c:idx val="2"/>
            <c:bubble3D val="false"/>
          </c:dPt>
          <c:dLbls>
            <c:delete val="true"/>
          </c:dLbls>
          <c:cat>
            <c:strRef>
              <c:f>Sheet1!$A$2:$A$4</c:f>
              <c:strCache>
                <c:ptCount val="2"/>
                <c:pt idx="0">
                  <c:v>财政拨款支出</c:v>
                </c:pt>
                <c:pt idx="1">
                  <c:v>财政拨款结余</c:v>
                </c:pt>
              </c:strCache>
            </c:strRef>
          </c:cat>
          <c:val>
            <c:numRef>
              <c:f>Sheet1!$B$2:$B$4</c:f>
              <c:numCache>
                <c:formatCode>General</c:formatCode>
                <c:ptCount val="3"/>
                <c:pt idx="0">
                  <c:v>900.81</c:v>
                </c:pt>
                <c:pt idx="1">
                  <c:v>22.69</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12700" cap="flat" cmpd="sng" algn="ctr">
      <a:noFill/>
      <a:prstDash val="solid"/>
      <a:round/>
    </a:ln>
  </c:spPr>
  <c:txPr>
    <a:bodyPr/>
    <a:lstStyle/>
    <a:p>
      <a:pPr>
        <a:defRPr lang="zh-CN"/>
      </a:pPr>
    </a:p>
  </c:txPr>
  <c:externalData r:id="rId1">
    <c:autoUpdate val="false"/>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800" b="1" i="0" u="none" strike="noStrike" baseline="0"/>
              <a:t>2018</a:t>
            </a:r>
            <a:r>
              <a:rPr lang="zh-CN" altLang="en-US" sz="1800" b="1" i="0" u="none" strike="noStrike" baseline="0"/>
              <a:t>年</a:t>
            </a:r>
            <a:r>
              <a:rPr lang="zh-CN" altLang="zh-CN" sz="1800" b="1" i="0" u="none" strike="noStrike" baseline="0"/>
              <a:t>财政拨款收</a:t>
            </a:r>
            <a:r>
              <a:rPr lang="zh-CN" altLang="en-US" sz="1800" b="1" i="0" u="none" strike="noStrike" baseline="0"/>
              <a:t>支情况</a:t>
            </a:r>
            <a:endParaRPr lang="en-US" altLang="zh-CN"/>
          </a:p>
        </c:rich>
      </c:tx>
      <c:layout/>
      <c:overlay val="false"/>
    </c:title>
    <c:autoTitleDeleted val="false"/>
    <c:plotArea>
      <c:layout>
        <c:manualLayout>
          <c:layoutTarget val="inner"/>
          <c:xMode val="edge"/>
          <c:yMode val="edge"/>
          <c:x val="0.0772721638961797"/>
          <c:y val="0.15734126984127"/>
          <c:w val="0.783762576552931"/>
          <c:h val="0.72526496687914"/>
        </c:manualLayout>
      </c:layout>
      <c:barChart>
        <c:barDir val="col"/>
        <c:grouping val="stacked"/>
        <c:varyColors val="false"/>
        <c:ser>
          <c:idx val="0"/>
          <c:order val="0"/>
          <c:tx>
            <c:strRef>
              <c:f>Sheet1!$B$1</c:f>
              <c:strCache>
                <c:ptCount val="1"/>
                <c:pt idx="0">
                  <c:v>系列 1</c:v>
                </c:pt>
              </c:strCache>
            </c:strRef>
          </c:tx>
          <c:invertIfNegative val="false"/>
          <c:dLbls>
            <c:delete val="true"/>
          </c:dLbls>
          <c:cat>
            <c:strRef>
              <c:f>Sheet1!$A$2:$A$5</c:f>
              <c:strCache>
                <c:ptCount val="2"/>
                <c:pt idx="0">
                  <c:v>财政拨款收入</c:v>
                </c:pt>
                <c:pt idx="1">
                  <c:v>财政拨款支出</c:v>
                </c:pt>
              </c:strCache>
            </c:strRef>
          </c:cat>
          <c:val>
            <c:numRef>
              <c:f>Sheet1!$B$2:$B$5</c:f>
              <c:numCache>
                <c:formatCode>General</c:formatCode>
                <c:ptCount val="4"/>
                <c:pt idx="0">
                  <c:v>923.51</c:v>
                </c:pt>
                <c:pt idx="1">
                  <c:v>900.81</c:v>
                </c:pt>
              </c:numCache>
            </c:numRef>
          </c:val>
        </c:ser>
        <c:dLbls>
          <c:showLegendKey val="false"/>
          <c:showVal val="false"/>
          <c:showCatName val="false"/>
          <c:showSerName val="false"/>
          <c:showPercent val="false"/>
          <c:showBubbleSize val="false"/>
        </c:dLbls>
        <c:gapWidth val="150"/>
        <c:overlap val="100"/>
        <c:axId val="44411136"/>
        <c:axId val="136687616"/>
      </c:barChart>
      <c:catAx>
        <c:axId val="4441113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6687616"/>
        <c:crosses val="autoZero"/>
        <c:auto val="true"/>
        <c:lblAlgn val="ctr"/>
        <c:lblOffset val="100"/>
        <c:noMultiLvlLbl val="false"/>
      </c:catAx>
      <c:valAx>
        <c:axId val="136687616"/>
        <c:scaling>
          <c:orientation val="minMax"/>
        </c:scaling>
        <c:delete val="false"/>
        <c:axPos val="l"/>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44411136"/>
        <c:crosses val="autoZero"/>
        <c:crossBetween val="between"/>
      </c:valAx>
    </c:plotArea>
    <c:plotVisOnly val="true"/>
    <c:dispBlanksAs val="gap"/>
    <c:showDLblsOverMax val="false"/>
  </c:chart>
  <c:spPr>
    <a:ln w="12700" cap="flat" cmpd="sng" algn="ctr">
      <a:noFill/>
      <a:prstDash val="solid"/>
      <a:round/>
    </a:ln>
  </c:spPr>
  <c:txPr>
    <a:bodyPr/>
    <a:lstStyle/>
    <a:p>
      <a:pPr>
        <a:defRPr lang="zh-CN"/>
      </a:pPr>
    </a:p>
  </c:txPr>
  <c:externalData r:id="rId1">
    <c:autoUpdate val="false"/>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800" b="1" i="0" baseline="0"/>
              <a:t>2018</a:t>
            </a:r>
            <a:r>
              <a:rPr lang="zh-CN" altLang="zh-CN" sz="1800" b="1" i="0" baseline="0"/>
              <a:t>年财政拨款</a:t>
            </a:r>
            <a:r>
              <a:rPr lang="zh-CN" altLang="en-US" sz="1800" b="1" i="0" baseline="0"/>
              <a:t>预决算</a:t>
            </a:r>
            <a:r>
              <a:rPr lang="zh-CN" altLang="zh-CN" sz="1800" b="1" i="0" baseline="0"/>
              <a:t>情况</a:t>
            </a:r>
            <a:endParaRPr lang="en-US" altLang="zh-CN" sz="1800" b="1" i="0" baseline="0"/>
          </a:p>
        </c:rich>
      </c:tx>
      <c:layout>
        <c:manualLayout>
          <c:xMode val="edge"/>
          <c:yMode val="edge"/>
          <c:x val="0.225966389617965"/>
          <c:y val="0"/>
        </c:manualLayout>
      </c:layout>
      <c:overlay val="false"/>
    </c:title>
    <c:autoTitleDeleted val="false"/>
    <c:plotArea>
      <c:layout/>
      <c:barChart>
        <c:barDir val="col"/>
        <c:grouping val="stacked"/>
        <c:varyColors val="false"/>
        <c:ser>
          <c:idx val="2"/>
          <c:order val="0"/>
          <c:tx>
            <c:strRef>
              <c:f>Sheet1!$D$1</c:f>
              <c:strCache>
                <c:ptCount val="1"/>
                <c:pt idx="0">
                  <c:v>列2</c:v>
                </c:pt>
              </c:strCache>
            </c:strRef>
          </c:tx>
          <c:invertIfNegative val="false"/>
          <c:dLbls>
            <c:delete val="true"/>
          </c:dLbls>
          <c:cat>
            <c:strRef>
              <c:f>Sheet1!$A$2:$A$5</c:f>
              <c:strCache>
                <c:ptCount val="2"/>
                <c:pt idx="0">
                  <c:v>财政决算</c:v>
                </c:pt>
                <c:pt idx="1">
                  <c:v>财政预算</c:v>
                </c:pt>
              </c:strCache>
            </c:strRef>
          </c:cat>
          <c:val>
            <c:numRef>
              <c:f>Sheet1!$D$2:$D$5</c:f>
              <c:numCache>
                <c:formatCode>General</c:formatCode>
                <c:ptCount val="4"/>
                <c:pt idx="0">
                  <c:v>923.51</c:v>
                </c:pt>
                <c:pt idx="1">
                  <c:v>1742.65</c:v>
                </c:pt>
              </c:numCache>
            </c:numRef>
          </c:val>
        </c:ser>
        <c:dLbls>
          <c:showLegendKey val="false"/>
          <c:showVal val="false"/>
          <c:showCatName val="false"/>
          <c:showSerName val="false"/>
          <c:showPercent val="false"/>
          <c:showBubbleSize val="false"/>
        </c:dLbls>
        <c:gapWidth val="150"/>
        <c:overlap val="100"/>
        <c:axId val="137038848"/>
        <c:axId val="137048832"/>
      </c:barChart>
      <c:catAx>
        <c:axId val="137038848"/>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7048832"/>
        <c:crosses val="autoZero"/>
        <c:auto val="true"/>
        <c:lblAlgn val="ctr"/>
        <c:lblOffset val="100"/>
        <c:noMultiLvlLbl val="false"/>
      </c:catAx>
      <c:valAx>
        <c:axId val="137048832"/>
        <c:scaling>
          <c:orientation val="minMax"/>
        </c:scaling>
        <c:delete val="false"/>
        <c:axPos val="l"/>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7038848"/>
        <c:crosses val="autoZero"/>
        <c:crossBetween val="between"/>
      </c:valAx>
    </c:plotArea>
    <c:plotVisOnly val="true"/>
    <c:dispBlanksAs val="gap"/>
    <c:showDLblsOverMax val="false"/>
  </c:chart>
  <c:spPr>
    <a:ln w="12700" cap="flat" cmpd="sng" algn="ctr">
      <a:noFill/>
      <a:prstDash val="solid"/>
      <a:round/>
    </a:ln>
  </c:spPr>
  <c:txPr>
    <a:bodyPr/>
    <a:lstStyle/>
    <a:p>
      <a:pPr>
        <a:defRPr lang="zh-CN"/>
      </a:pPr>
    </a:p>
  </c:txPr>
  <c:externalData r:id="rId1">
    <c:autoUpdate val="false"/>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2018年财政拨款支出决算结构</c:v>
                </c:pt>
              </c:strCache>
            </c:strRef>
          </c:tx>
          <c:explosion val="0"/>
          <c:dPt>
            <c:idx val="0"/>
            <c:bubble3D val="false"/>
          </c:dPt>
          <c:dPt>
            <c:idx val="1"/>
            <c:bubble3D val="false"/>
          </c:dPt>
          <c:dPt>
            <c:idx val="2"/>
            <c:bubble3D val="false"/>
          </c:dPt>
          <c:dPt>
            <c:idx val="3"/>
            <c:bubble3D val="false"/>
            <c:spPr>
              <a:solidFill>
                <a:srgbClr val="0070C0"/>
              </a:solidFill>
            </c:spPr>
          </c:dPt>
          <c:dLbls>
            <c:delete val="true"/>
          </c:dLbls>
          <c:cat>
            <c:strRef>
              <c:f>Sheet1!$A$2:$A$5</c:f>
              <c:strCache>
                <c:ptCount val="4"/>
                <c:pt idx="0">
                  <c:v>一般公共服务</c:v>
                </c:pt>
                <c:pt idx="1">
                  <c:v>国防支出</c:v>
                </c:pt>
                <c:pt idx="2">
                  <c:v>社保和就业支出</c:v>
                </c:pt>
                <c:pt idx="3">
                  <c:v>医疗卫生与计划生育支出</c:v>
                </c:pt>
              </c:strCache>
            </c:strRef>
          </c:cat>
          <c:val>
            <c:numRef>
              <c:f>Sheet1!$B$2:$B$5</c:f>
              <c:numCache>
                <c:formatCode>General</c:formatCode>
                <c:ptCount val="4"/>
                <c:pt idx="0">
                  <c:v>111.33</c:v>
                </c:pt>
                <c:pt idx="1">
                  <c:v>57.46</c:v>
                </c:pt>
                <c:pt idx="2">
                  <c:v>726.58</c:v>
                </c:pt>
                <c:pt idx="3">
                  <c:v>5.43</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12700" cap="flat" cmpd="sng" algn="ctr">
      <a:noFill/>
      <a:prstDash val="solid"/>
      <a:round/>
    </a:ln>
  </c:spPr>
  <c:txPr>
    <a:bodyPr/>
    <a:lstStyle/>
    <a:p>
      <a:pPr>
        <a:defRPr lang="zh-CN"/>
      </a:pPr>
    </a:p>
  </c:txPr>
  <c:externalData r:id="rId1">
    <c:autoUpdate val="false"/>
  </c:externalData>
  <c:userShapes r:id="rId2"/>
</c:chartSpace>
</file>

<file path=word/drawings/drawing1.xml><?xml version="1.0" encoding="utf-8"?>
<c:userShapes xmlns:c="http://schemas.openxmlformats.org/drawingml/2006/chart">
  <cdr:relSizeAnchor xmlns:cdr="http://schemas.openxmlformats.org/drawingml/2006/chartDrawing">
    <cdr:from>
      <cdr:x>0.14757</cdr:x>
      <cdr:y>0.49405</cdr:y>
    </cdr:from>
    <cdr:to>
      <cdr:x>0.25694</cdr:x>
      <cdr:y>0.58333</cdr:y>
    </cdr:to>
    <cdr:sp>
      <cdr:nvSpPr>
        <cdr:cNvPr id="2" name="矩形 1"/>
        <cdr:cNvSpPr/>
      </cdr:nvSpPr>
      <cdr:spPr xmlns:a="http://schemas.openxmlformats.org/drawingml/2006/main">
        <a:xfrm xmlns:a="http://schemas.openxmlformats.org/drawingml/2006/main">
          <a:off x="809625" y="1581150"/>
          <a:ext cx="600075" cy="285750"/>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en-US" altLang="zh-CN" sz="1100"/>
            <a:t>923.51</a:t>
          </a:r>
          <a:endParaRPr lang="zh-CN" altLang="en-US" sz="1100"/>
        </a:p>
      </cdr:txBody>
    </cdr:sp>
  </cdr:relSizeAnchor>
  <cdr:relSizeAnchor xmlns:cdr="http://schemas.openxmlformats.org/drawingml/2006/chartDrawing">
    <cdr:from>
      <cdr:x>0.36285</cdr:x>
      <cdr:y>0.1994</cdr:y>
    </cdr:from>
    <cdr:to>
      <cdr:x>0.50694</cdr:x>
      <cdr:y>0.30655</cdr:y>
    </cdr:to>
    <cdr:sp>
      <cdr:nvSpPr>
        <cdr:cNvPr id="3" name="矩形 2"/>
        <cdr:cNvSpPr/>
      </cdr:nvSpPr>
      <cdr:spPr xmlns:a="http://schemas.openxmlformats.org/drawingml/2006/main">
        <a:xfrm xmlns:a="http://schemas.openxmlformats.org/drawingml/2006/main">
          <a:off x="1990724" y="638175"/>
          <a:ext cx="790575" cy="342900"/>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en-US" altLang="zh-CN" sz="1100"/>
            <a:t>1742.65</a:t>
          </a:r>
          <a:endParaRPr lang="zh-CN" altLang="en-US" sz="1100"/>
        </a:p>
      </cdr:txBody>
    </cdr:sp>
  </cdr:relSizeAnchor>
  <cdr:relSizeAnchor xmlns:cdr="http://schemas.openxmlformats.org/drawingml/2006/chartDrawing">
    <cdr:from>
      <cdr:x>0.81944</cdr:x>
      <cdr:y>0.18155</cdr:y>
    </cdr:from>
    <cdr:to>
      <cdr:x>0.99132</cdr:x>
      <cdr:y>0.25893</cdr:y>
    </cdr:to>
    <cdr:sp>
      <cdr:nvSpPr>
        <cdr:cNvPr id="4" name="矩形 3"/>
        <cdr:cNvSpPr/>
      </cdr:nvSpPr>
      <cdr:spPr xmlns:a="http://schemas.openxmlformats.org/drawingml/2006/main">
        <a:xfrm xmlns:a="http://schemas.openxmlformats.org/drawingml/2006/main">
          <a:off x="4495799" y="581025"/>
          <a:ext cx="942975" cy="247650"/>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pPr marL="0" marR="0" indent="0" defTabSz="914400" eaLnBrk="1" fontAlgn="auto" latinLnBrk="0" hangingPunct="1">
            <a:lnSpc>
              <a:spcPct val="100000"/>
            </a:lnSpc>
            <a:spcBef>
              <a:spcPts val="0"/>
            </a:spcBef>
            <a:spcAft>
              <a:spcPts val="0"/>
            </a:spcAft>
            <a:buClrTx/>
            <a:buSzTx/>
            <a:buFontTx/>
            <a:buNone/>
            <a:defRPr/>
          </a:pPr>
          <a:r>
            <a:rPr lang="zh-CN" altLang="en-US" sz="1100"/>
            <a:t>单位：万元</a:t>
          </a:r>
          <a:endParaRPr lang="zh-CN" altLang="en-US" sz="1100"/>
        </a:p>
        <a:p>
          <a:endParaRPr lang="zh-CN"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0.11806</cdr:x>
      <cdr:y>0.21131</cdr:y>
    </cdr:from>
    <cdr:to>
      <cdr:x>0.22743</cdr:x>
      <cdr:y>0.30655</cdr:y>
    </cdr:to>
    <cdr:sp>
      <cdr:nvSpPr>
        <cdr:cNvPr id="2" name="矩形 1"/>
        <cdr:cNvSpPr/>
      </cdr:nvSpPr>
      <cdr:spPr xmlns:a="http://schemas.openxmlformats.org/drawingml/2006/main">
        <a:xfrm xmlns:a="http://schemas.openxmlformats.org/drawingml/2006/main">
          <a:off x="647700" y="676276"/>
          <a:ext cx="600075" cy="304800"/>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en-US" altLang="zh-CN" sz="1100"/>
            <a:t>923.51</a:t>
          </a:r>
          <a:endParaRPr lang="zh-CN" altLang="en-US" sz="1100"/>
        </a:p>
      </cdr:txBody>
    </cdr:sp>
  </cdr:relSizeAnchor>
  <cdr:relSizeAnchor xmlns:cdr="http://schemas.openxmlformats.org/drawingml/2006/chartDrawing">
    <cdr:from>
      <cdr:x>0.32118</cdr:x>
      <cdr:y>0.58333</cdr:y>
    </cdr:from>
    <cdr:to>
      <cdr:x>0.43056</cdr:x>
      <cdr:y>0.64286</cdr:y>
    </cdr:to>
    <cdr:sp>
      <cdr:nvSpPr>
        <cdr:cNvPr id="3" name="矩形 2"/>
        <cdr:cNvSpPr/>
      </cdr:nvSpPr>
      <cdr:spPr xmlns:a="http://schemas.openxmlformats.org/drawingml/2006/main">
        <a:xfrm xmlns:a="http://schemas.openxmlformats.org/drawingml/2006/main">
          <a:off x="1762125" y="1866900"/>
          <a:ext cx="600075" cy="190500"/>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en-US" altLang="zh-CN" sz="1100"/>
            <a:t>900.81</a:t>
          </a:r>
          <a:endParaRPr lang="zh-CN" altLang="en-US" sz="1100"/>
        </a:p>
      </cdr:txBody>
    </cdr:sp>
  </cdr:relSizeAnchor>
  <cdr:relSizeAnchor xmlns:cdr="http://schemas.openxmlformats.org/drawingml/2006/chartDrawing">
    <cdr:from>
      <cdr:x>0.69444</cdr:x>
      <cdr:y>0.18155</cdr:y>
    </cdr:from>
    <cdr:to>
      <cdr:x>0.86632</cdr:x>
      <cdr:y>0.2619</cdr:y>
    </cdr:to>
    <cdr:sp>
      <cdr:nvSpPr>
        <cdr:cNvPr id="4" name="矩形 3"/>
        <cdr:cNvSpPr/>
      </cdr:nvSpPr>
      <cdr:spPr xmlns:a="http://schemas.openxmlformats.org/drawingml/2006/main">
        <a:xfrm xmlns:a="http://schemas.openxmlformats.org/drawingml/2006/main">
          <a:off x="3810000" y="581025"/>
          <a:ext cx="942975" cy="257175"/>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zh-CN" altLang="en-US" sz="1100"/>
            <a:t>单位：万元</a:t>
          </a:r>
          <a:endParaRPr lang="zh-CN" alt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0.40104</cdr:x>
      <cdr:y>0.57143</cdr:y>
    </cdr:from>
    <cdr:to>
      <cdr:x>0.53125</cdr:x>
      <cdr:y>0.65179</cdr:y>
    </cdr:to>
    <cdr:sp>
      <cdr:nvSpPr>
        <cdr:cNvPr id="2" name="矩形 1"/>
        <cdr:cNvSpPr/>
      </cdr:nvSpPr>
      <cdr:spPr xmlns:a="http://schemas.openxmlformats.org/drawingml/2006/main">
        <a:xfrm xmlns:a="http://schemas.openxmlformats.org/drawingml/2006/main">
          <a:off x="2200275" y="1828799"/>
          <a:ext cx="714375" cy="257175"/>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en-US" altLang="zh-CN" sz="1100"/>
            <a:t>80.66%</a:t>
          </a:r>
          <a:endParaRPr lang="zh-CN" altLang="en-US" sz="1100"/>
        </a:p>
      </cdr:txBody>
    </cdr:sp>
  </cdr:relSizeAnchor>
  <cdr:relSizeAnchor xmlns:cdr="http://schemas.openxmlformats.org/drawingml/2006/chartDrawing">
    <cdr:from>
      <cdr:x>0.36285</cdr:x>
      <cdr:y>0.2381</cdr:y>
    </cdr:from>
    <cdr:to>
      <cdr:x>0.4809</cdr:x>
      <cdr:y>0.30357</cdr:y>
    </cdr:to>
    <cdr:sp>
      <cdr:nvSpPr>
        <cdr:cNvPr id="3" name="矩形 2"/>
        <cdr:cNvSpPr/>
      </cdr:nvSpPr>
      <cdr:spPr xmlns:a="http://schemas.openxmlformats.org/drawingml/2006/main">
        <a:xfrm xmlns:a="http://schemas.openxmlformats.org/drawingml/2006/main">
          <a:off x="1990725" y="762000"/>
          <a:ext cx="647700" cy="209550"/>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en-US" altLang="zh-CN" sz="1100"/>
            <a:t>12.36%</a:t>
          </a:r>
          <a:endParaRPr lang="zh-CN" altLang="en-US" sz="1100"/>
        </a:p>
      </cdr:txBody>
    </cdr:sp>
  </cdr:relSizeAnchor>
  <cdr:relSizeAnchor xmlns:cdr="http://schemas.openxmlformats.org/drawingml/2006/chartDrawing">
    <cdr:from>
      <cdr:x>0.43403</cdr:x>
      <cdr:y>0.35714</cdr:y>
    </cdr:from>
    <cdr:to>
      <cdr:x>0.55208</cdr:x>
      <cdr:y>0.4494</cdr:y>
    </cdr:to>
    <cdr:sp>
      <cdr:nvSpPr>
        <cdr:cNvPr id="4" name="矩形 3"/>
        <cdr:cNvSpPr/>
      </cdr:nvSpPr>
      <cdr:spPr xmlns:a="http://schemas.openxmlformats.org/drawingml/2006/main">
        <a:xfrm xmlns:a="http://schemas.openxmlformats.org/drawingml/2006/main">
          <a:off x="2381250" y="1143000"/>
          <a:ext cx="647700" cy="295275"/>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en-US" altLang="zh-CN" sz="1100"/>
            <a:t>6.38%</a:t>
          </a:r>
          <a:endParaRPr lang="zh-CN" altLang="en-US" sz="1100"/>
        </a:p>
      </cdr:txBody>
    </cdr:sp>
  </cdr:relSizeAnchor>
  <cdr:relSizeAnchor xmlns:cdr="http://schemas.openxmlformats.org/drawingml/2006/chartDrawing">
    <cdr:from>
      <cdr:x>0.34201</cdr:x>
      <cdr:y>0.14583</cdr:y>
    </cdr:from>
    <cdr:to>
      <cdr:x>0.44097</cdr:x>
      <cdr:y>0.20833</cdr:y>
    </cdr:to>
    <cdr:sp>
      <cdr:nvSpPr>
        <cdr:cNvPr id="5" name="直接箭头连接符 4"/>
        <cdr:cNvSpPr/>
      </cdr:nvSpPr>
      <cdr:spPr xmlns:a="http://schemas.openxmlformats.org/drawingml/2006/main">
        <a:xfrm xmlns:a="http://schemas.openxmlformats.org/drawingml/2006/main" flipV="true">
          <a:off x="1876425" y="466724"/>
          <a:ext cx="542925" cy="200025"/>
        </a:xfrm>
        <a:prstGeom xmlns:a="http://schemas.openxmlformats.org/drawingml/2006/main" prst="straightConnector1">
          <a:avLst/>
        </a:prstGeom>
        <a:l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Overflow="clip" vert="horz" wrap="none" lIns="45720" tIns="45720" rIns="45720" bIns="45720" anchor="t" anchorCtr="false">
          <a:normAutofit/>
        </a:bodyPr>
        <a:lstStyle/>
        <a:p>
          <a:endParaRPr lang="zh-CN"/>
        </a:p>
      </cdr:txBody>
    </cdr:sp>
  </cdr:relSizeAnchor>
  <cdr:relSizeAnchor xmlns:cdr="http://schemas.openxmlformats.org/drawingml/2006/chartDrawing">
    <cdr:from>
      <cdr:x>0.4375</cdr:x>
      <cdr:y>0.11012</cdr:y>
    </cdr:from>
    <cdr:to>
      <cdr:x>0.57292</cdr:x>
      <cdr:y>0.17262</cdr:y>
    </cdr:to>
    <cdr:sp>
      <cdr:nvSpPr>
        <cdr:cNvPr id="6" name="矩形 5"/>
        <cdr:cNvSpPr/>
      </cdr:nvSpPr>
      <cdr:spPr xmlns:a="http://schemas.openxmlformats.org/drawingml/2006/main">
        <a:xfrm xmlns:a="http://schemas.openxmlformats.org/drawingml/2006/main">
          <a:off x="2400300" y="352425"/>
          <a:ext cx="742950" cy="200025"/>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en-US" altLang="zh-CN" sz="1100"/>
            <a:t>0.6%</a:t>
          </a:r>
          <a:endParaRPr lang="zh-CN"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0.36449</cdr:x>
      <cdr:y>0.63682</cdr:y>
    </cdr:from>
    <cdr:to>
      <cdr:x>0.51869</cdr:x>
      <cdr:y>0.78607</cdr:y>
    </cdr:to>
    <cdr:sp>
      <cdr:nvSpPr>
        <cdr:cNvPr id="2" name="矩形 1"/>
        <cdr:cNvSpPr/>
      </cdr:nvSpPr>
      <cdr:spPr xmlns:a="http://schemas.openxmlformats.org/drawingml/2006/main">
        <a:xfrm xmlns:a="http://schemas.openxmlformats.org/drawingml/2006/main">
          <a:off x="1485901" y="1219201"/>
          <a:ext cx="628649" cy="285750"/>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pPr>
            <a:lnSpc>
              <a:spcPts val="500"/>
            </a:lnSpc>
          </a:pPr>
          <a:r>
            <a:rPr lang="en-US" altLang="zh-CN" sz="1100"/>
            <a:t>900.81</a:t>
          </a:r>
          <a:endParaRPr lang="zh-CN" altLang="en-US" sz="1100"/>
        </a:p>
      </cdr:txBody>
    </cdr:sp>
  </cdr:relSizeAnchor>
  <cdr:relSizeAnchor xmlns:cdr="http://schemas.openxmlformats.org/drawingml/2006/chartDrawing">
    <cdr:from>
      <cdr:x>0.31776</cdr:x>
      <cdr:y>0.67164</cdr:y>
    </cdr:from>
    <cdr:to>
      <cdr:x>0.46262</cdr:x>
      <cdr:y>0.78109</cdr:y>
    </cdr:to>
    <cdr:sp>
      <cdr:nvSpPr>
        <cdr:cNvPr id="3" name="矩形 2"/>
        <cdr:cNvSpPr/>
      </cdr:nvSpPr>
      <cdr:spPr xmlns:a="http://schemas.openxmlformats.org/drawingml/2006/main">
        <a:xfrm xmlns:a="http://schemas.openxmlformats.org/drawingml/2006/main">
          <a:off x="1295400" y="1285875"/>
          <a:ext cx="590550" cy="209550"/>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endParaRPr lang="zh-CN" altLang="en-US" sz="1100"/>
        </a:p>
      </cdr:txBody>
    </cdr:sp>
  </cdr:relSizeAnchor>
  <cdr:relSizeAnchor xmlns:cdr="http://schemas.openxmlformats.org/drawingml/2006/chartDrawing">
    <cdr:from>
      <cdr:x>0.35514</cdr:x>
      <cdr:y>0.33333</cdr:y>
    </cdr:from>
    <cdr:to>
      <cdr:x>0.43458</cdr:x>
      <cdr:y>0.38308</cdr:y>
    </cdr:to>
    <cdr:sp>
      <cdr:nvSpPr>
        <cdr:cNvPr id="4" name="直接箭头连接符 3"/>
        <cdr:cNvSpPr/>
      </cdr:nvSpPr>
      <cdr:spPr xmlns:a="http://schemas.openxmlformats.org/drawingml/2006/main">
        <a:xfrm xmlns:a="http://schemas.openxmlformats.org/drawingml/2006/main" flipV="true">
          <a:off x="1447801" y="638175"/>
          <a:ext cx="323850" cy="95250"/>
        </a:xfrm>
        <a:prstGeom xmlns:a="http://schemas.openxmlformats.org/drawingml/2006/main" prst="straightConnector1">
          <a:avLst/>
        </a:prstGeom>
        <a:l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Overflow="clip" vert="horz" wrap="none" lIns="45720" tIns="45720" rIns="45720" bIns="45720" anchor="t" anchorCtr="false">
          <a:normAutofit/>
        </a:bodyPr>
        <a:lstStyle/>
        <a:p>
          <a:endParaRPr lang="zh-CN"/>
        </a:p>
      </cdr:txBody>
    </cdr:sp>
  </cdr:relSizeAnchor>
  <cdr:relSizeAnchor xmlns:cdr="http://schemas.openxmlformats.org/drawingml/2006/chartDrawing">
    <cdr:from>
      <cdr:x>0.42757</cdr:x>
      <cdr:y>0.26866</cdr:y>
    </cdr:from>
    <cdr:to>
      <cdr:x>0.58879</cdr:x>
      <cdr:y>0.40796</cdr:y>
    </cdr:to>
    <cdr:sp>
      <cdr:nvSpPr>
        <cdr:cNvPr id="5" name="矩形 4"/>
        <cdr:cNvSpPr/>
      </cdr:nvSpPr>
      <cdr:spPr xmlns:a="http://schemas.openxmlformats.org/drawingml/2006/main">
        <a:xfrm xmlns:a="http://schemas.openxmlformats.org/drawingml/2006/main">
          <a:off x="1743075" y="514350"/>
          <a:ext cx="657225" cy="266700"/>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en-US" altLang="zh-CN" sz="1100"/>
            <a:t>22.69</a:t>
          </a:r>
          <a:endParaRPr lang="zh-CN" altLang="en-US" sz="1100"/>
        </a:p>
      </cdr:txBody>
    </cdr:sp>
  </cdr:relSizeAnchor>
</c:userShape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true">
          <a:gsLst>
            <a:gs pos="0">
              <a:schemeClr val="phClr">
                <a:tint val="65000"/>
                <a:satMod val="180000"/>
              </a:schemeClr>
            </a:gs>
            <a:gs pos="50000">
              <a:schemeClr val="phClr">
                <a:tint val="40000"/>
                <a:satMod val="175000"/>
              </a:schemeClr>
            </a:gs>
            <a:gs pos="100000">
              <a:schemeClr val="phClr">
                <a:tint val="65000"/>
                <a:satMod val="180000"/>
              </a:schemeClr>
            </a:gs>
          </a:gsLst>
          <a:lin ang="0" scaled="true"/>
        </a:gradFill>
        <a:gradFill rotWithShape="true">
          <a:gsLst>
            <a:gs pos="0">
              <a:schemeClr val="phClr">
                <a:shade val="38000"/>
                <a:satMod val="150000"/>
              </a:schemeClr>
            </a:gs>
            <a:gs pos="50000">
              <a:schemeClr val="phClr">
                <a:shade val="100000"/>
                <a:satMod val="100000"/>
              </a:schemeClr>
            </a:gs>
            <a:gs pos="100000">
              <a:schemeClr val="phClr">
                <a:shade val="38000"/>
                <a:satMod val="150000"/>
              </a:schemeClr>
            </a:gs>
          </a:gsLst>
          <a:lin ang="0" scaled="true"/>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1438</Words>
  <Characters>8200</Characters>
  <Lines>68</Lines>
  <Paragraphs>19</Paragraphs>
  <TotalTime>9</TotalTime>
  <ScaleCrop>false</ScaleCrop>
  <LinksUpToDate>false</LinksUpToDate>
  <CharactersWithSpaces>9619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2019-09-26T09:09:00Z</dcterms:created>
  <dc:creator>User</dc:creator>
  <cp:lastModifiedBy>uos</cp:lastModifiedBy>
  <cp:lastPrinted>2019-11-11T08:46:00Z</cp:lastPrinted>
  <dcterms:modified xsi:type="dcterms:W3CDTF">2023-06-07T11:17:05Z</dcterms:modified>
  <dc:subject>石家庄市xxx部门</dc:subject>
  <dc:title>2017年度部门决算</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B4E2B2A793F14342BECBC5157CD8D903</vt:lpwstr>
  </property>
</Properties>
</file>