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大城县民族宗教事务局</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大城县民族宗教事务局</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大城县民族宗教事务局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spacing w:after="0" w:line="560" w:lineRule="exact"/>
        <w:rPr>
          <w:rFonts w:ascii="仿宋" w:hAnsi="仿宋" w:eastAsia="仿宋" w:cs="ArialUnicodeMS"/>
          <w:kern w:val="0"/>
          <w:sz w:val="32"/>
          <w:szCs w:val="32"/>
        </w:rPr>
      </w:pPr>
      <w:r>
        <w:rPr>
          <w:rFonts w:ascii="仿宋_GB2312" w:hAnsi="Cambria" w:eastAsia="仿宋_GB2312" w:cs="ArialUnicodeMS"/>
          <w:kern w:val="0"/>
          <w:sz w:val="32"/>
          <w:szCs w:val="32"/>
        </w:rPr>
        <w:t xml:space="preserve">   </w:t>
      </w:r>
      <w:r>
        <w:rPr>
          <w:rFonts w:ascii="仿宋" w:hAnsi="仿宋" w:eastAsia="仿宋" w:cs="ArialUnicodeMS"/>
          <w:kern w:val="0"/>
          <w:sz w:val="32"/>
          <w:szCs w:val="32"/>
        </w:rPr>
        <w:t>1</w:t>
      </w:r>
      <w:r>
        <w:rPr>
          <w:rFonts w:hint="eastAsia" w:ascii="仿宋" w:hAnsi="仿宋" w:eastAsia="仿宋" w:cs="ArialUnicodeMS"/>
          <w:kern w:val="0"/>
          <w:sz w:val="32"/>
          <w:szCs w:val="32"/>
        </w:rPr>
        <w:t>、贯彻执行党和国家关于民族宗教工作的方针、政策和法律、法规，拟定有关民族宗教政策的实施意见，并负责组织实施和监督。</w:t>
      </w:r>
    </w:p>
    <w:p>
      <w:pPr>
        <w:spacing w:after="0" w:line="560" w:lineRule="exact"/>
        <w:rPr>
          <w:rFonts w:ascii="仿宋" w:hAnsi="仿宋" w:eastAsia="仿宋" w:cs="ArialUnicodeMS"/>
          <w:kern w:val="0"/>
          <w:sz w:val="32"/>
          <w:szCs w:val="32"/>
        </w:rPr>
      </w:pPr>
      <w:r>
        <w:rPr>
          <w:rFonts w:ascii="仿宋" w:hAnsi="仿宋" w:eastAsia="仿宋" w:cs="ArialUnicodeMS"/>
          <w:kern w:val="0"/>
          <w:sz w:val="32"/>
          <w:szCs w:val="32"/>
        </w:rPr>
        <w:t xml:space="preserve">   2</w:t>
      </w:r>
      <w:r>
        <w:rPr>
          <w:rFonts w:hint="eastAsia" w:ascii="仿宋" w:hAnsi="仿宋" w:eastAsia="仿宋" w:cs="ArialUnicodeMS"/>
          <w:kern w:val="0"/>
          <w:sz w:val="32"/>
          <w:szCs w:val="32"/>
        </w:rPr>
        <w:t>、组织开展民族宗教政策法规的宣传、培训和教育，监督检查民族宗教政策、法规的执行情况；组织开展民族宗教理论的学习与研究，提出建议和意见。</w:t>
      </w:r>
    </w:p>
    <w:p>
      <w:pPr>
        <w:spacing w:after="0" w:line="560" w:lineRule="exact"/>
        <w:rPr>
          <w:rFonts w:ascii="仿宋" w:hAnsi="仿宋" w:eastAsia="仿宋" w:cs="ArialUnicodeMS"/>
          <w:kern w:val="0"/>
          <w:sz w:val="32"/>
          <w:szCs w:val="32"/>
        </w:rPr>
      </w:pPr>
      <w:r>
        <w:rPr>
          <w:rFonts w:ascii="仿宋" w:hAnsi="仿宋" w:eastAsia="仿宋" w:cs="ArialUnicodeMS"/>
          <w:kern w:val="0"/>
          <w:sz w:val="32"/>
          <w:szCs w:val="32"/>
        </w:rPr>
        <w:t>3</w:t>
      </w:r>
      <w:r>
        <w:rPr>
          <w:rFonts w:hint="eastAsia" w:ascii="仿宋" w:hAnsi="仿宋" w:eastAsia="仿宋" w:cs="ArialUnicodeMS"/>
          <w:kern w:val="0"/>
          <w:sz w:val="32"/>
          <w:szCs w:val="32"/>
        </w:rPr>
        <w:t>、排查调处影响民族团结和社会稳定的矛盾和问题，协调民族关系，办理有关保障少数民族各项权益的事宜，尊重少数民族风俗习惯，维护民族团结和社会稳定。</w:t>
      </w:r>
    </w:p>
    <w:p>
      <w:pPr>
        <w:spacing w:after="0" w:line="560" w:lineRule="exact"/>
        <w:rPr>
          <w:rFonts w:ascii="仿宋" w:hAnsi="仿宋" w:eastAsia="仿宋" w:cs="ArialUnicodeMS"/>
          <w:kern w:val="0"/>
          <w:sz w:val="32"/>
          <w:szCs w:val="32"/>
        </w:rPr>
      </w:pPr>
      <w:r>
        <w:rPr>
          <w:rFonts w:ascii="仿宋" w:hAnsi="仿宋" w:eastAsia="仿宋" w:cs="ArialUnicodeMS"/>
          <w:kern w:val="0"/>
          <w:sz w:val="32"/>
          <w:szCs w:val="32"/>
        </w:rPr>
        <w:t xml:space="preserve">   4</w:t>
      </w:r>
      <w:r>
        <w:rPr>
          <w:rFonts w:hint="eastAsia" w:ascii="仿宋" w:hAnsi="仿宋" w:eastAsia="仿宋" w:cs="ArialUnicodeMS"/>
          <w:kern w:val="0"/>
          <w:sz w:val="32"/>
          <w:szCs w:val="32"/>
        </w:rPr>
        <w:t>、负责《民族区域自治法》、《城市民族工作条例》、《河北省散居少数民族权益保障条例》和《河北省清真食品管理条例》的贯彻实施。</w:t>
      </w:r>
    </w:p>
    <w:p>
      <w:pPr>
        <w:spacing w:after="0" w:line="560" w:lineRule="exact"/>
        <w:rPr>
          <w:rFonts w:ascii="仿宋" w:hAnsi="仿宋" w:eastAsia="仿宋" w:cs="ArialUnicodeMS"/>
          <w:kern w:val="0"/>
          <w:sz w:val="32"/>
          <w:szCs w:val="32"/>
        </w:rPr>
      </w:pPr>
      <w:r>
        <w:rPr>
          <w:rFonts w:ascii="仿宋" w:hAnsi="仿宋" w:eastAsia="仿宋" w:cs="ArialUnicodeMS"/>
          <w:kern w:val="0"/>
          <w:sz w:val="32"/>
          <w:szCs w:val="32"/>
        </w:rPr>
        <w:t xml:space="preserve">   5</w:t>
      </w:r>
      <w:r>
        <w:rPr>
          <w:rFonts w:hint="eastAsia" w:ascii="仿宋" w:hAnsi="仿宋" w:eastAsia="仿宋" w:cs="ArialUnicodeMS"/>
          <w:kern w:val="0"/>
          <w:sz w:val="32"/>
          <w:szCs w:val="32"/>
        </w:rPr>
        <w:t>、会同统战、组织、人事等部门，做好少数民族干部的选拔、培养和使用工作。</w:t>
      </w:r>
    </w:p>
    <w:p>
      <w:pPr>
        <w:spacing w:after="0" w:line="560" w:lineRule="exact"/>
        <w:rPr>
          <w:rFonts w:ascii="仿宋" w:hAnsi="仿宋" w:eastAsia="仿宋" w:cs="ArialUnicodeMS"/>
          <w:kern w:val="0"/>
          <w:sz w:val="32"/>
          <w:szCs w:val="32"/>
        </w:rPr>
      </w:pPr>
      <w:r>
        <w:rPr>
          <w:rFonts w:ascii="仿宋" w:hAnsi="仿宋" w:eastAsia="仿宋" w:cs="ArialUnicodeMS"/>
          <w:kern w:val="0"/>
          <w:sz w:val="32"/>
          <w:szCs w:val="32"/>
        </w:rPr>
        <w:t xml:space="preserve">   6</w:t>
      </w:r>
      <w:r>
        <w:rPr>
          <w:rFonts w:hint="eastAsia" w:ascii="仿宋" w:hAnsi="仿宋" w:eastAsia="仿宋" w:cs="ArialUnicodeMS"/>
          <w:kern w:val="0"/>
          <w:sz w:val="32"/>
          <w:szCs w:val="32"/>
        </w:rPr>
        <w:t>、根据有关政策规定，负责少数民族考生有关优惠政策的落实；负责全县少数民族经济、文化、教育、卫生、体育、科技及民族干部的统计、汇总、上报；负责民族古籍的发掘、整理、出版。</w:t>
      </w:r>
    </w:p>
    <w:p>
      <w:pPr>
        <w:spacing w:after="0" w:line="560" w:lineRule="exact"/>
        <w:rPr>
          <w:rFonts w:ascii="仿宋" w:hAnsi="仿宋" w:eastAsia="仿宋" w:cs="ArialUnicodeMS"/>
          <w:kern w:val="0"/>
          <w:sz w:val="32"/>
          <w:szCs w:val="32"/>
        </w:rPr>
      </w:pPr>
      <w:r>
        <w:rPr>
          <w:rFonts w:ascii="仿宋" w:hAnsi="仿宋" w:eastAsia="仿宋" w:cs="ArialUnicodeMS"/>
          <w:kern w:val="0"/>
          <w:sz w:val="32"/>
          <w:szCs w:val="32"/>
        </w:rPr>
        <w:t xml:space="preserve">   7</w:t>
      </w:r>
      <w:r>
        <w:rPr>
          <w:rFonts w:hint="eastAsia" w:ascii="仿宋" w:hAnsi="仿宋" w:eastAsia="仿宋" w:cs="ArialUnicodeMS"/>
          <w:kern w:val="0"/>
          <w:sz w:val="32"/>
          <w:szCs w:val="32"/>
        </w:rPr>
        <w:t>、根据有关政策规定，负责管理民族识别和民族成份的审核、批准工作。</w:t>
      </w:r>
    </w:p>
    <w:p>
      <w:pPr>
        <w:spacing w:after="0" w:line="560" w:lineRule="exact"/>
        <w:rPr>
          <w:rFonts w:ascii="仿宋" w:hAnsi="仿宋" w:eastAsia="仿宋" w:cs="ArialUnicodeMS"/>
          <w:kern w:val="0"/>
          <w:sz w:val="32"/>
          <w:szCs w:val="32"/>
        </w:rPr>
      </w:pPr>
      <w:r>
        <w:rPr>
          <w:rFonts w:ascii="仿宋" w:hAnsi="仿宋" w:eastAsia="仿宋" w:cs="ArialUnicodeMS"/>
          <w:kern w:val="0"/>
          <w:sz w:val="32"/>
          <w:szCs w:val="32"/>
        </w:rPr>
        <w:t xml:space="preserve"> 8</w:t>
      </w:r>
      <w:r>
        <w:rPr>
          <w:rFonts w:hint="eastAsia" w:ascii="仿宋" w:hAnsi="仿宋" w:eastAsia="仿宋" w:cs="ArialUnicodeMS"/>
          <w:kern w:val="0"/>
          <w:sz w:val="32"/>
          <w:szCs w:val="32"/>
        </w:rPr>
        <w:t>、负责对全县宗教事务的管理。依据相关法律、法规，依法管理宗教事务，并监督检查各乡镇（区）各部门的执行情况，贯彻宗教信仰自由政策，保证正常宗教活动的有序进行，维护宗教团体的合法权益。</w:t>
      </w:r>
    </w:p>
    <w:p>
      <w:pPr>
        <w:spacing w:after="0" w:line="560" w:lineRule="exact"/>
        <w:rPr>
          <w:rFonts w:ascii="仿宋" w:hAnsi="仿宋" w:eastAsia="仿宋" w:cs="ArialUnicodeMS"/>
          <w:kern w:val="0"/>
          <w:sz w:val="32"/>
          <w:szCs w:val="32"/>
        </w:rPr>
      </w:pPr>
      <w:r>
        <w:rPr>
          <w:rFonts w:ascii="仿宋" w:hAnsi="仿宋" w:eastAsia="仿宋" w:cs="ArialUnicodeMS"/>
          <w:kern w:val="0"/>
          <w:sz w:val="32"/>
          <w:szCs w:val="32"/>
        </w:rPr>
        <w:t xml:space="preserve">    9</w:t>
      </w:r>
      <w:r>
        <w:rPr>
          <w:rFonts w:hint="eastAsia" w:ascii="仿宋" w:hAnsi="仿宋" w:eastAsia="仿宋" w:cs="ArialUnicodeMS"/>
          <w:kern w:val="0"/>
          <w:sz w:val="32"/>
          <w:szCs w:val="32"/>
        </w:rPr>
        <w:t>、负责指导、帮助和支持宗教团体加强自身的思想、组织、制度的等方面的建设，支持宗教团体独立自主自办教会，帮助宗教团体教育、培养爱国进步合格的宗教教职人员；办理宗教团体需由政府协助或协调的事务；协调指导乡镇人民政府及时处理民族宗教方面的突发事件和影响社会稳定的问题，维护宗教领域的稳定；负责对全县宗教工作干部和宗教界人士地教育培训工作，支持帮助宗教界开展对外友好往来，协同有关部门处理宗教方面的涉外事宜，会同有关部门打击取缔邪教组织，抵制境外敌对势力利用宗教进行的渗透活动。</w:t>
      </w:r>
    </w:p>
    <w:p>
      <w:pPr>
        <w:spacing w:after="0" w:line="560" w:lineRule="exact"/>
        <w:rPr>
          <w:rFonts w:ascii="仿宋_GB2312" w:hAnsi="Cambria" w:eastAsia="仿宋_GB2312" w:cs="ArialUnicodeMS"/>
          <w:kern w:val="0"/>
          <w:sz w:val="32"/>
          <w:szCs w:val="32"/>
        </w:rPr>
      </w:pPr>
      <w:r>
        <w:rPr>
          <w:rFonts w:ascii="仿宋" w:hAnsi="仿宋" w:eastAsia="仿宋" w:cs="ArialUnicodeMS"/>
          <w:kern w:val="0"/>
          <w:sz w:val="32"/>
          <w:szCs w:val="32"/>
        </w:rPr>
        <w:t>10</w:t>
      </w:r>
      <w:r>
        <w:rPr>
          <w:rFonts w:hint="eastAsia" w:ascii="仿宋" w:hAnsi="仿宋" w:eastAsia="仿宋" w:cs="ArialUnicodeMS"/>
          <w:kern w:val="0"/>
          <w:sz w:val="32"/>
          <w:szCs w:val="32"/>
        </w:rPr>
        <w:t>、承办县委、县政府交办的其他事宜。</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 w:hAnsi="仿宋" w:eastAsia="仿宋" w:cs="ArialUnicodeMS"/>
          <w:kern w:val="0"/>
          <w:sz w:val="32"/>
          <w:szCs w:val="32"/>
        </w:rPr>
      </w:pPr>
      <w:r>
        <w:rPr>
          <w:rFonts w:hint="eastAsia" w:ascii="仿宋" w:hAnsi="仿宋" w:eastAsia="仿宋" w:cs="ArialUnicodeMS"/>
          <w:kern w:val="0"/>
          <w:sz w:val="32"/>
          <w:szCs w:val="32"/>
        </w:rPr>
        <w:t>从决算编报单位构成看，纳入</w:t>
      </w:r>
      <w:r>
        <w:rPr>
          <w:rFonts w:ascii="仿宋" w:hAnsi="仿宋" w:eastAsia="仿宋" w:cs="ArialUnicodeMS"/>
          <w:kern w:val="0"/>
          <w:sz w:val="32"/>
          <w:szCs w:val="32"/>
        </w:rPr>
        <w:t xml:space="preserve">2018 </w:t>
      </w:r>
      <w:r>
        <w:rPr>
          <w:rFonts w:hint="eastAsia" w:ascii="仿宋" w:hAnsi="仿宋" w:eastAsia="仿宋" w:cs="ArialUnicodeMS"/>
          <w:kern w:val="0"/>
          <w:sz w:val="32"/>
          <w:szCs w:val="32"/>
        </w:rPr>
        <w:t>年度本部门决算汇编范围的独立核算单位（以下简称“单位”）共</w:t>
      </w:r>
      <w:r>
        <w:rPr>
          <w:rFonts w:ascii="仿宋" w:hAnsi="仿宋" w:eastAsia="仿宋" w:cs="ArialUnicodeMS"/>
          <w:kern w:val="0"/>
          <w:sz w:val="32"/>
          <w:szCs w:val="32"/>
        </w:rPr>
        <w:t>1</w:t>
      </w:r>
      <w:r>
        <w:rPr>
          <w:rFonts w:hint="eastAsia" w:ascii="仿宋" w:hAnsi="仿宋" w:eastAsia="仿宋" w:cs="ArialUnicodeMS"/>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大城县民族宗教事务局</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
    <w:p/>
    <w:p>
      <w:pPr>
        <w:tabs>
          <w:tab w:val="left" w:pos="1086"/>
        </w:tabs>
        <w:jc w:val="center"/>
        <w:rPr>
          <w:rFonts w:ascii="黑体" w:hAnsi="宋体" w:eastAsia="黑体"/>
          <w:color w:val="000000"/>
          <w:sz w:val="96"/>
          <w:szCs w:val="96"/>
        </w:rPr>
      </w:pPr>
    </w:p>
    <w:p>
      <w:pPr>
        <w:tabs>
          <w:tab w:val="left" w:pos="1086"/>
        </w:tabs>
        <w:jc w:val="center"/>
        <w:rPr>
          <w:rFonts w:ascii="黑体" w:hAnsi="宋体" w:eastAsia="黑体"/>
          <w:color w:val="000000"/>
          <w:sz w:val="96"/>
          <w:szCs w:val="96"/>
        </w:rPr>
      </w:pPr>
    </w:p>
    <w:p>
      <w:pPr>
        <w:tabs>
          <w:tab w:val="left" w:pos="1086"/>
        </w:tabs>
        <w:rPr>
          <w:rFonts w:ascii="黑体" w:hAnsi="宋体" w:eastAsia="黑体"/>
          <w:color w:val="000000"/>
          <w:sz w:val="96"/>
          <w:szCs w:val="96"/>
        </w:rPr>
      </w:pPr>
    </w:p>
    <w:p>
      <w:pPr>
        <w:tabs>
          <w:tab w:val="left" w:pos="1086"/>
        </w:tabs>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pStyle w:val="3"/>
        <w:spacing w:before="0" w:after="0" w:line="580" w:lineRule="exact"/>
        <w:ind w:firstLine="640" w:firstLineChars="200"/>
        <w:rPr>
          <w:rFonts w:ascii="仿宋" w:hAnsi="仿宋" w:eastAsia="仿宋"/>
          <w:b w:val="0"/>
          <w:color w:val="000000"/>
        </w:rPr>
      </w:pPr>
      <w:r>
        <w:rPr>
          <w:rFonts w:hint="eastAsia" w:ascii="仿宋" w:hAnsi="仿宋" w:eastAsia="仿宋"/>
          <w:b w:val="0"/>
          <w:color w:val="000000"/>
        </w:rPr>
        <w:t>本部门</w:t>
      </w:r>
      <w:r>
        <w:rPr>
          <w:rFonts w:ascii="仿宋" w:hAnsi="仿宋" w:eastAsia="仿宋"/>
          <w:b w:val="0"/>
          <w:color w:val="000000"/>
        </w:rPr>
        <w:t>2018</w:t>
      </w:r>
      <w:r>
        <w:rPr>
          <w:rFonts w:hint="eastAsia" w:ascii="仿宋" w:hAnsi="仿宋" w:eastAsia="仿宋"/>
          <w:b w:val="0"/>
          <w:color w:val="000000"/>
        </w:rPr>
        <w:t>年度收入总计（含结转和结余）</w:t>
      </w:r>
      <w:r>
        <w:rPr>
          <w:rFonts w:ascii="仿宋" w:hAnsi="仿宋" w:eastAsia="仿宋"/>
          <w:b w:val="0"/>
          <w:color w:val="000000"/>
        </w:rPr>
        <w:t>125.55</w:t>
      </w:r>
      <w:r>
        <w:rPr>
          <w:rFonts w:hint="eastAsia" w:ascii="仿宋" w:hAnsi="仿宋" w:eastAsia="仿宋"/>
          <w:b w:val="0"/>
          <w:color w:val="000000"/>
        </w:rPr>
        <w:t>万元，支出总计</w:t>
      </w:r>
      <w:r>
        <w:rPr>
          <w:rFonts w:ascii="仿宋" w:hAnsi="仿宋" w:eastAsia="仿宋"/>
          <w:b w:val="0"/>
          <w:color w:val="000000"/>
        </w:rPr>
        <w:t>125.55</w:t>
      </w:r>
      <w:r>
        <w:rPr>
          <w:rFonts w:hint="eastAsia" w:ascii="仿宋" w:hAnsi="仿宋" w:eastAsia="仿宋"/>
          <w:b w:val="0"/>
          <w:color w:val="000000"/>
        </w:rPr>
        <w:t>万元，结转资金</w:t>
      </w:r>
      <w:r>
        <w:rPr>
          <w:rFonts w:ascii="仿宋" w:hAnsi="仿宋" w:eastAsia="仿宋"/>
          <w:b w:val="0"/>
          <w:color w:val="000000"/>
        </w:rPr>
        <w:t>3.21</w:t>
      </w:r>
      <w:r>
        <w:rPr>
          <w:rFonts w:hint="eastAsia" w:ascii="仿宋" w:hAnsi="仿宋" w:eastAsia="仿宋"/>
          <w:b w:val="0"/>
          <w:color w:val="000000"/>
        </w:rPr>
        <w:t>万元。与</w:t>
      </w:r>
      <w:r>
        <w:rPr>
          <w:rFonts w:ascii="仿宋" w:hAnsi="仿宋" w:eastAsia="仿宋"/>
          <w:b w:val="0"/>
          <w:color w:val="000000"/>
        </w:rPr>
        <w:t>2017</w:t>
      </w:r>
      <w:r>
        <w:rPr>
          <w:rFonts w:hint="eastAsia" w:ascii="仿宋" w:hAnsi="仿宋" w:eastAsia="仿宋"/>
          <w:b w:val="0"/>
          <w:color w:val="000000"/>
        </w:rPr>
        <w:t>年度决算相比，收入增加</w:t>
      </w:r>
      <w:r>
        <w:rPr>
          <w:rFonts w:ascii="仿宋" w:hAnsi="仿宋" w:eastAsia="仿宋"/>
          <w:b w:val="0"/>
          <w:color w:val="000000"/>
        </w:rPr>
        <w:t>10.49</w:t>
      </w:r>
      <w:r>
        <w:rPr>
          <w:rFonts w:hint="eastAsia" w:ascii="仿宋" w:hAnsi="仿宋" w:eastAsia="仿宋"/>
          <w:b w:val="0"/>
          <w:color w:val="000000"/>
        </w:rPr>
        <w:t>万元，增长</w:t>
      </w:r>
      <w:r>
        <w:rPr>
          <w:rFonts w:ascii="仿宋" w:hAnsi="仿宋" w:eastAsia="仿宋"/>
          <w:b w:val="0"/>
          <w:color w:val="000000"/>
        </w:rPr>
        <w:t>9.12%</w:t>
      </w:r>
      <w:r>
        <w:rPr>
          <w:rFonts w:hint="eastAsia" w:ascii="仿宋" w:hAnsi="仿宋" w:eastAsia="仿宋"/>
          <w:b w:val="0"/>
          <w:color w:val="000000"/>
        </w:rPr>
        <w:t>，主要是人员经费以及项目资金调整。支出总计</w:t>
      </w:r>
      <w:r>
        <w:rPr>
          <w:rFonts w:ascii="仿宋" w:hAnsi="仿宋" w:eastAsia="仿宋"/>
          <w:b w:val="0"/>
          <w:color w:val="000000"/>
        </w:rPr>
        <w:t>125.55</w:t>
      </w:r>
      <w:r>
        <w:rPr>
          <w:rFonts w:hint="eastAsia" w:ascii="仿宋" w:hAnsi="仿宋" w:eastAsia="仿宋"/>
          <w:b w:val="0"/>
          <w:color w:val="000000"/>
        </w:rPr>
        <w:t>万元，增加</w:t>
      </w:r>
      <w:r>
        <w:rPr>
          <w:rFonts w:ascii="仿宋" w:hAnsi="仿宋" w:eastAsia="仿宋"/>
          <w:b w:val="0"/>
          <w:color w:val="000000"/>
        </w:rPr>
        <w:t>10.49</w:t>
      </w:r>
      <w:r>
        <w:rPr>
          <w:rFonts w:hint="eastAsia" w:ascii="仿宋" w:hAnsi="仿宋" w:eastAsia="仿宋"/>
          <w:b w:val="0"/>
          <w:color w:val="000000"/>
        </w:rPr>
        <w:t>万元，增长</w:t>
      </w:r>
      <w:r>
        <w:rPr>
          <w:rFonts w:ascii="仿宋" w:hAnsi="仿宋" w:eastAsia="仿宋"/>
          <w:b w:val="0"/>
          <w:color w:val="000000"/>
        </w:rPr>
        <w:t>9.12%</w:t>
      </w:r>
      <w:r>
        <w:rPr>
          <w:rFonts w:hint="eastAsia" w:ascii="仿宋" w:hAnsi="仿宋" w:eastAsia="仿宋"/>
          <w:b w:val="0"/>
          <w:color w:val="000000"/>
        </w:rPr>
        <w:t>，主要是人员经费以及项目资金调整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line="584"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本部门</w:t>
      </w:r>
      <w:r>
        <w:rPr>
          <w:rFonts w:ascii="仿宋" w:hAnsi="仿宋" w:eastAsia="仿宋"/>
          <w:color w:val="000000"/>
          <w:sz w:val="32"/>
          <w:szCs w:val="32"/>
        </w:rPr>
        <w:t>2018</w:t>
      </w:r>
      <w:r>
        <w:rPr>
          <w:rFonts w:hint="eastAsia" w:ascii="仿宋" w:hAnsi="仿宋" w:eastAsia="仿宋"/>
          <w:color w:val="000000"/>
          <w:sz w:val="32"/>
          <w:szCs w:val="32"/>
        </w:rPr>
        <w:t>年度本年收入合计</w:t>
      </w:r>
      <w:r>
        <w:rPr>
          <w:rFonts w:ascii="仿宋" w:hAnsi="仿宋" w:eastAsia="仿宋"/>
          <w:color w:val="000000"/>
          <w:sz w:val="32"/>
          <w:szCs w:val="32"/>
        </w:rPr>
        <w:t>125.55</w:t>
      </w:r>
      <w:r>
        <w:rPr>
          <w:rFonts w:hint="eastAsia" w:ascii="仿宋" w:hAnsi="仿宋" w:eastAsia="仿宋"/>
          <w:color w:val="000000"/>
          <w:sz w:val="32"/>
          <w:szCs w:val="32"/>
        </w:rPr>
        <w:t>万元，其中：财政拨款收入</w:t>
      </w:r>
      <w:r>
        <w:rPr>
          <w:rFonts w:ascii="仿宋" w:hAnsi="仿宋" w:eastAsia="仿宋"/>
          <w:color w:val="000000"/>
          <w:sz w:val="32"/>
          <w:szCs w:val="32"/>
        </w:rPr>
        <w:t>125.55</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；无经营收入及其他收入，占</w:t>
      </w:r>
      <w:r>
        <w:rPr>
          <w:rFonts w:ascii="仿宋" w:hAnsi="仿宋" w:eastAsia="仿宋"/>
          <w:color w:val="000000"/>
          <w:sz w:val="32"/>
          <w:szCs w:val="32"/>
        </w:rPr>
        <w:t>0%</w:t>
      </w:r>
      <w:r>
        <w:rPr>
          <w:rFonts w:hint="eastAsia" w:ascii="仿宋" w:hAnsi="仿宋" w:eastAsia="仿宋"/>
          <w:color w:val="000000"/>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jc w:val="center"/>
        <w:rPr>
          <w:rFonts w:ascii="黑体" w:hAnsi="Calibri" w:eastAsia="黑体"/>
          <w:sz w:val="32"/>
          <w:szCs w:val="32"/>
        </w:rPr>
      </w:pPr>
      <w:r>
        <w:object>
          <v:shape id="_x0000_i1025" o:spt="75" type="#_x0000_t75" style="height:264.65pt;width:350pt;" o:ole="t" filled="f" o:preferrelative="t" stroked="f" coordsize="21600,21600">
            <v:path/>
            <v:fill on="f" focussize="0,0"/>
            <v:stroke on="f" joinstyle="miter"/>
            <v:imagedata r:id="rId7" cropbottom="-12f" o:title=""/>
            <o:lock v:ext="edit" aspectratio="f"/>
            <w10:wrap type="none"/>
            <w10:anchorlock/>
          </v:shape>
          <o:OLEObject Type="Embed" ProgID="Excel.Chart.8" ShapeID="_x0000_i1025" DrawAspect="Content" ObjectID="_1468075725" r:id="rId6">
            <o:LockedField>false</o:LockedField>
          </o:OLEObject>
        </w:object>
      </w:r>
    </w:p>
    <w:p>
      <w:pPr>
        <w:jc w:val="cente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本部门</w:t>
      </w:r>
      <w:r>
        <w:rPr>
          <w:rFonts w:ascii="仿宋" w:hAnsi="仿宋" w:eastAsia="仿宋"/>
          <w:color w:val="000000"/>
          <w:sz w:val="32"/>
          <w:szCs w:val="32"/>
        </w:rPr>
        <w:t>2018</w:t>
      </w:r>
      <w:r>
        <w:rPr>
          <w:rFonts w:hint="eastAsia" w:ascii="仿宋" w:hAnsi="仿宋" w:eastAsia="仿宋"/>
          <w:color w:val="000000"/>
          <w:sz w:val="32"/>
          <w:szCs w:val="32"/>
        </w:rPr>
        <w:t>年度本年支出合计</w:t>
      </w:r>
      <w:r>
        <w:rPr>
          <w:rFonts w:ascii="仿宋" w:hAnsi="仿宋" w:eastAsia="仿宋"/>
          <w:color w:val="000000"/>
          <w:sz w:val="32"/>
          <w:szCs w:val="32"/>
        </w:rPr>
        <w:t>122.34</w:t>
      </w:r>
      <w:r>
        <w:rPr>
          <w:rFonts w:hint="eastAsia" w:ascii="仿宋" w:hAnsi="仿宋" w:eastAsia="仿宋"/>
          <w:color w:val="000000"/>
          <w:sz w:val="32"/>
          <w:szCs w:val="32"/>
        </w:rPr>
        <w:t>万元，其中：基本支出</w:t>
      </w:r>
      <w:r>
        <w:rPr>
          <w:rFonts w:ascii="仿宋" w:hAnsi="仿宋" w:eastAsia="仿宋"/>
          <w:color w:val="000000"/>
          <w:sz w:val="32"/>
          <w:szCs w:val="32"/>
        </w:rPr>
        <w:t>88.84</w:t>
      </w:r>
      <w:r>
        <w:rPr>
          <w:rFonts w:hint="eastAsia" w:ascii="仿宋" w:hAnsi="仿宋" w:eastAsia="仿宋"/>
          <w:color w:val="000000"/>
          <w:sz w:val="32"/>
          <w:szCs w:val="32"/>
        </w:rPr>
        <w:t>万元，占</w:t>
      </w:r>
      <w:r>
        <w:rPr>
          <w:rFonts w:ascii="仿宋" w:hAnsi="仿宋" w:eastAsia="仿宋"/>
          <w:color w:val="000000"/>
          <w:sz w:val="32"/>
          <w:szCs w:val="32"/>
        </w:rPr>
        <w:t>72.62%</w:t>
      </w:r>
      <w:r>
        <w:rPr>
          <w:rFonts w:hint="eastAsia" w:ascii="仿宋" w:hAnsi="仿宋" w:eastAsia="仿宋"/>
          <w:color w:val="000000"/>
          <w:sz w:val="32"/>
          <w:szCs w:val="32"/>
        </w:rPr>
        <w:t>；项目支出</w:t>
      </w:r>
      <w:r>
        <w:rPr>
          <w:rFonts w:ascii="仿宋" w:hAnsi="仿宋" w:eastAsia="仿宋"/>
          <w:color w:val="000000"/>
          <w:sz w:val="32"/>
          <w:szCs w:val="32"/>
        </w:rPr>
        <w:t>33.5</w:t>
      </w:r>
      <w:r>
        <w:rPr>
          <w:rFonts w:hint="eastAsia" w:ascii="仿宋" w:hAnsi="仿宋" w:eastAsia="仿宋"/>
          <w:color w:val="000000"/>
          <w:sz w:val="32"/>
          <w:szCs w:val="32"/>
        </w:rPr>
        <w:t>万元，占</w:t>
      </w:r>
      <w:r>
        <w:rPr>
          <w:rFonts w:ascii="仿宋" w:hAnsi="仿宋" w:eastAsia="仿宋"/>
          <w:color w:val="000000"/>
          <w:sz w:val="32"/>
          <w:szCs w:val="32"/>
        </w:rPr>
        <w:t>27.38%</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420" w:firstLineChars="200"/>
        <w:rPr>
          <w:rFonts w:ascii="仿宋_GB2312" w:eastAsia="仿宋_GB2312" w:cs="DengXian-Regular"/>
          <w:sz w:val="32"/>
          <w:szCs w:val="32"/>
        </w:rPr>
      </w:pPr>
      <w:r>
        <w:pict>
          <v:shape id="_x0000_s1026" o:spid="_x0000_s1026" o:spt="75" type="#_x0000_t75" style="position:absolute;left:0pt;margin-left:31.4pt;margin-top:-278.45pt;height:300.5pt;width:401.3pt;z-index:251659264;mso-width-relative:page;mso-height-relative:page;" o:ole="t" filled="f" o:preferrelative="t" stroked="f" coordsize="21600,21600">
            <v:path/>
            <v:fill on="f" focussize="0,0"/>
            <v:stroke on="f" joinstyle="miter"/>
            <v:imagedata r:id="rId9" o:title=""/>
            <o:lock v:ext="edit" aspectratio="t"/>
          </v:shape>
          <o:OLEObject Type="Embed" ProgID="Excel.Chart.8" ShapeID="_x0000_s1026" DrawAspect="Content" ObjectID="_1468075726" r:id="rId8">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本部门</w:t>
      </w:r>
      <w:r>
        <w:rPr>
          <w:rFonts w:ascii="仿宋" w:hAnsi="仿宋" w:eastAsia="仿宋"/>
          <w:color w:val="000000"/>
          <w:sz w:val="32"/>
          <w:szCs w:val="32"/>
        </w:rPr>
        <w:t>2018</w:t>
      </w:r>
      <w:r>
        <w:rPr>
          <w:rFonts w:hint="eastAsia" w:ascii="仿宋" w:hAnsi="仿宋" w:eastAsia="仿宋"/>
          <w:color w:val="000000"/>
          <w:sz w:val="32"/>
          <w:szCs w:val="32"/>
        </w:rPr>
        <w:t>年度形成的财政拨款收支均为一般公共预算财政拨款，其中一般公共预算财政拨款本年收入</w:t>
      </w:r>
      <w:r>
        <w:rPr>
          <w:rFonts w:ascii="仿宋" w:hAnsi="仿宋" w:eastAsia="仿宋"/>
          <w:color w:val="000000"/>
          <w:sz w:val="32"/>
          <w:szCs w:val="32"/>
        </w:rPr>
        <w:t>125.55</w:t>
      </w:r>
      <w:r>
        <w:rPr>
          <w:rFonts w:hint="eastAsia" w:ascii="仿宋" w:hAnsi="仿宋" w:eastAsia="仿宋"/>
          <w:color w:val="000000"/>
          <w:sz w:val="32"/>
          <w:szCs w:val="32"/>
        </w:rPr>
        <w:t>万元</w:t>
      </w:r>
      <w:r>
        <w:rPr>
          <w:rFonts w:ascii="仿宋" w:hAnsi="仿宋" w:eastAsia="仿宋"/>
          <w:color w:val="000000"/>
          <w:sz w:val="32"/>
          <w:szCs w:val="32"/>
        </w:rPr>
        <w:t>,</w:t>
      </w:r>
      <w:r>
        <w:rPr>
          <w:rFonts w:hint="eastAsia" w:ascii="仿宋" w:hAnsi="仿宋" w:eastAsia="仿宋"/>
          <w:color w:val="000000"/>
          <w:sz w:val="32"/>
          <w:szCs w:val="32"/>
        </w:rPr>
        <w:t>比</w:t>
      </w:r>
      <w:r>
        <w:rPr>
          <w:rFonts w:ascii="仿宋" w:hAnsi="仿宋" w:eastAsia="仿宋"/>
          <w:color w:val="000000"/>
          <w:sz w:val="32"/>
          <w:szCs w:val="32"/>
        </w:rPr>
        <w:t>2017</w:t>
      </w:r>
      <w:r>
        <w:rPr>
          <w:rFonts w:hint="eastAsia" w:ascii="仿宋" w:hAnsi="仿宋" w:eastAsia="仿宋"/>
          <w:color w:val="000000"/>
          <w:sz w:val="32"/>
          <w:szCs w:val="32"/>
        </w:rPr>
        <w:t>年度增加</w:t>
      </w:r>
      <w:r>
        <w:rPr>
          <w:rFonts w:ascii="仿宋" w:hAnsi="仿宋" w:eastAsia="仿宋"/>
          <w:color w:val="000000"/>
          <w:sz w:val="32"/>
          <w:szCs w:val="32"/>
        </w:rPr>
        <w:t>10.49</w:t>
      </w:r>
      <w:r>
        <w:rPr>
          <w:rFonts w:hint="eastAsia" w:ascii="仿宋" w:hAnsi="仿宋" w:eastAsia="仿宋"/>
          <w:color w:val="000000"/>
          <w:sz w:val="32"/>
          <w:szCs w:val="32"/>
        </w:rPr>
        <w:t>万元，增长</w:t>
      </w:r>
      <w:r>
        <w:rPr>
          <w:rFonts w:ascii="仿宋" w:hAnsi="仿宋" w:eastAsia="仿宋"/>
          <w:color w:val="000000"/>
          <w:sz w:val="32"/>
          <w:szCs w:val="32"/>
        </w:rPr>
        <w:t>9.12%</w:t>
      </w:r>
      <w:r>
        <w:rPr>
          <w:rFonts w:hint="eastAsia" w:ascii="仿宋" w:hAnsi="仿宋" w:eastAsia="仿宋"/>
          <w:color w:val="000000"/>
          <w:sz w:val="32"/>
          <w:szCs w:val="32"/>
        </w:rPr>
        <w:t>，主要是人员经费调整，项目资金调整；本年支出</w:t>
      </w:r>
      <w:r>
        <w:rPr>
          <w:rFonts w:ascii="仿宋" w:hAnsi="仿宋" w:eastAsia="仿宋"/>
          <w:color w:val="000000"/>
          <w:sz w:val="32"/>
          <w:szCs w:val="32"/>
        </w:rPr>
        <w:t>122.34</w:t>
      </w:r>
      <w:r>
        <w:rPr>
          <w:rFonts w:hint="eastAsia" w:ascii="仿宋" w:hAnsi="仿宋" w:eastAsia="仿宋"/>
          <w:color w:val="000000"/>
          <w:sz w:val="32"/>
          <w:szCs w:val="32"/>
        </w:rPr>
        <w:t>万元，增加</w:t>
      </w:r>
      <w:r>
        <w:rPr>
          <w:rFonts w:ascii="仿宋" w:hAnsi="仿宋" w:eastAsia="仿宋"/>
          <w:color w:val="000000"/>
          <w:sz w:val="32"/>
          <w:szCs w:val="32"/>
        </w:rPr>
        <w:t>7.28</w:t>
      </w:r>
      <w:r>
        <w:rPr>
          <w:rFonts w:hint="eastAsia" w:ascii="仿宋" w:hAnsi="仿宋" w:eastAsia="仿宋"/>
          <w:color w:val="000000"/>
          <w:sz w:val="32"/>
          <w:szCs w:val="32"/>
        </w:rPr>
        <w:t>万元，增长</w:t>
      </w:r>
      <w:r>
        <w:rPr>
          <w:rFonts w:ascii="仿宋" w:hAnsi="仿宋" w:eastAsia="仿宋"/>
          <w:color w:val="000000"/>
          <w:sz w:val="32"/>
          <w:szCs w:val="32"/>
        </w:rPr>
        <w:t>6.33%</w:t>
      </w:r>
      <w:r>
        <w:rPr>
          <w:rFonts w:hint="eastAsia" w:ascii="仿宋" w:hAnsi="仿宋" w:eastAsia="仿宋"/>
          <w:color w:val="000000"/>
          <w:sz w:val="32"/>
          <w:szCs w:val="32"/>
        </w:rPr>
        <w:t>，主要是人员增资，项目资金调整。</w:t>
      </w:r>
    </w:p>
    <w:p>
      <w:pPr>
        <w:jc w:val="center"/>
        <w:rPr>
          <w:rFonts w:ascii="仿宋_GB2312" w:eastAsia="仿宋_GB2312" w:cs="DengXian-Regular"/>
          <w:sz w:val="32"/>
          <w:szCs w:val="32"/>
        </w:rPr>
      </w:pPr>
      <w:r>
        <w:rPr>
          <w:rFonts w:hint="eastAsia"/>
          <w:sz w:val="32"/>
          <w:szCs w:val="32"/>
        </w:rPr>
        <w:t>图</w:t>
      </w:r>
      <w:r>
        <w:rPr>
          <w:sz w:val="32"/>
          <w:szCs w:val="32"/>
        </w:rPr>
        <w:t>3</w:t>
      </w:r>
      <w:r>
        <w:rPr>
          <w:rFonts w:hint="eastAsia"/>
          <w:sz w:val="32"/>
          <w:szCs w:val="32"/>
        </w:rPr>
        <w:t>：财政拨款收支情况</w:t>
      </w:r>
      <w:r>
        <w:rPr>
          <w:rStyle w:val="28"/>
        </w:rPr>
        <w:object>
          <v:shape id="_x0000_i1026" o:spt="75" type="#_x0000_t75" style="height:336.65pt;width:434.65pt;" o:ole="t" filled="f" o:preferrelative="t" stroked="f" coordsize="21600,21600">
            <v:path/>
            <v:fill on="f" focussize="0,0"/>
            <v:stroke on="f" joinstyle="miter"/>
            <v:imagedata r:id="rId11" cropbottom="-39f" o:title=""/>
            <o:lock v:ext="edit" aspectratio="f"/>
            <w10:wrap type="none"/>
            <w10:anchorlock/>
          </v:shape>
          <o:OLEObject Type="Embed" ProgID="Excel.Chart.8" ShapeID="_x0000_i1026" DrawAspect="Content" ObjectID="_1468075727" r:id="rId10">
            <o:LockedField>false</o:LockedField>
          </o:OLEObject>
        </w:obje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olor w:val="000000"/>
          <w:sz w:val="32"/>
          <w:szCs w:val="32"/>
        </w:rPr>
        <w:t>本部门</w:t>
      </w:r>
      <w:r>
        <w:rPr>
          <w:rFonts w:ascii="仿宋" w:hAnsi="仿宋" w:eastAsia="仿宋"/>
          <w:color w:val="000000"/>
          <w:sz w:val="32"/>
          <w:szCs w:val="32"/>
        </w:rPr>
        <w:t>2018</w:t>
      </w:r>
      <w:r>
        <w:rPr>
          <w:rFonts w:hint="eastAsia" w:ascii="仿宋" w:hAnsi="仿宋" w:eastAsia="仿宋"/>
          <w:color w:val="000000"/>
          <w:sz w:val="32"/>
          <w:szCs w:val="32"/>
        </w:rPr>
        <w:t>年度一般公共预算财政拨款收入</w:t>
      </w:r>
      <w:r>
        <w:rPr>
          <w:rFonts w:ascii="仿宋" w:hAnsi="仿宋" w:eastAsia="仿宋"/>
          <w:color w:val="000000"/>
          <w:sz w:val="32"/>
          <w:szCs w:val="32"/>
        </w:rPr>
        <w:t>125.55</w:t>
      </w:r>
      <w:r>
        <w:rPr>
          <w:rFonts w:hint="eastAsia" w:ascii="仿宋" w:hAnsi="仿宋" w:eastAsia="仿宋"/>
          <w:color w:val="000000"/>
          <w:sz w:val="32"/>
          <w:szCs w:val="32"/>
        </w:rPr>
        <w:t>万元，完成年初预算的</w:t>
      </w:r>
      <w:r>
        <w:rPr>
          <w:rFonts w:ascii="仿宋" w:hAnsi="仿宋" w:eastAsia="仿宋"/>
          <w:color w:val="000000"/>
          <w:sz w:val="32"/>
          <w:szCs w:val="32"/>
        </w:rPr>
        <w:t>113.50%,</w:t>
      </w:r>
      <w:r>
        <w:rPr>
          <w:rFonts w:hint="eastAsia" w:ascii="仿宋" w:hAnsi="仿宋" w:eastAsia="仿宋"/>
          <w:color w:val="000000"/>
          <w:sz w:val="32"/>
          <w:szCs w:val="32"/>
        </w:rPr>
        <w:t>比年初预算增加</w:t>
      </w:r>
      <w:r>
        <w:rPr>
          <w:rFonts w:ascii="仿宋" w:hAnsi="仿宋" w:eastAsia="仿宋"/>
          <w:color w:val="000000"/>
          <w:sz w:val="32"/>
          <w:szCs w:val="32"/>
        </w:rPr>
        <w:t>14.93</w:t>
      </w:r>
      <w:r>
        <w:rPr>
          <w:rFonts w:hint="eastAsia" w:ascii="仿宋" w:hAnsi="仿宋" w:eastAsia="仿宋"/>
          <w:color w:val="000000"/>
          <w:sz w:val="32"/>
          <w:szCs w:val="32"/>
        </w:rPr>
        <w:t>万元，决算数大于预算数主要是人员经费调整，项目资金调整；本年支出</w:t>
      </w:r>
      <w:r>
        <w:rPr>
          <w:rFonts w:ascii="仿宋" w:hAnsi="仿宋" w:eastAsia="仿宋"/>
          <w:color w:val="000000"/>
          <w:sz w:val="32"/>
          <w:szCs w:val="32"/>
        </w:rPr>
        <w:t>122.34</w:t>
      </w:r>
      <w:r>
        <w:rPr>
          <w:rFonts w:hint="eastAsia" w:ascii="仿宋" w:hAnsi="仿宋" w:eastAsia="仿宋"/>
          <w:color w:val="000000"/>
          <w:sz w:val="32"/>
          <w:szCs w:val="32"/>
        </w:rPr>
        <w:t>万元，完成年初预算的</w:t>
      </w:r>
      <w:r>
        <w:rPr>
          <w:rFonts w:ascii="仿宋" w:hAnsi="仿宋" w:eastAsia="仿宋"/>
          <w:color w:val="000000"/>
          <w:sz w:val="32"/>
          <w:szCs w:val="32"/>
        </w:rPr>
        <w:t>110.59%,</w:t>
      </w:r>
      <w:r>
        <w:rPr>
          <w:rFonts w:hint="eastAsia" w:ascii="仿宋" w:hAnsi="仿宋" w:eastAsia="仿宋"/>
          <w:color w:val="000000"/>
          <w:sz w:val="32"/>
          <w:szCs w:val="32"/>
        </w:rPr>
        <w:t>比年初预算增加</w:t>
      </w:r>
      <w:r>
        <w:rPr>
          <w:rFonts w:ascii="仿宋" w:hAnsi="仿宋" w:eastAsia="仿宋"/>
          <w:color w:val="000000"/>
          <w:sz w:val="32"/>
          <w:szCs w:val="32"/>
        </w:rPr>
        <w:t>11.72</w:t>
      </w:r>
      <w:r>
        <w:rPr>
          <w:rFonts w:hint="eastAsia" w:ascii="仿宋" w:hAnsi="仿宋" w:eastAsia="仿宋"/>
          <w:color w:val="000000"/>
          <w:sz w:val="32"/>
          <w:szCs w:val="32"/>
        </w:rPr>
        <w:t>万元，决算数大于预算数主要是人员经费调整，项目资金调整。</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rPr>
          <w:rFonts w:ascii="仿宋_GB2312" w:eastAsia="仿宋_GB2312" w:cs="DengXian-Regular"/>
          <w:sz w:val="24"/>
        </w:rPr>
      </w:pPr>
      <w:r>
        <w:rPr>
          <w:rStyle w:val="28"/>
        </w:rPr>
        <w:object>
          <v:shape id="_x0000_i1027" o:spt="75" type="#_x0000_t75" style="height:348.65pt;width:434.65pt;" o:ole="t" filled="f" o:preferrelative="t" stroked="f" coordsize="21600,21600">
            <v:path/>
            <v:fill on="f" focussize="0,0"/>
            <v:stroke on="f" joinstyle="miter"/>
            <v:imagedata r:id="rId13" o:title=""/>
            <o:lock v:ext="edit" aspectratio="f"/>
            <w10:wrap type="none"/>
            <w10:anchorlock/>
          </v:shape>
          <o:OLEObject Type="Embed" ProgID="Excel.Chart.8" ShapeID="_x0000_i1027" DrawAspect="Content" ObjectID="_1468075728" r:id="rId12">
            <o:LockedField>false</o:LockedField>
          </o:OLEObject>
        </w:object>
      </w: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 w:hAnsi="仿宋" w:eastAsia="仿宋" w:cs="DengXian-Regular"/>
          <w:sz w:val="32"/>
          <w:szCs w:val="32"/>
        </w:rPr>
      </w:pPr>
      <w:r>
        <w:rPr>
          <w:rFonts w:ascii="仿宋" w:hAnsi="仿宋" w:eastAsia="仿宋"/>
          <w:color w:val="000000"/>
          <w:sz w:val="32"/>
          <w:szCs w:val="32"/>
        </w:rPr>
        <w:t xml:space="preserve">2018 </w:t>
      </w:r>
      <w:r>
        <w:rPr>
          <w:rFonts w:hint="eastAsia" w:ascii="仿宋" w:hAnsi="仿宋" w:eastAsia="仿宋"/>
          <w:color w:val="000000"/>
          <w:sz w:val="32"/>
          <w:szCs w:val="32"/>
        </w:rPr>
        <w:t>年度财政拨款支出</w:t>
      </w:r>
      <w:r>
        <w:rPr>
          <w:rFonts w:ascii="仿宋" w:hAnsi="仿宋" w:eastAsia="仿宋"/>
          <w:color w:val="000000"/>
          <w:sz w:val="32"/>
          <w:szCs w:val="32"/>
        </w:rPr>
        <w:t>122.34</w:t>
      </w:r>
      <w:r>
        <w:rPr>
          <w:rFonts w:hint="eastAsia" w:ascii="仿宋" w:hAnsi="仿宋" w:eastAsia="仿宋"/>
          <w:color w:val="000000"/>
          <w:sz w:val="32"/>
          <w:szCs w:val="32"/>
        </w:rPr>
        <w:t>万元，主要用于以下方面一般公共服务（类）支出</w:t>
      </w:r>
      <w:r>
        <w:rPr>
          <w:rFonts w:ascii="仿宋" w:hAnsi="仿宋" w:eastAsia="仿宋"/>
          <w:color w:val="000000"/>
          <w:sz w:val="32"/>
          <w:szCs w:val="32"/>
        </w:rPr>
        <w:t>109.39</w:t>
      </w:r>
      <w:r>
        <w:rPr>
          <w:rFonts w:hint="eastAsia" w:ascii="仿宋" w:hAnsi="仿宋" w:eastAsia="仿宋"/>
          <w:color w:val="000000"/>
          <w:sz w:val="32"/>
          <w:szCs w:val="32"/>
        </w:rPr>
        <w:t>万元，占</w:t>
      </w:r>
      <w:r>
        <w:rPr>
          <w:rFonts w:ascii="仿宋" w:hAnsi="仿宋" w:eastAsia="仿宋"/>
          <w:color w:val="000000"/>
          <w:sz w:val="32"/>
          <w:szCs w:val="32"/>
        </w:rPr>
        <w:t>89.41%</w:t>
      </w:r>
      <w:r>
        <w:rPr>
          <w:rFonts w:hint="eastAsia" w:ascii="仿宋" w:hAnsi="仿宋" w:eastAsia="仿宋"/>
          <w:color w:val="000000"/>
          <w:sz w:val="32"/>
          <w:szCs w:val="32"/>
        </w:rPr>
        <w:t>；公共安全（类）支出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；教育（类）支出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；科学技术（类）支出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 xml:space="preserve"> 0%</w:t>
      </w:r>
      <w:r>
        <w:rPr>
          <w:rFonts w:hint="eastAsia" w:ascii="仿宋" w:hAnsi="仿宋" w:eastAsia="仿宋"/>
          <w:color w:val="000000"/>
          <w:sz w:val="32"/>
          <w:szCs w:val="32"/>
        </w:rPr>
        <w:t>；社会保障和就业（类）支出</w:t>
      </w:r>
      <w:r>
        <w:rPr>
          <w:rFonts w:ascii="仿宋" w:hAnsi="仿宋" w:eastAsia="仿宋"/>
          <w:color w:val="000000"/>
          <w:sz w:val="32"/>
          <w:szCs w:val="32"/>
        </w:rPr>
        <w:t xml:space="preserve"> 9.14</w:t>
      </w:r>
      <w:r>
        <w:rPr>
          <w:rFonts w:hint="eastAsia" w:ascii="仿宋" w:hAnsi="仿宋" w:eastAsia="仿宋"/>
          <w:color w:val="000000"/>
          <w:sz w:val="32"/>
          <w:szCs w:val="32"/>
        </w:rPr>
        <w:t>万元，占</w:t>
      </w:r>
      <w:r>
        <w:rPr>
          <w:rFonts w:ascii="仿宋" w:hAnsi="仿宋" w:eastAsia="仿宋"/>
          <w:color w:val="000000"/>
          <w:sz w:val="32"/>
          <w:szCs w:val="32"/>
        </w:rPr>
        <w:t>7.47%</w:t>
      </w:r>
      <w:r>
        <w:rPr>
          <w:rFonts w:hint="eastAsia" w:ascii="仿宋" w:hAnsi="仿宋" w:eastAsia="仿宋"/>
          <w:color w:val="000000"/>
          <w:sz w:val="32"/>
          <w:szCs w:val="32"/>
        </w:rPr>
        <w:t>；住房保障（类）支出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医疗卫生与计划生育（类）支出</w:t>
      </w:r>
      <w:r>
        <w:rPr>
          <w:rFonts w:ascii="仿宋" w:hAnsi="仿宋" w:eastAsia="仿宋"/>
          <w:color w:val="000000"/>
          <w:sz w:val="32"/>
          <w:szCs w:val="32"/>
        </w:rPr>
        <w:t>3.81</w:t>
      </w:r>
      <w:r>
        <w:rPr>
          <w:rFonts w:hint="eastAsia" w:ascii="仿宋" w:hAnsi="仿宋" w:eastAsia="仿宋"/>
          <w:color w:val="000000"/>
          <w:sz w:val="32"/>
          <w:szCs w:val="32"/>
        </w:rPr>
        <w:t>，占</w:t>
      </w:r>
      <w:r>
        <w:rPr>
          <w:rFonts w:ascii="仿宋" w:hAnsi="仿宋" w:eastAsia="仿宋"/>
          <w:color w:val="000000"/>
          <w:sz w:val="32"/>
          <w:szCs w:val="32"/>
        </w:rPr>
        <w:t>3.11%</w:t>
      </w:r>
      <w:r>
        <w:rPr>
          <w:rFonts w:hint="eastAsia" w:ascii="仿宋" w:hAnsi="仿宋" w:eastAsia="仿宋"/>
          <w:color w:val="000000"/>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r>
        <w:pict>
          <v:shape id="_x0000_s1027" o:spid="_x0000_s1027" o:spt="75" type="#_x0000_t75" style="position:absolute;left:0pt;margin-left:19.5pt;margin-top:-278.45pt;height:300.5pt;width:401.3pt;z-index:251659264;mso-width-relative:page;mso-height-relative:page;" o:ole="t" filled="f" o:preferrelative="t" stroked="f" coordsize="21600,21600">
            <v:path/>
            <v:fill on="f" focussize="0,0"/>
            <v:stroke on="f" joinstyle="miter"/>
            <v:imagedata r:id="rId15" o:title=""/>
            <o:lock v:ext="edit" aspectratio="t"/>
          </v:shape>
          <o:OLEObject Type="Embed" ProgID="Excel.Chart.8" ShapeID="_x0000_s1027" DrawAspect="Content" ObjectID="_1468075729" r:id="rId14">
            <o:LockedField>false</o:LockedField>
          </o:OLEObject>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 w:hAnsi="仿宋" w:eastAsia="仿宋" w:cs="DengXian-Regular"/>
          <w:sz w:val="32"/>
          <w:szCs w:val="32"/>
        </w:rPr>
      </w:pPr>
      <w:r>
        <w:rPr>
          <w:rFonts w:ascii="仿宋" w:hAnsi="仿宋" w:eastAsia="仿宋"/>
          <w:color w:val="000000"/>
          <w:sz w:val="32"/>
          <w:szCs w:val="32"/>
        </w:rPr>
        <w:t xml:space="preserve">2018 </w:t>
      </w:r>
      <w:r>
        <w:rPr>
          <w:rFonts w:hint="eastAsia" w:ascii="仿宋" w:hAnsi="仿宋" w:eastAsia="仿宋"/>
          <w:color w:val="000000"/>
          <w:sz w:val="32"/>
          <w:szCs w:val="32"/>
        </w:rPr>
        <w:t>年度一般公共预算财政拨款基本支出</w:t>
      </w:r>
      <w:r>
        <w:rPr>
          <w:rFonts w:ascii="仿宋" w:hAnsi="仿宋" w:eastAsia="仿宋"/>
          <w:color w:val="000000"/>
          <w:sz w:val="32"/>
          <w:szCs w:val="32"/>
        </w:rPr>
        <w:t>88.84</w:t>
      </w:r>
      <w:r>
        <w:rPr>
          <w:rFonts w:hint="eastAsia" w:ascii="仿宋" w:hAnsi="仿宋" w:eastAsia="仿宋"/>
          <w:color w:val="000000"/>
          <w:sz w:val="32"/>
          <w:szCs w:val="32"/>
        </w:rPr>
        <w:t>万元，其中：人员经费</w:t>
      </w:r>
      <w:r>
        <w:rPr>
          <w:rFonts w:ascii="仿宋" w:hAnsi="仿宋" w:eastAsia="仿宋"/>
          <w:color w:val="000000"/>
          <w:sz w:val="32"/>
          <w:szCs w:val="32"/>
        </w:rPr>
        <w:t xml:space="preserve"> 79.40</w:t>
      </w:r>
      <w:r>
        <w:rPr>
          <w:rFonts w:hint="eastAsia" w:ascii="仿宋" w:hAnsi="仿宋" w:eastAsia="仿宋"/>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 w:hAnsi="仿宋" w:eastAsia="仿宋"/>
          <w:color w:val="000000"/>
          <w:sz w:val="32"/>
          <w:szCs w:val="32"/>
        </w:rPr>
        <w:t>9.44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r>
        <w:rPr>
          <w:rFonts w:hint="eastAsia" w:ascii="仿宋" w:hAnsi="仿宋" w:eastAsia="仿宋"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ascii="仿宋" w:hAnsi="仿宋" w:eastAsia="仿宋"/>
          <w:sz w:val="32"/>
          <w:szCs w:val="32"/>
          <w:highlight w:val="yellow"/>
        </w:rPr>
      </w:pPr>
      <w:r>
        <w:rPr>
          <w:rFonts w:hint="eastAsia" w:ascii="仿宋" w:hAnsi="仿宋" w:eastAsia="仿宋"/>
          <w:sz w:val="32"/>
          <w:szCs w:val="32"/>
        </w:rPr>
        <w:t>本部门</w:t>
      </w:r>
      <w:r>
        <w:rPr>
          <w:rFonts w:ascii="仿宋" w:hAnsi="仿宋" w:eastAsia="仿宋"/>
          <w:sz w:val="32"/>
          <w:szCs w:val="32"/>
        </w:rPr>
        <w:t>2018</w:t>
      </w:r>
      <w:r>
        <w:rPr>
          <w:rFonts w:hint="eastAsia" w:ascii="仿宋" w:hAnsi="仿宋" w:eastAsia="仿宋"/>
          <w:sz w:val="32"/>
          <w:szCs w:val="32"/>
        </w:rPr>
        <w:t>年度一般公共预算财政拨款“三公”经费支出共计</w:t>
      </w:r>
      <w:r>
        <w:rPr>
          <w:rFonts w:ascii="仿宋" w:hAnsi="仿宋" w:eastAsia="仿宋"/>
          <w:sz w:val="32"/>
          <w:szCs w:val="32"/>
        </w:rPr>
        <w:t>3.5</w:t>
      </w:r>
      <w:r>
        <w:rPr>
          <w:rFonts w:hint="eastAsia" w:ascii="仿宋" w:hAnsi="仿宋" w:eastAsia="仿宋"/>
          <w:sz w:val="32"/>
          <w:szCs w:val="32"/>
        </w:rPr>
        <w:t>万元，比年初预算增加</w:t>
      </w:r>
      <w:r>
        <w:rPr>
          <w:rFonts w:ascii="仿宋" w:hAnsi="仿宋" w:eastAsia="仿宋"/>
          <w:sz w:val="32"/>
          <w:szCs w:val="32"/>
        </w:rPr>
        <w:t>0</w:t>
      </w:r>
      <w:r>
        <w:rPr>
          <w:rFonts w:hint="eastAsia" w:ascii="仿宋" w:hAnsi="仿宋" w:eastAsia="仿宋"/>
          <w:sz w:val="32"/>
          <w:szCs w:val="32"/>
        </w:rPr>
        <w:t>万元，增长</w:t>
      </w:r>
      <w:r>
        <w:rPr>
          <w:rFonts w:ascii="仿宋" w:hAnsi="仿宋" w:eastAsia="仿宋"/>
          <w:sz w:val="32"/>
          <w:szCs w:val="32"/>
        </w:rPr>
        <w:t>0%</w:t>
      </w:r>
      <w:r>
        <w:rPr>
          <w:rFonts w:hint="eastAsia" w:ascii="仿宋" w:hAnsi="仿宋" w:eastAsia="仿宋"/>
          <w:sz w:val="32"/>
          <w:szCs w:val="32"/>
        </w:rPr>
        <w:t>，主要是较年初无增减变化；比</w:t>
      </w:r>
      <w:r>
        <w:rPr>
          <w:rFonts w:ascii="仿宋" w:hAnsi="仿宋" w:eastAsia="仿宋"/>
          <w:sz w:val="32"/>
          <w:szCs w:val="32"/>
        </w:rPr>
        <w:t>2017</w:t>
      </w:r>
      <w:r>
        <w:rPr>
          <w:rFonts w:hint="eastAsia" w:ascii="仿宋" w:hAnsi="仿宋" w:eastAsia="仿宋"/>
          <w:sz w:val="32"/>
          <w:szCs w:val="32"/>
        </w:rPr>
        <w:t>年度决算减少</w:t>
      </w:r>
      <w:r>
        <w:rPr>
          <w:rFonts w:ascii="仿宋" w:hAnsi="仿宋" w:eastAsia="仿宋"/>
          <w:sz w:val="32"/>
          <w:szCs w:val="32"/>
        </w:rPr>
        <w:t>0.32</w:t>
      </w:r>
      <w:r>
        <w:rPr>
          <w:rFonts w:hint="eastAsia" w:ascii="仿宋" w:hAnsi="仿宋" w:eastAsia="仿宋"/>
          <w:sz w:val="32"/>
          <w:szCs w:val="32"/>
        </w:rPr>
        <w:t>万元，降低</w:t>
      </w:r>
      <w:r>
        <w:rPr>
          <w:rFonts w:ascii="仿宋" w:hAnsi="仿宋" w:eastAsia="仿宋"/>
          <w:sz w:val="32"/>
          <w:szCs w:val="32"/>
        </w:rPr>
        <w:t>8.38%</w:t>
      </w:r>
      <w:r>
        <w:rPr>
          <w:rFonts w:hint="eastAsia" w:ascii="仿宋" w:hAnsi="仿宋" w:eastAsia="仿宋"/>
          <w:sz w:val="32"/>
          <w:szCs w:val="32"/>
        </w:rPr>
        <w:t>，主要是厉行节约，压减支出。具体情况如下：</w:t>
      </w:r>
    </w:p>
    <w:p>
      <w:pPr>
        <w:adjustRightInd w:val="0"/>
        <w:snapToGrid w:val="0"/>
        <w:spacing w:line="584" w:lineRule="exact"/>
        <w:ind w:firstLine="641"/>
        <w:rPr>
          <w:rFonts w:ascii="仿宋" w:hAnsi="仿宋" w:eastAsia="仿宋"/>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无增减变化，与2017年度决算无增减变化</w:t>
      </w:r>
      <w:r>
        <w:rPr>
          <w:rFonts w:hint="eastAsia" w:ascii="仿宋" w:hAnsi="仿宋" w:eastAsia="仿宋"/>
          <w:sz w:val="32"/>
          <w:szCs w:val="32"/>
        </w:rPr>
        <w:t>。</w:t>
      </w:r>
    </w:p>
    <w:p>
      <w:pPr>
        <w:adjustRightInd w:val="0"/>
        <w:snapToGrid w:val="0"/>
        <w:spacing w:line="584" w:lineRule="exact"/>
        <w:ind w:firstLine="643" w:firstLineChars="200"/>
        <w:rPr>
          <w:rFonts w:eastAsia="仿宋_GB2312"/>
          <w:sz w:val="32"/>
          <w:szCs w:val="32"/>
        </w:rPr>
      </w:pPr>
      <w:r>
        <w:rPr>
          <w:rFonts w:hint="eastAsia" w:eastAsia="楷体_GB2312"/>
          <w:b/>
          <w:bCs/>
          <w:sz w:val="32"/>
          <w:szCs w:val="32"/>
        </w:rPr>
        <w:t>（二）公务用车购置及运行维护费支出</w:t>
      </w:r>
      <w:r>
        <w:rPr>
          <w:rFonts w:eastAsia="楷体_GB2312"/>
          <w:b/>
          <w:bCs/>
          <w:sz w:val="32"/>
          <w:szCs w:val="32"/>
        </w:rPr>
        <w:t>3.5</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增加</w:t>
      </w:r>
      <w:r>
        <w:rPr>
          <w:rFonts w:eastAsia="仿宋_GB2312"/>
          <w:sz w:val="32"/>
          <w:szCs w:val="32"/>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增长</w:t>
      </w:r>
      <w:r>
        <w:rPr>
          <w:rFonts w:eastAsia="仿宋_GB2312"/>
          <w:sz w:val="32"/>
          <w:szCs w:val="32"/>
        </w:rPr>
        <w:t>0%</w:t>
      </w:r>
      <w:r>
        <w:rPr>
          <w:rFonts w:ascii="仿宋_GB2312" w:eastAsia="仿宋_GB2312" w:cs="DengXian-Regular"/>
          <w:sz w:val="32"/>
          <w:szCs w:val="32"/>
        </w:rPr>
        <w:t>,</w:t>
      </w:r>
      <w:r>
        <w:rPr>
          <w:rFonts w:hint="eastAsia" w:ascii="仿宋_GB2312" w:eastAsia="仿宋_GB2312" w:cs="DengXian-Regular"/>
          <w:sz w:val="32"/>
          <w:szCs w:val="32"/>
        </w:rPr>
        <w:t>主要是较年初预算无增减变化；</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0.32</w:t>
      </w:r>
      <w:r>
        <w:rPr>
          <w:rFonts w:hint="eastAsia" w:eastAsia="仿宋_GB2312"/>
          <w:sz w:val="32"/>
          <w:szCs w:val="32"/>
        </w:rPr>
        <w:t>万元，降低</w:t>
      </w:r>
      <w:r>
        <w:rPr>
          <w:rFonts w:eastAsia="仿宋_GB2312"/>
          <w:sz w:val="32"/>
          <w:szCs w:val="32"/>
        </w:rPr>
        <w:t>8.38%</w:t>
      </w:r>
      <w:r>
        <w:rPr>
          <w:rFonts w:hint="eastAsia" w:eastAsia="仿宋_GB2312"/>
          <w:sz w:val="32"/>
          <w:szCs w:val="32"/>
        </w:rPr>
        <w:t>，主要是厉行节约，压减支出。</w:t>
      </w:r>
    </w:p>
    <w:p>
      <w:pPr>
        <w:adjustRightInd w:val="0"/>
        <w:snapToGrid w:val="0"/>
        <w:spacing w:line="584" w:lineRule="exact"/>
        <w:ind w:firstLine="643" w:firstLineChars="200"/>
        <w:rPr>
          <w:rFonts w:eastAsia="仿宋_GB2312"/>
          <w:b/>
          <w:bCs/>
          <w:sz w:val="32"/>
          <w:szCs w:val="32"/>
        </w:rPr>
      </w:pP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ascii="仿宋_GB2312" w:eastAsia="仿宋_GB2312" w:cs="DengXian-Regular"/>
          <w:sz w:val="32"/>
          <w:szCs w:val="32"/>
        </w:rPr>
        <w:t>本部门2018年度公务用车购置及运行维护费比年初预算无增减变化，比2017年度决算无增减变化。</w:t>
      </w:r>
    </w:p>
    <w:p>
      <w:pPr>
        <w:adjustRightInd w:val="0"/>
        <w:snapToGrid w:val="0"/>
        <w:spacing w:line="584" w:lineRule="exact"/>
        <w:ind w:firstLine="643" w:firstLineChars="200"/>
        <w:rPr>
          <w:rFonts w:eastAsia="仿宋_GB2312"/>
          <w:b/>
          <w:sz w:val="32"/>
          <w:szCs w:val="32"/>
        </w:rPr>
      </w:pPr>
      <w:r>
        <w:rPr>
          <w:rFonts w:hint="eastAsia" w:eastAsia="仿宋_GB2312"/>
          <w:b/>
          <w:sz w:val="32"/>
          <w:szCs w:val="32"/>
        </w:rPr>
        <w:t>公务用车运行维护费支出</w:t>
      </w:r>
      <w:r>
        <w:rPr>
          <w:rFonts w:eastAsia="仿宋_GB2312"/>
          <w:b/>
          <w:sz w:val="32"/>
          <w:szCs w:val="32"/>
        </w:rPr>
        <w:t>3.5</w:t>
      </w:r>
      <w:r>
        <w:rPr>
          <w:rFonts w:hint="eastAsia" w:eastAsia="仿宋_GB2312"/>
          <w:b/>
          <w:sz w:val="32"/>
          <w:szCs w:val="32"/>
        </w:rPr>
        <w:t>万元。</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1</w:t>
      </w:r>
      <w:r>
        <w:rPr>
          <w:rFonts w:hint="eastAsia" w:eastAsia="仿宋_GB2312"/>
          <w:sz w:val="32"/>
          <w:szCs w:val="32"/>
        </w:rPr>
        <w:t>辆。公车运行维护费支出比年初预算增加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，主要是较年初预算无增减变化；比</w:t>
      </w:r>
      <w:r>
        <w:rPr>
          <w:rFonts w:eastAsia="仿宋_GB2312"/>
          <w:sz w:val="32"/>
          <w:szCs w:val="32"/>
        </w:rPr>
        <w:t>2017</w:t>
      </w:r>
      <w:r>
        <w:rPr>
          <w:rFonts w:hint="eastAsia" w:eastAsia="仿宋_GB2312"/>
          <w:sz w:val="32"/>
          <w:szCs w:val="32"/>
        </w:rPr>
        <w:t>年度决算减少</w:t>
      </w:r>
      <w:r>
        <w:rPr>
          <w:rFonts w:eastAsia="仿宋_GB2312"/>
          <w:sz w:val="32"/>
          <w:szCs w:val="32"/>
        </w:rPr>
        <w:t>0.32</w:t>
      </w:r>
      <w:r>
        <w:rPr>
          <w:rFonts w:hint="eastAsia" w:eastAsia="仿宋_GB2312"/>
          <w:sz w:val="32"/>
          <w:szCs w:val="32"/>
        </w:rPr>
        <w:t>万元，降低</w:t>
      </w:r>
      <w:r>
        <w:rPr>
          <w:rFonts w:eastAsia="仿宋_GB2312"/>
          <w:sz w:val="32"/>
          <w:szCs w:val="32"/>
        </w:rPr>
        <w:t>8.38%</w:t>
      </w:r>
      <w:r>
        <w:rPr>
          <w:rFonts w:hint="eastAsia" w:eastAsia="仿宋_GB2312"/>
          <w:sz w:val="32"/>
          <w:szCs w:val="32"/>
        </w:rPr>
        <w:t>，较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eastAsia="楷体_GB2312"/>
          <w:b/>
          <w:bCs/>
          <w:sz w:val="32"/>
          <w:szCs w:val="32"/>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无增减变化，比2017年度决算无增减变化。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pStyle w:val="11"/>
        <w:shd w:val="clear" w:color="auto" w:fill="FFFFFF"/>
        <w:spacing w:line="315" w:lineRule="atLeast"/>
        <w:ind w:firstLine="640" w:firstLineChars="200"/>
        <w:rPr>
          <w:rFonts w:ascii="仿宋" w:hAnsi="仿宋" w:eastAsia="仿宋" w:cs="DengXian-Regular"/>
          <w:sz w:val="32"/>
          <w:szCs w:val="32"/>
        </w:rPr>
      </w:pPr>
      <w:r>
        <w:rPr>
          <w:rFonts w:hint="eastAsia" w:ascii="仿宋" w:hAnsi="仿宋" w:eastAsia="仿宋" w:cs="DengXian-Regular"/>
          <w:sz w:val="32"/>
          <w:szCs w:val="32"/>
        </w:rPr>
        <w:t>（一）预算绩效管理工作开展情况。</w:t>
      </w:r>
    </w:p>
    <w:p>
      <w:pPr>
        <w:pStyle w:val="11"/>
        <w:shd w:val="clear" w:color="auto" w:fill="FFFFFF"/>
        <w:spacing w:line="315" w:lineRule="atLeast"/>
        <w:ind w:firstLine="640" w:firstLineChars="200"/>
        <w:rPr>
          <w:rFonts w:ascii="仿宋" w:hAnsi="仿宋" w:eastAsia="仿宋" w:cs="DengXian-Regular"/>
          <w:sz w:val="32"/>
          <w:szCs w:val="32"/>
        </w:rPr>
      </w:pPr>
      <w:r>
        <w:rPr>
          <w:rFonts w:ascii="仿宋" w:hAnsi="仿宋" w:eastAsia="仿宋" w:cs="DengXian-Regular"/>
          <w:sz w:val="32"/>
          <w:szCs w:val="32"/>
        </w:rPr>
        <w:t>1</w:t>
      </w:r>
      <w:r>
        <w:rPr>
          <w:rFonts w:hint="eastAsia" w:ascii="仿宋" w:hAnsi="仿宋" w:eastAsia="仿宋" w:cs="DengXian-Regular"/>
          <w:sz w:val="32"/>
          <w:szCs w:val="32"/>
        </w:rPr>
        <w:t>、实行宗教工作例会制度。今年以来充分利用“季度上站日”，对我县宗教领域代表人物、各场所负责人和教职人员，通过以会带训的方式，引导宗教界人士</w:t>
      </w:r>
      <w:r>
        <w:rPr>
          <w:rFonts w:ascii="仿宋" w:eastAsia="仿宋" w:cs="DengXian-Regular"/>
          <w:sz w:val="32"/>
          <w:szCs w:val="32"/>
        </w:rPr>
        <w:t> </w:t>
      </w:r>
      <w:r>
        <w:rPr>
          <w:rFonts w:hint="eastAsia" w:ascii="仿宋" w:hAnsi="仿宋" w:eastAsia="仿宋" w:cs="DengXian-Regular"/>
          <w:sz w:val="32"/>
          <w:szCs w:val="32"/>
        </w:rPr>
        <w:t>深刻领会习近平总书记关于加强法治建设的重要论述和关于宗教问题的新思想、新观点、新要求，深刻认识全面推进依法治国的重大意义，进一步增强宪法意识、法律意识，自觉在法律、法规和政策的范围内开展宗教活动，教育广大宗教界人士爱国爱教，遵纪守法，模范执行宗教政策与法规，激励他们不断加强思想建设，逐步树立大局意识、责任意识、努力学习，不断进取，为维护宗教和睦、社会和谐和促进经济社会发展作贡献。</w:t>
      </w:r>
    </w:p>
    <w:p>
      <w:pPr>
        <w:pStyle w:val="11"/>
        <w:shd w:val="clear" w:color="auto" w:fill="FFFFFF"/>
        <w:spacing w:line="315" w:lineRule="atLeast"/>
        <w:ind w:firstLine="640" w:firstLineChars="200"/>
        <w:rPr>
          <w:rFonts w:ascii="仿宋" w:hAnsi="仿宋" w:eastAsia="仿宋" w:cs="DengXian-Regular"/>
          <w:sz w:val="32"/>
          <w:szCs w:val="32"/>
        </w:rPr>
      </w:pPr>
      <w:r>
        <w:rPr>
          <w:rFonts w:ascii="仿宋" w:hAnsi="仿宋" w:eastAsia="仿宋" w:cs="DengXian-Regular"/>
          <w:sz w:val="32"/>
          <w:szCs w:val="32"/>
        </w:rPr>
        <w:t>2</w:t>
      </w:r>
      <w:r>
        <w:rPr>
          <w:rFonts w:hint="eastAsia" w:ascii="仿宋" w:hAnsi="仿宋" w:eastAsia="仿宋" w:cs="DengXian-Regular"/>
          <w:sz w:val="32"/>
          <w:szCs w:val="32"/>
        </w:rPr>
        <w:t>、积极引导宗教坚持中国化方向。深入开展宗教场所“双创四进”活动，（即创建和谐寺观教堂，创建先进宗教协会，扎实推进习近平新时代中国特色社会主义思想进寺观教堂、宪法进寺观教堂、国旗进寺观教堂、社会主义核心价值观进寺观教堂活动）。今年以来县民宗局向上级争取资金</w:t>
      </w:r>
      <w:r>
        <w:rPr>
          <w:rFonts w:ascii="仿宋" w:hAnsi="仿宋" w:eastAsia="仿宋" w:cs="DengXian-Regular"/>
          <w:sz w:val="32"/>
          <w:szCs w:val="32"/>
        </w:rPr>
        <w:t>7</w:t>
      </w:r>
      <w:r>
        <w:rPr>
          <w:rFonts w:hint="eastAsia" w:ascii="仿宋" w:hAnsi="仿宋" w:eastAsia="仿宋" w:cs="DengXian-Regular"/>
          <w:sz w:val="32"/>
          <w:szCs w:val="32"/>
        </w:rPr>
        <w:t>万元，为每个场所安装旗杆、悬挂国旗并发放爱国爱教法制宣传牌，</w:t>
      </w:r>
      <w:r>
        <w:rPr>
          <w:rFonts w:ascii="仿宋" w:hAnsi="仿宋" w:eastAsia="仿宋" w:cs="DengXian-Regular"/>
          <w:sz w:val="32"/>
          <w:szCs w:val="32"/>
        </w:rPr>
        <w:t>2018</w:t>
      </w:r>
      <w:r>
        <w:rPr>
          <w:rFonts w:hint="eastAsia" w:ascii="仿宋" w:hAnsi="仿宋" w:eastAsia="仿宋" w:cs="DengXian-Regular"/>
          <w:sz w:val="32"/>
          <w:szCs w:val="32"/>
        </w:rPr>
        <w:t>年</w:t>
      </w:r>
      <w:r>
        <w:rPr>
          <w:rFonts w:ascii="仿宋" w:hAnsi="仿宋" w:eastAsia="仿宋" w:cs="DengXian-Regular"/>
          <w:sz w:val="32"/>
          <w:szCs w:val="32"/>
        </w:rPr>
        <w:t>10</w:t>
      </w:r>
      <w:r>
        <w:rPr>
          <w:rFonts w:hint="eastAsia" w:ascii="仿宋" w:hAnsi="仿宋" w:eastAsia="仿宋" w:cs="DengXian-Regular"/>
          <w:sz w:val="32"/>
          <w:szCs w:val="32"/>
        </w:rPr>
        <w:t>月</w:t>
      </w:r>
      <w:r>
        <w:rPr>
          <w:rFonts w:ascii="仿宋" w:hAnsi="仿宋" w:eastAsia="仿宋" w:cs="DengXian-Regular"/>
          <w:sz w:val="32"/>
          <w:szCs w:val="32"/>
        </w:rPr>
        <w:t>1</w:t>
      </w:r>
      <w:r>
        <w:rPr>
          <w:rFonts w:hint="eastAsia" w:ascii="仿宋" w:hAnsi="仿宋" w:eastAsia="仿宋" w:cs="DengXian-Regular"/>
          <w:sz w:val="32"/>
          <w:szCs w:val="32"/>
        </w:rPr>
        <w:t>日，大城县崇福寺、佑民宫、玉皇阁、泰山娘娘行宫及各天主教堂纷纷举行升国旗仪式。通过此项活动，进一步增强教职人员和广大信教群众的爱国爱教意识，为维护宗教和顺、社会稳定贡献力量</w:t>
      </w:r>
      <w:r>
        <w:rPr>
          <w:rFonts w:ascii="仿宋" w:hAnsi="仿宋" w:eastAsia="仿宋" w:cs="DengXian-Regular"/>
          <w:sz w:val="32"/>
          <w:szCs w:val="32"/>
        </w:rPr>
        <w:t>,</w:t>
      </w:r>
      <w:r>
        <w:rPr>
          <w:rFonts w:hint="eastAsia" w:ascii="仿宋" w:hAnsi="仿宋" w:eastAsia="仿宋" w:cs="DengXian-Regular"/>
          <w:sz w:val="32"/>
          <w:szCs w:val="32"/>
        </w:rPr>
        <w:t>积极引导宗教坚持中国化方向。</w:t>
      </w:r>
      <w:r>
        <w:rPr>
          <w:rFonts w:ascii="仿宋" w:hAnsi="仿宋" w:eastAsia="仿宋" w:cs="DengXian-Regular"/>
          <w:sz w:val="32"/>
          <w:szCs w:val="32"/>
        </w:rPr>
        <w:t xml:space="preserve">                                </w:t>
      </w:r>
    </w:p>
    <w:p>
      <w:pPr>
        <w:pStyle w:val="11"/>
        <w:shd w:val="clear" w:color="auto" w:fill="FFFFFF"/>
        <w:spacing w:line="315" w:lineRule="atLeast"/>
        <w:ind w:firstLine="640" w:firstLineChars="200"/>
        <w:rPr>
          <w:rFonts w:ascii="仿宋" w:hAnsi="仿宋" w:eastAsia="仿宋" w:cs="DengXian-Regular"/>
          <w:sz w:val="32"/>
          <w:szCs w:val="32"/>
        </w:rPr>
      </w:pPr>
      <w:r>
        <w:rPr>
          <w:rFonts w:ascii="仿宋" w:hAnsi="仿宋" w:eastAsia="仿宋" w:cs="DengXian-Regular"/>
          <w:sz w:val="32"/>
          <w:szCs w:val="32"/>
        </w:rPr>
        <w:t>3</w:t>
      </w:r>
      <w:r>
        <w:rPr>
          <w:rFonts w:hint="eastAsia" w:ascii="仿宋" w:hAnsi="仿宋" w:eastAsia="仿宋" w:cs="DengXian-Regular"/>
          <w:sz w:val="32"/>
          <w:szCs w:val="32"/>
        </w:rPr>
        <w:t>、强化工作措施，深入推进和谐寺观教堂创建活动。认真做好全省宗教工作基础数据库信息录入工作，</w:t>
      </w:r>
      <w:r>
        <w:rPr>
          <w:rFonts w:ascii="仿宋" w:hAnsi="仿宋" w:eastAsia="仿宋" w:cs="DengXian-Regular"/>
          <w:sz w:val="32"/>
          <w:szCs w:val="32"/>
        </w:rPr>
        <w:t>5</w:t>
      </w:r>
      <w:r>
        <w:rPr>
          <w:rFonts w:hint="eastAsia" w:ascii="仿宋" w:hAnsi="仿宋" w:eastAsia="仿宋" w:cs="DengXian-Regular"/>
          <w:sz w:val="32"/>
          <w:szCs w:val="32"/>
        </w:rPr>
        <w:t>月份，县民宗局开展宗教基础信息大排查活动，成立督导组深入全县</w:t>
      </w:r>
      <w:r>
        <w:rPr>
          <w:rFonts w:ascii="仿宋" w:hAnsi="仿宋" w:eastAsia="仿宋" w:cs="DengXian-Regular"/>
          <w:sz w:val="32"/>
          <w:szCs w:val="32"/>
        </w:rPr>
        <w:t>394</w:t>
      </w:r>
      <w:r>
        <w:rPr>
          <w:rFonts w:hint="eastAsia" w:ascii="仿宋" w:hAnsi="仿宋" w:eastAsia="仿宋" w:cs="DengXian-Regular"/>
          <w:sz w:val="32"/>
          <w:szCs w:val="32"/>
        </w:rPr>
        <w:t>个村街，收集第一手资料，对我县宗教领域教职人员基础备案信息、五大宗教信教群众数据统计及宗教活动场所基础信息采集等数据进行大统计，全面摸清我县宗教领域基础信息，根据上级文件精神，为我县</w:t>
      </w:r>
      <w:r>
        <w:rPr>
          <w:rFonts w:ascii="仿宋" w:hAnsi="仿宋" w:eastAsia="仿宋" w:cs="DengXian-Regular"/>
          <w:sz w:val="32"/>
          <w:szCs w:val="32"/>
        </w:rPr>
        <w:t>21</w:t>
      </w:r>
      <w:r>
        <w:rPr>
          <w:rFonts w:hint="eastAsia" w:ascii="仿宋" w:hAnsi="仿宋" w:eastAsia="仿宋" w:cs="DengXian-Regular"/>
          <w:sz w:val="32"/>
          <w:szCs w:val="32"/>
        </w:rPr>
        <w:t>个宗教场所选派宗教工作指导员，在重点村街设立信息员。认真开展隐患大排查“百日攻坚”行动，对宗教场所房屋、水电、消防及宗教场所活动人员安全隐患排查工作，要求各宗教场所设立安全工作组，指定专人负责，县民宗局成立督查组，深入各宗教场所开展安全政策宣讲、检查、和督导，对发现的安全隐患必须整改到位，确保信教群众生命财产安全。把好宗教节日和大型宗教活动审批关，推动宗教活动场所严格依法依规办事，进一步促进了宗教活动场所的管理规范。通过开展和谐寺观教堂创建活动，不断提升了宗教活动场所规范化、制度化、常态化管理水平。</w:t>
      </w:r>
    </w:p>
    <w:p>
      <w:pPr>
        <w:pStyle w:val="11"/>
        <w:shd w:val="clear" w:color="auto" w:fill="FFFFFF"/>
        <w:spacing w:line="315" w:lineRule="atLeast"/>
        <w:ind w:firstLine="640" w:firstLineChars="200"/>
        <w:rPr>
          <w:rFonts w:ascii="仿宋" w:hAnsi="仿宋" w:eastAsia="仿宋" w:cs="DengXian-Regular"/>
          <w:sz w:val="32"/>
          <w:szCs w:val="32"/>
        </w:rPr>
      </w:pPr>
      <w:r>
        <w:rPr>
          <w:rFonts w:ascii="仿宋" w:hAnsi="仿宋" w:eastAsia="仿宋" w:cs="DengXian-Regular"/>
          <w:sz w:val="32"/>
          <w:szCs w:val="32"/>
        </w:rPr>
        <w:t>4</w:t>
      </w:r>
      <w:r>
        <w:rPr>
          <w:rFonts w:hint="eastAsia" w:ascii="仿宋" w:hAnsi="仿宋" w:eastAsia="仿宋" w:cs="DengXian-Regular"/>
          <w:sz w:val="32"/>
          <w:szCs w:val="32"/>
        </w:rPr>
        <w:t>、加强维稳工作，全力维护宗教领域和谐稳定。</w:t>
      </w:r>
      <w:r>
        <w:rPr>
          <w:rFonts w:ascii="仿宋" w:eastAsia="仿宋" w:cs="DengXian-Regular"/>
          <w:sz w:val="32"/>
          <w:szCs w:val="32"/>
        </w:rPr>
        <w:t> </w:t>
      </w:r>
      <w:r>
        <w:rPr>
          <w:rFonts w:hint="eastAsia" w:ascii="仿宋" w:hAnsi="仿宋" w:eastAsia="仿宋" w:cs="DengXian-Regular"/>
          <w:sz w:val="32"/>
          <w:szCs w:val="32"/>
        </w:rPr>
        <w:t>一是认真开展矛盾纠纷排查。制定印发了《做好民族宗教领域安全维稳工作的通知》，严格落实矛盾纠纷月排查、零报告制度。二是注重大型宗教活动安全管理。重点对崇福寺、碧霞宫、各天主教堂举办大型宗教活动时，积极组织公安、交通、交警、消防、食药、文化、工商等有关部门维护活动秩序，加强安全管理，确保了宗教活动的正常开展。三是切实加强网络宗教管理。按照中央提出的互联网宗教“七个不得”的要求，加强对本县宗教类网站的实名备案登记，加强宗教类网站管理人员和从业人员联系教育，改进对微信群、</w:t>
      </w:r>
      <w:r>
        <w:rPr>
          <w:rFonts w:ascii="仿宋" w:hAnsi="仿宋" w:eastAsia="仿宋" w:cs="DengXian-Regular"/>
          <w:sz w:val="32"/>
          <w:szCs w:val="32"/>
        </w:rPr>
        <w:t>QQ</w:t>
      </w:r>
      <w:r>
        <w:rPr>
          <w:rFonts w:hint="eastAsia" w:ascii="仿宋" w:hAnsi="仿宋" w:eastAsia="仿宋" w:cs="DengXian-Regular"/>
          <w:sz w:val="32"/>
          <w:szCs w:val="32"/>
        </w:rPr>
        <w:t>群的引导管理，扎实推进了网络舆情源头治理。</w:t>
      </w:r>
      <w:r>
        <w:rPr>
          <w:rFonts w:ascii="仿宋" w:hAnsi="仿宋" w:eastAsia="仿宋" w:cs="DengXian-Regular"/>
          <w:sz w:val="32"/>
          <w:szCs w:val="32"/>
        </w:rPr>
        <w:t xml:space="preserve"> </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（二）项目绩效自评结果。</w:t>
      </w:r>
    </w:p>
    <w:p>
      <w:pPr>
        <w:adjustRightInd w:val="0"/>
        <w:snapToGrid w:val="0"/>
        <w:spacing w:after="0" w:line="580" w:lineRule="exact"/>
        <w:ind w:firstLine="640" w:firstLineChars="200"/>
        <w:rPr>
          <w:rFonts w:ascii="仿宋" w:hAnsi="仿宋" w:eastAsia="仿宋" w:cs="DengXian-Regular"/>
          <w:sz w:val="32"/>
          <w:szCs w:val="32"/>
        </w:rPr>
      </w:pPr>
      <w:r>
        <w:rPr>
          <w:rFonts w:ascii="仿宋" w:hAnsi="仿宋" w:eastAsia="仿宋" w:cs="DengXian-Regular"/>
          <w:sz w:val="32"/>
          <w:szCs w:val="32"/>
        </w:rPr>
        <w:t xml:space="preserve"> 1</w:t>
      </w:r>
      <w:r>
        <w:rPr>
          <w:rFonts w:hint="eastAsia" w:ascii="仿宋" w:hAnsi="仿宋" w:eastAsia="仿宋" w:cs="DengXian-Regular"/>
          <w:sz w:val="32"/>
          <w:szCs w:val="32"/>
        </w:rPr>
        <w:t>、民族基本事务管理。贯彻执行国家关于少数民族工作的方针政策，实施有关民族问题的地方性法规和具体政策，协调处理涉及民族关系的有关事宜</w:t>
      </w:r>
      <w:r>
        <w:rPr>
          <w:rFonts w:ascii="仿宋" w:hAnsi="仿宋" w:eastAsia="仿宋" w:cs="DengXian-Regular"/>
          <w:sz w:val="32"/>
          <w:szCs w:val="32"/>
        </w:rPr>
        <w:t>,</w:t>
      </w:r>
      <w:r>
        <w:rPr>
          <w:rFonts w:hint="eastAsia" w:ascii="仿宋" w:hAnsi="仿宋" w:eastAsia="仿宋" w:cs="DengXian-Regular"/>
          <w:sz w:val="32"/>
          <w:szCs w:val="32"/>
        </w:rPr>
        <w:t>监督办理少数民族权益保障事宜加强民族事务管理工作。自评优。</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　</w:t>
      </w:r>
      <w:r>
        <w:rPr>
          <w:rFonts w:ascii="仿宋" w:hAnsi="仿宋" w:eastAsia="仿宋" w:cs="DengXian-Regular"/>
          <w:sz w:val="32"/>
          <w:szCs w:val="32"/>
        </w:rPr>
        <w:t>2</w:t>
      </w:r>
      <w:r>
        <w:rPr>
          <w:rFonts w:hint="eastAsia" w:ascii="仿宋" w:hAnsi="仿宋" w:eastAsia="仿宋" w:cs="DengXian-Regular"/>
          <w:sz w:val="32"/>
          <w:szCs w:val="32"/>
        </w:rPr>
        <w:t>、促进少数民族地区经济发展，协调民族地方科技发展、对口支援、经济技术协作、民族贸易和民族特需用品生产</w:t>
      </w:r>
      <w:r>
        <w:rPr>
          <w:rFonts w:ascii="仿宋" w:hAnsi="仿宋" w:eastAsia="仿宋" w:cs="DengXian-Regular"/>
          <w:sz w:val="32"/>
          <w:szCs w:val="32"/>
        </w:rPr>
        <w:t>;</w:t>
      </w:r>
      <w:r>
        <w:rPr>
          <w:rFonts w:hint="eastAsia" w:ascii="仿宋" w:hAnsi="仿宋" w:eastAsia="仿宋" w:cs="DengXian-Regular"/>
          <w:sz w:val="32"/>
          <w:szCs w:val="32"/>
        </w:rPr>
        <w:t>配合承办少数民族和民族地方扶贫事宜</w:t>
      </w:r>
      <w:r>
        <w:rPr>
          <w:rFonts w:ascii="仿宋" w:hAnsi="仿宋" w:eastAsia="仿宋" w:cs="DengXian-Regular"/>
          <w:sz w:val="32"/>
          <w:szCs w:val="32"/>
        </w:rPr>
        <w:t>;</w:t>
      </w:r>
      <w:r>
        <w:rPr>
          <w:rFonts w:hint="eastAsia" w:ascii="仿宋" w:hAnsi="仿宋" w:eastAsia="仿宋" w:cs="DengXian-Regular"/>
          <w:sz w:val="32"/>
          <w:szCs w:val="32"/>
        </w:rPr>
        <w:t>承办民族统计工作较好的完成少数民族基本事务管理工作。自评优。</w:t>
      </w:r>
    </w:p>
    <w:p>
      <w:pPr>
        <w:adjustRightInd w:val="0"/>
        <w:snapToGrid w:val="0"/>
        <w:spacing w:after="0" w:line="580" w:lineRule="exact"/>
        <w:rPr>
          <w:rFonts w:ascii="仿宋" w:hAnsi="仿宋" w:eastAsia="仿宋"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cs="DengXian-Regular"/>
          <w:sz w:val="32"/>
          <w:szCs w:val="32"/>
        </w:rPr>
        <w:t>（三）重点项目绩效评价结果。</w:t>
      </w:r>
    </w:p>
    <w:p>
      <w:pPr>
        <w:adjustRightInd w:val="0"/>
        <w:snapToGrid w:val="0"/>
        <w:spacing w:after="0" w:line="580" w:lineRule="exact"/>
        <w:ind w:firstLine="640" w:firstLineChars="200"/>
        <w:rPr>
          <w:rFonts w:ascii="仿宋_GB2312" w:eastAsia="仿宋_GB2312" w:cs="DengXian-Regular"/>
          <w:sz w:val="32"/>
          <w:szCs w:val="32"/>
        </w:rPr>
      </w:pPr>
    </w:p>
    <w:tbl>
      <w:tblPr>
        <w:tblStyle w:val="13"/>
        <w:tblpPr w:leftFromText="180" w:rightFromText="180" w:vertAnchor="text" w:horzAnchor="page" w:tblpX="1607" w:tblpY="865"/>
        <w:tblOverlap w:val="never"/>
        <w:tblW w:w="90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2"/>
        <w:gridCol w:w="830"/>
        <w:gridCol w:w="1935"/>
        <w:gridCol w:w="1935"/>
        <w:gridCol w:w="921"/>
        <w:gridCol w:w="479"/>
        <w:gridCol w:w="480"/>
        <w:gridCol w:w="479"/>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Align w:val="center"/>
          </w:tcPr>
          <w:p>
            <w:pPr>
              <w:spacing w:line="240" w:lineRule="auto"/>
              <w:jc w:val="left"/>
              <w:rPr>
                <w:rFonts w:ascii="????_GBK"/>
                <w:b/>
              </w:rPr>
            </w:pPr>
            <w:r>
              <w:rPr>
                <w:rFonts w:hint="eastAsia" w:ascii="????_GBK"/>
                <w:b/>
              </w:rPr>
              <w:t>职责活动</w:t>
            </w:r>
          </w:p>
        </w:tc>
        <w:tc>
          <w:tcPr>
            <w:tcW w:w="830" w:type="dxa"/>
            <w:vAlign w:val="center"/>
          </w:tcPr>
          <w:p>
            <w:pPr>
              <w:spacing w:line="240" w:lineRule="auto"/>
              <w:jc w:val="left"/>
              <w:rPr>
                <w:rFonts w:ascii="????_GBK"/>
              </w:rPr>
            </w:pPr>
            <w:r>
              <w:rPr>
                <w:rFonts w:hint="eastAsia" w:ascii="????_GBK"/>
              </w:rPr>
              <w:t>预算数</w:t>
            </w:r>
          </w:p>
        </w:tc>
        <w:tc>
          <w:tcPr>
            <w:tcW w:w="1935" w:type="dxa"/>
            <w:vAlign w:val="center"/>
          </w:tcPr>
          <w:p>
            <w:pPr>
              <w:spacing w:line="240" w:lineRule="auto"/>
              <w:jc w:val="left"/>
              <w:rPr>
                <w:rFonts w:ascii="????_GBK"/>
              </w:rPr>
            </w:pPr>
            <w:r>
              <w:rPr>
                <w:rFonts w:hint="eastAsia" w:ascii="????_GBK"/>
              </w:rPr>
              <w:t>内容描述</w:t>
            </w:r>
          </w:p>
        </w:tc>
        <w:tc>
          <w:tcPr>
            <w:tcW w:w="1935" w:type="dxa"/>
            <w:vAlign w:val="center"/>
          </w:tcPr>
          <w:p>
            <w:pPr>
              <w:spacing w:line="240" w:lineRule="auto"/>
              <w:jc w:val="left"/>
              <w:rPr>
                <w:rFonts w:ascii="????_GBK"/>
              </w:rPr>
            </w:pPr>
            <w:r>
              <w:rPr>
                <w:rFonts w:hint="eastAsia" w:ascii="????_GBK"/>
              </w:rPr>
              <w:t>绩效目标</w:t>
            </w:r>
          </w:p>
        </w:tc>
        <w:tc>
          <w:tcPr>
            <w:tcW w:w="921" w:type="dxa"/>
            <w:vAlign w:val="center"/>
          </w:tcPr>
          <w:p>
            <w:pPr>
              <w:spacing w:line="240" w:lineRule="auto"/>
              <w:jc w:val="left"/>
              <w:rPr>
                <w:rFonts w:ascii="????_GBK"/>
              </w:rPr>
            </w:pPr>
            <w:r>
              <w:rPr>
                <w:rFonts w:hint="eastAsia" w:ascii="????_GBK"/>
              </w:rPr>
              <w:t>绩效指标</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rPr>
            </w:pPr>
            <w:r>
              <w:rPr>
                <w:rFonts w:hint="eastAsia" w:ascii="????_GBK"/>
              </w:rPr>
              <w:t>良</w:t>
            </w:r>
          </w:p>
        </w:tc>
        <w:tc>
          <w:tcPr>
            <w:tcW w:w="479" w:type="dxa"/>
            <w:vAlign w:val="center"/>
          </w:tcPr>
          <w:p>
            <w:pPr>
              <w:spacing w:line="240" w:lineRule="auto"/>
              <w:jc w:val="center"/>
              <w:rPr>
                <w:rFonts w:ascii="????_GBK"/>
              </w:rPr>
            </w:pPr>
            <w:r>
              <w:rPr>
                <w:rFonts w:hint="eastAsia" w:ascii="????_GBK"/>
              </w:rPr>
              <w:t>中</w:t>
            </w:r>
          </w:p>
        </w:tc>
        <w:tc>
          <w:tcPr>
            <w:tcW w:w="479" w:type="dxa"/>
            <w:vAlign w:val="center"/>
          </w:tcPr>
          <w:p>
            <w:pPr>
              <w:spacing w:line="240" w:lineRule="auto"/>
              <w:jc w:val="center"/>
              <w:rPr>
                <w:rFonts w:ascii="????_GBK"/>
              </w:rPr>
            </w:pPr>
            <w:r>
              <w:rPr>
                <w:rFonts w:hint="eastAsia" w:ascii="????_GBK"/>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restart"/>
            <w:vAlign w:val="center"/>
          </w:tcPr>
          <w:p>
            <w:pPr>
              <w:spacing w:line="240" w:lineRule="auto"/>
              <w:jc w:val="left"/>
              <w:rPr>
                <w:rFonts w:ascii="????_GBK" w:eastAsia="Times New Roman"/>
                <w:b/>
              </w:rPr>
            </w:pPr>
            <w:r>
              <w:rPr>
                <w:rFonts w:ascii="????_GBK" w:eastAsia="Times New Roman"/>
                <w:b/>
              </w:rPr>
              <w:t>　　1、民族基本事务管理</w:t>
            </w:r>
          </w:p>
        </w:tc>
        <w:tc>
          <w:tcPr>
            <w:tcW w:w="830" w:type="dxa"/>
            <w:vMerge w:val="restart"/>
            <w:vAlign w:val="center"/>
          </w:tcPr>
          <w:p>
            <w:pPr>
              <w:spacing w:line="240" w:lineRule="auto"/>
              <w:jc w:val="left"/>
              <w:rPr>
                <w:rFonts w:ascii="????_GBK" w:eastAsia="Times New Roman"/>
              </w:rPr>
            </w:pPr>
          </w:p>
        </w:tc>
        <w:tc>
          <w:tcPr>
            <w:tcW w:w="1935" w:type="dxa"/>
            <w:vMerge w:val="restart"/>
            <w:vAlign w:val="center"/>
          </w:tcPr>
          <w:p>
            <w:pPr>
              <w:spacing w:line="240" w:lineRule="auto"/>
              <w:jc w:val="left"/>
              <w:rPr>
                <w:rFonts w:ascii="????_GBK" w:eastAsia="Times New Roman"/>
              </w:rPr>
            </w:pPr>
            <w:r>
              <w:rPr>
                <w:rFonts w:ascii="????_GBK" w:eastAsia="Times New Roman"/>
              </w:rPr>
              <w:t>贯彻执行国家关于少数民族工作的方针政策，实施有关民族问题的地方性法规和具体政策，协调处理涉及民族关系的有关事宜,监督办理少数民族权益保障事宜</w:t>
            </w:r>
          </w:p>
        </w:tc>
        <w:tc>
          <w:tcPr>
            <w:tcW w:w="1935" w:type="dxa"/>
            <w:vMerge w:val="restart"/>
            <w:vAlign w:val="center"/>
          </w:tcPr>
          <w:p>
            <w:pPr>
              <w:spacing w:line="240" w:lineRule="auto"/>
              <w:jc w:val="left"/>
              <w:rPr>
                <w:rFonts w:ascii="????_GBK" w:eastAsia="Times New Roman"/>
              </w:rPr>
            </w:pPr>
            <w:r>
              <w:rPr>
                <w:rFonts w:ascii="????_GBK" w:eastAsia="Times New Roman"/>
              </w:rPr>
              <w:t>加强民族事务管理工作</w:t>
            </w:r>
          </w:p>
        </w:tc>
        <w:tc>
          <w:tcPr>
            <w:tcW w:w="921" w:type="dxa"/>
            <w:vAlign w:val="center"/>
          </w:tcPr>
          <w:p>
            <w:pPr>
              <w:spacing w:line="240" w:lineRule="auto"/>
              <w:jc w:val="left"/>
              <w:rPr>
                <w:rFonts w:ascii="????_GBK" w:eastAsia="Times New Roman"/>
              </w:rPr>
            </w:pPr>
            <w:r>
              <w:rPr>
                <w:rFonts w:ascii="????_GBK" w:eastAsia="Times New Roman"/>
              </w:rPr>
              <w:t>民族法律政策宣传</w:t>
            </w:r>
            <w:r>
              <w:rPr>
                <w:rFonts w:ascii="????_GBK"/>
              </w:rPr>
              <w:t>5</w:t>
            </w:r>
            <w:r>
              <w:rPr>
                <w:rFonts w:hint="eastAsia" w:ascii="????_GBK"/>
              </w:rPr>
              <w:t>次</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民族法律政策宣传普及率</w:t>
            </w:r>
            <w:r>
              <w:rPr>
                <w:rFonts w:ascii="????_GBK"/>
              </w:rPr>
              <w:t>85%</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涉及民族关系的问题、案件解决率</w:t>
            </w:r>
            <w:r>
              <w:rPr>
                <w:rFonts w:ascii="????_GBK"/>
              </w:rPr>
              <w:t>90%</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restart"/>
            <w:vAlign w:val="center"/>
          </w:tcPr>
          <w:p>
            <w:pPr>
              <w:spacing w:line="240" w:lineRule="auto"/>
              <w:jc w:val="left"/>
              <w:rPr>
                <w:rFonts w:ascii="????_GBK" w:eastAsia="Times New Roman"/>
                <w:b/>
              </w:rPr>
            </w:pPr>
            <w:r>
              <w:rPr>
                <w:rFonts w:ascii="????_GBK" w:eastAsia="Times New Roman"/>
                <w:b/>
              </w:rPr>
              <w:t>　　2、促进少数民族地区经济发展</w:t>
            </w:r>
          </w:p>
        </w:tc>
        <w:tc>
          <w:tcPr>
            <w:tcW w:w="830" w:type="dxa"/>
            <w:vMerge w:val="restart"/>
            <w:vAlign w:val="center"/>
          </w:tcPr>
          <w:p>
            <w:pPr>
              <w:spacing w:line="240" w:lineRule="auto"/>
              <w:jc w:val="left"/>
              <w:rPr>
                <w:rFonts w:ascii="仿宋" w:hAnsi="仿宋" w:eastAsia="仿宋"/>
                <w:sz w:val="24"/>
              </w:rPr>
            </w:pPr>
            <w:r>
              <w:rPr>
                <w:rFonts w:ascii="仿宋" w:hAnsi="仿宋" w:eastAsia="仿宋"/>
                <w:sz w:val="24"/>
              </w:rPr>
              <w:t>28.00</w:t>
            </w:r>
          </w:p>
        </w:tc>
        <w:tc>
          <w:tcPr>
            <w:tcW w:w="1935" w:type="dxa"/>
            <w:vMerge w:val="restart"/>
            <w:vAlign w:val="center"/>
          </w:tcPr>
          <w:p>
            <w:pPr>
              <w:spacing w:line="240" w:lineRule="auto"/>
              <w:jc w:val="left"/>
              <w:rPr>
                <w:rFonts w:ascii="????_GBK" w:eastAsia="Times New Roman"/>
              </w:rPr>
            </w:pPr>
            <w:r>
              <w:rPr>
                <w:rFonts w:ascii="????_GBK" w:eastAsia="Times New Roman"/>
              </w:rPr>
              <w:t>协调民族地方科技发展、对口支援、经济技术协作、民族贸易和民族特需用品生产;配合承办少数民族和民族地方扶贫事宜;承办民族统计工作</w:t>
            </w:r>
          </w:p>
        </w:tc>
        <w:tc>
          <w:tcPr>
            <w:tcW w:w="1935" w:type="dxa"/>
            <w:vMerge w:val="restart"/>
            <w:vAlign w:val="center"/>
          </w:tcPr>
          <w:p>
            <w:pPr>
              <w:spacing w:line="240" w:lineRule="auto"/>
              <w:jc w:val="left"/>
              <w:rPr>
                <w:rFonts w:ascii="????_GBK" w:eastAsia="Times New Roman"/>
              </w:rPr>
            </w:pPr>
            <w:r>
              <w:rPr>
                <w:rFonts w:ascii="????_GBK" w:eastAsia="Times New Roman"/>
              </w:rPr>
              <w:t>较好的完成少数民族基本事务管理工作</w:t>
            </w:r>
          </w:p>
        </w:tc>
        <w:tc>
          <w:tcPr>
            <w:tcW w:w="921" w:type="dxa"/>
            <w:vAlign w:val="center"/>
          </w:tcPr>
          <w:p>
            <w:pPr>
              <w:spacing w:line="240" w:lineRule="auto"/>
              <w:jc w:val="left"/>
              <w:rPr>
                <w:rFonts w:ascii="????_GBK" w:eastAsia="Times New Roman"/>
              </w:rPr>
            </w:pPr>
            <w:r>
              <w:rPr>
                <w:rFonts w:ascii="????_GBK" w:eastAsia="Times New Roman"/>
              </w:rPr>
              <w:t>特困人群帮扶</w:t>
            </w:r>
            <w:r>
              <w:rPr>
                <w:rFonts w:ascii="????_GBK"/>
              </w:rPr>
              <w:t>11</w:t>
            </w:r>
            <w:r>
              <w:rPr>
                <w:rFonts w:hint="eastAsia" w:ascii="????_GBK"/>
              </w:rPr>
              <w:t>次</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开展民族统计工作</w:t>
            </w:r>
            <w:r>
              <w:rPr>
                <w:rFonts w:ascii="????_GBK"/>
              </w:rPr>
              <w:t>2</w:t>
            </w:r>
            <w:r>
              <w:rPr>
                <w:rFonts w:ascii="????_GBK" w:eastAsia="Times New Roman"/>
              </w:rPr>
              <w:t>次</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restart"/>
            <w:vAlign w:val="center"/>
          </w:tcPr>
          <w:p>
            <w:pPr>
              <w:spacing w:line="240" w:lineRule="auto"/>
              <w:jc w:val="left"/>
              <w:rPr>
                <w:rFonts w:ascii="????_GBK" w:eastAsia="Times New Roman"/>
                <w:b/>
              </w:rPr>
            </w:pPr>
            <w:r>
              <w:rPr>
                <w:rFonts w:ascii="????_GBK" w:eastAsia="Times New Roman"/>
                <w:b/>
              </w:rPr>
              <w:t>　　3、宗教基本事务管理</w:t>
            </w:r>
          </w:p>
        </w:tc>
        <w:tc>
          <w:tcPr>
            <w:tcW w:w="830" w:type="dxa"/>
            <w:vMerge w:val="restart"/>
            <w:vAlign w:val="center"/>
          </w:tcPr>
          <w:p>
            <w:pPr>
              <w:spacing w:line="240" w:lineRule="auto"/>
              <w:jc w:val="left"/>
              <w:rPr>
                <w:rFonts w:ascii="????_GBK" w:eastAsia="Times New Roman"/>
              </w:rPr>
            </w:pPr>
          </w:p>
        </w:tc>
        <w:tc>
          <w:tcPr>
            <w:tcW w:w="1935" w:type="dxa"/>
            <w:vMerge w:val="restart"/>
            <w:vAlign w:val="center"/>
          </w:tcPr>
          <w:p>
            <w:pPr>
              <w:spacing w:line="240" w:lineRule="auto"/>
              <w:jc w:val="left"/>
              <w:rPr>
                <w:rFonts w:ascii="????_GBK" w:eastAsia="Times New Roman"/>
              </w:rPr>
            </w:pPr>
            <w:r>
              <w:rPr>
                <w:rFonts w:ascii="????_GBK" w:eastAsia="Times New Roman"/>
              </w:rPr>
              <w:t>贯彻执行国家关于宗教工作的方针政策；监督检查宗教活动场所；对困难宗教教职人员进行补助；协调指导各教的基本事务管理工作。</w:t>
            </w:r>
          </w:p>
        </w:tc>
        <w:tc>
          <w:tcPr>
            <w:tcW w:w="1935" w:type="dxa"/>
            <w:vMerge w:val="restart"/>
            <w:vAlign w:val="center"/>
          </w:tcPr>
          <w:p>
            <w:pPr>
              <w:spacing w:line="240" w:lineRule="auto"/>
              <w:jc w:val="left"/>
              <w:rPr>
                <w:rFonts w:ascii="????_GBK" w:eastAsia="Times New Roman"/>
              </w:rPr>
            </w:pPr>
            <w:r>
              <w:rPr>
                <w:rFonts w:ascii="????_GBK" w:eastAsia="Times New Roman"/>
              </w:rPr>
              <w:t>完成宗教基本事务管理，加大全县宗教活动场所监管力度，及时解决各类问题</w:t>
            </w:r>
          </w:p>
        </w:tc>
        <w:tc>
          <w:tcPr>
            <w:tcW w:w="921" w:type="dxa"/>
            <w:vAlign w:val="center"/>
          </w:tcPr>
          <w:p>
            <w:pPr>
              <w:spacing w:line="240" w:lineRule="auto"/>
              <w:jc w:val="left"/>
              <w:rPr>
                <w:rFonts w:ascii="????_GBK" w:eastAsia="Times New Roman"/>
              </w:rPr>
            </w:pPr>
            <w:r>
              <w:rPr>
                <w:rFonts w:ascii="????_GBK" w:eastAsia="Times New Roman"/>
              </w:rPr>
              <w:t>宗教方针政策宣传</w:t>
            </w:r>
            <w:r>
              <w:rPr>
                <w:rFonts w:ascii="????_GBK"/>
              </w:rPr>
              <w:t>6</w:t>
            </w:r>
            <w:r>
              <w:rPr>
                <w:rFonts w:ascii="????_GBK" w:eastAsia="Times New Roman"/>
              </w:rPr>
              <w:t>次</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全县大型宗教活动场所检查</w:t>
            </w:r>
            <w:r>
              <w:rPr>
                <w:rFonts w:ascii="????_GBK"/>
              </w:rPr>
              <w:t>3</w:t>
            </w:r>
            <w:r>
              <w:rPr>
                <w:rFonts w:ascii="????_GBK" w:eastAsia="Times New Roman"/>
              </w:rPr>
              <w:t>次</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帮扶困难教职人员</w:t>
            </w:r>
            <w:r>
              <w:rPr>
                <w:rFonts w:ascii="????_GBK"/>
              </w:rPr>
              <w:t>100</w:t>
            </w:r>
            <w:r>
              <w:rPr>
                <w:rFonts w:hint="eastAsia" w:ascii="????_GBK"/>
              </w:rPr>
              <w:t>人</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全县大型宗教活动场所检查覆盖率</w:t>
            </w:r>
            <w:r>
              <w:rPr>
                <w:rFonts w:ascii="????_GBK"/>
              </w:rPr>
              <w:t>82%</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帮扶困难教职人员覆盖率</w:t>
            </w:r>
            <w:r>
              <w:rPr>
                <w:rFonts w:ascii="????_GBK"/>
              </w:rPr>
              <w:t>83%</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restart"/>
            <w:vAlign w:val="center"/>
          </w:tcPr>
          <w:p>
            <w:pPr>
              <w:spacing w:line="240" w:lineRule="auto"/>
              <w:jc w:val="left"/>
              <w:rPr>
                <w:rFonts w:ascii="????_GBK" w:eastAsia="Times New Roman"/>
                <w:b/>
              </w:rPr>
            </w:pPr>
            <w:r>
              <w:rPr>
                <w:rFonts w:ascii="????_GBK" w:eastAsia="Times New Roman"/>
                <w:b/>
              </w:rPr>
              <w:t>　　5、培训教育</w:t>
            </w:r>
          </w:p>
        </w:tc>
        <w:tc>
          <w:tcPr>
            <w:tcW w:w="830" w:type="dxa"/>
            <w:vMerge w:val="restart"/>
            <w:vAlign w:val="center"/>
          </w:tcPr>
          <w:p>
            <w:pPr>
              <w:spacing w:line="240" w:lineRule="auto"/>
              <w:jc w:val="left"/>
              <w:rPr>
                <w:rFonts w:ascii="仿宋" w:hAnsi="仿宋" w:eastAsia="仿宋"/>
                <w:sz w:val="24"/>
              </w:rPr>
            </w:pPr>
            <w:r>
              <w:rPr>
                <w:rFonts w:ascii="仿宋" w:hAnsi="仿宋" w:eastAsia="仿宋"/>
                <w:sz w:val="24"/>
              </w:rPr>
              <w:t>2.00</w:t>
            </w:r>
          </w:p>
        </w:tc>
        <w:tc>
          <w:tcPr>
            <w:tcW w:w="1935" w:type="dxa"/>
            <w:vMerge w:val="restart"/>
            <w:vAlign w:val="center"/>
          </w:tcPr>
          <w:p>
            <w:pPr>
              <w:spacing w:line="240" w:lineRule="auto"/>
              <w:jc w:val="left"/>
              <w:rPr>
                <w:rFonts w:ascii="????_GBK" w:eastAsia="Times New Roman"/>
              </w:rPr>
            </w:pPr>
            <w:r>
              <w:rPr>
                <w:rFonts w:ascii="????_GBK" w:eastAsia="Times New Roman"/>
              </w:rPr>
              <w:t>教育、培训各大宗教教职人员和信教群众，培养各大宗教爱国爱教人士，促进社会和谐稳定。</w:t>
            </w:r>
          </w:p>
        </w:tc>
        <w:tc>
          <w:tcPr>
            <w:tcW w:w="1935" w:type="dxa"/>
            <w:vMerge w:val="restart"/>
            <w:vAlign w:val="center"/>
          </w:tcPr>
          <w:p>
            <w:pPr>
              <w:spacing w:line="240" w:lineRule="auto"/>
              <w:jc w:val="left"/>
              <w:rPr>
                <w:rFonts w:ascii="????_GBK" w:eastAsia="Times New Roman"/>
              </w:rPr>
            </w:pPr>
            <w:r>
              <w:rPr>
                <w:rFonts w:ascii="????_GBK" w:eastAsia="Times New Roman"/>
              </w:rPr>
              <w:t>提高培训效果，确保结训人员数量</w:t>
            </w:r>
          </w:p>
        </w:tc>
        <w:tc>
          <w:tcPr>
            <w:tcW w:w="921" w:type="dxa"/>
            <w:vAlign w:val="center"/>
          </w:tcPr>
          <w:p>
            <w:pPr>
              <w:spacing w:line="240" w:lineRule="auto"/>
              <w:jc w:val="left"/>
              <w:rPr>
                <w:rFonts w:ascii="????_GBK" w:eastAsia="Times New Roman"/>
              </w:rPr>
            </w:pPr>
            <w:r>
              <w:rPr>
                <w:rFonts w:ascii="????_GBK" w:eastAsia="Times New Roman"/>
              </w:rPr>
              <w:t>培训</w:t>
            </w:r>
            <w:r>
              <w:rPr>
                <w:rFonts w:ascii="????_GBK"/>
              </w:rPr>
              <w:t>50</w:t>
            </w:r>
            <w:r>
              <w:rPr>
                <w:rFonts w:ascii="????_GBK" w:eastAsia="Times New Roman"/>
              </w:rPr>
              <w:t>人</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仿宋" w:hAnsi="仿宋" w:eastAsia="仿宋"/>
                <w:sz w:val="24"/>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培训通过率</w:t>
            </w:r>
            <w:r>
              <w:rPr>
                <w:rFonts w:ascii="????_GBK"/>
              </w:rPr>
              <w:t>91%</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restart"/>
            <w:vAlign w:val="center"/>
          </w:tcPr>
          <w:p>
            <w:pPr>
              <w:spacing w:line="240" w:lineRule="auto"/>
              <w:jc w:val="left"/>
              <w:rPr>
                <w:rFonts w:ascii="????_GBK" w:eastAsia="Times New Roman"/>
                <w:b/>
              </w:rPr>
            </w:pPr>
            <w:r>
              <w:rPr>
                <w:rFonts w:ascii="????_GBK" w:eastAsia="Times New Roman"/>
                <w:b/>
              </w:rPr>
              <w:t>　　6、民宗政务管理</w:t>
            </w:r>
          </w:p>
        </w:tc>
        <w:tc>
          <w:tcPr>
            <w:tcW w:w="830" w:type="dxa"/>
            <w:vMerge w:val="restart"/>
            <w:vAlign w:val="center"/>
          </w:tcPr>
          <w:p>
            <w:pPr>
              <w:spacing w:line="240" w:lineRule="auto"/>
              <w:jc w:val="left"/>
              <w:rPr>
                <w:rFonts w:ascii="仿宋" w:hAnsi="仿宋" w:eastAsia="仿宋"/>
                <w:sz w:val="24"/>
              </w:rPr>
            </w:pPr>
            <w:r>
              <w:rPr>
                <w:rFonts w:ascii="仿宋" w:hAnsi="仿宋" w:eastAsia="仿宋"/>
                <w:sz w:val="24"/>
              </w:rPr>
              <w:t>3.00</w:t>
            </w:r>
          </w:p>
        </w:tc>
        <w:tc>
          <w:tcPr>
            <w:tcW w:w="1935" w:type="dxa"/>
            <w:vMerge w:val="restart"/>
            <w:vAlign w:val="center"/>
          </w:tcPr>
          <w:p>
            <w:pPr>
              <w:spacing w:line="240" w:lineRule="auto"/>
              <w:jc w:val="left"/>
              <w:rPr>
                <w:rFonts w:ascii="????_GBK" w:eastAsia="Times New Roman"/>
              </w:rPr>
            </w:pPr>
            <w:r>
              <w:rPr>
                <w:rFonts w:ascii="????_GBK" w:eastAsia="Times New Roman"/>
              </w:rPr>
              <w:t>开展民族宗教政策和法制宣传教育工作，协助处理民族宗教方面</w:t>
            </w:r>
            <w:bookmarkStart w:id="0" w:name="_GoBack"/>
            <w:bookmarkEnd w:id="0"/>
            <w:r>
              <w:rPr>
                <w:rFonts w:ascii="????_GBK" w:eastAsia="Times New Roman"/>
              </w:rPr>
              <w:t>的维稳问题促进民族宗教团结、稳定，帮助宗教团体解决办公用房，推进县宗教团体业务用房建设，妥善处置宗教突发事件、维护宗教界和谐稳定。</w:t>
            </w:r>
          </w:p>
        </w:tc>
        <w:tc>
          <w:tcPr>
            <w:tcW w:w="1935" w:type="dxa"/>
            <w:vMerge w:val="restart"/>
            <w:vAlign w:val="center"/>
          </w:tcPr>
          <w:p>
            <w:pPr>
              <w:spacing w:line="240" w:lineRule="auto"/>
              <w:jc w:val="left"/>
              <w:rPr>
                <w:rFonts w:ascii="????_GBK" w:eastAsia="Times New Roman"/>
              </w:rPr>
            </w:pPr>
            <w:r>
              <w:rPr>
                <w:rFonts w:ascii="????_GBK" w:eastAsia="Times New Roman"/>
              </w:rPr>
              <w:t>保障机关正常运转</w:t>
            </w:r>
          </w:p>
        </w:tc>
        <w:tc>
          <w:tcPr>
            <w:tcW w:w="921" w:type="dxa"/>
            <w:vAlign w:val="center"/>
          </w:tcPr>
          <w:p>
            <w:pPr>
              <w:spacing w:line="240" w:lineRule="auto"/>
              <w:jc w:val="left"/>
              <w:rPr>
                <w:rFonts w:ascii="????_GBK" w:eastAsia="Times New Roman"/>
              </w:rPr>
            </w:pPr>
            <w:r>
              <w:rPr>
                <w:rFonts w:ascii="????_GBK" w:eastAsia="Times New Roman"/>
              </w:rPr>
              <w:t>维稳问题解决率</w:t>
            </w:r>
            <w:r>
              <w:rPr>
                <w:rFonts w:ascii="????_GBK"/>
              </w:rPr>
              <w:t>91%</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522" w:type="dxa"/>
            <w:vMerge w:val="continue"/>
            <w:vAlign w:val="center"/>
          </w:tcPr>
          <w:p>
            <w:pPr>
              <w:spacing w:line="240" w:lineRule="auto"/>
              <w:jc w:val="left"/>
              <w:rPr>
                <w:rFonts w:ascii="????_GBK" w:eastAsia="Times New Roman"/>
                <w:b/>
              </w:rPr>
            </w:pPr>
          </w:p>
        </w:tc>
        <w:tc>
          <w:tcPr>
            <w:tcW w:w="830"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1935" w:type="dxa"/>
            <w:vMerge w:val="continue"/>
            <w:vAlign w:val="center"/>
          </w:tcPr>
          <w:p>
            <w:pPr>
              <w:spacing w:line="240" w:lineRule="auto"/>
              <w:jc w:val="left"/>
              <w:rPr>
                <w:rFonts w:ascii="????_GBK" w:eastAsia="Times New Roman"/>
              </w:rPr>
            </w:pPr>
          </w:p>
        </w:tc>
        <w:tc>
          <w:tcPr>
            <w:tcW w:w="921" w:type="dxa"/>
            <w:vAlign w:val="center"/>
          </w:tcPr>
          <w:p>
            <w:pPr>
              <w:spacing w:line="240" w:lineRule="auto"/>
              <w:jc w:val="left"/>
              <w:rPr>
                <w:rFonts w:ascii="????_GBK" w:eastAsia="Times New Roman"/>
              </w:rPr>
            </w:pPr>
            <w:r>
              <w:rPr>
                <w:rFonts w:ascii="????_GBK" w:eastAsia="Times New Roman"/>
              </w:rPr>
              <w:t>综合事务工作完成</w:t>
            </w:r>
            <w:r>
              <w:rPr>
                <w:rFonts w:ascii="????_GBK"/>
              </w:rPr>
              <w:t>100%</w:t>
            </w:r>
            <w:r>
              <w:rPr>
                <w:rFonts w:ascii="????_GBK" w:eastAsia="Times New Roman"/>
              </w:rPr>
              <w:t>率</w:t>
            </w:r>
          </w:p>
        </w:tc>
        <w:tc>
          <w:tcPr>
            <w:tcW w:w="479" w:type="dxa"/>
            <w:vAlign w:val="center"/>
          </w:tcPr>
          <w:p>
            <w:pPr>
              <w:spacing w:line="240" w:lineRule="auto"/>
              <w:jc w:val="center"/>
              <w:rPr>
                <w:rFonts w:ascii="????_GBK"/>
              </w:rPr>
            </w:pPr>
            <w:r>
              <w:rPr>
                <w:rFonts w:hint="eastAsia" w:ascii="????_GBK"/>
              </w:rPr>
              <w:t>优</w:t>
            </w:r>
          </w:p>
        </w:tc>
        <w:tc>
          <w:tcPr>
            <w:tcW w:w="480"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c>
          <w:tcPr>
            <w:tcW w:w="479" w:type="dxa"/>
            <w:vAlign w:val="center"/>
          </w:tcPr>
          <w:p>
            <w:pPr>
              <w:spacing w:line="240" w:lineRule="auto"/>
              <w:jc w:val="center"/>
              <w:rPr>
                <w:rFonts w:ascii="????_GBK" w:eastAsia="Times New Roman"/>
              </w:rPr>
            </w:pPr>
          </w:p>
        </w:tc>
      </w:tr>
    </w:tbl>
    <w:p>
      <w:pPr>
        <w:adjustRightInd w:val="0"/>
        <w:snapToGrid w:val="0"/>
        <w:spacing w:after="0" w:line="580" w:lineRule="exact"/>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olor w:val="000000"/>
          <w:sz w:val="32"/>
          <w:szCs w:val="32"/>
        </w:rPr>
        <w:t>本部门</w:t>
      </w:r>
      <w:r>
        <w:rPr>
          <w:rFonts w:ascii="仿宋" w:hAnsi="仿宋" w:eastAsia="仿宋"/>
          <w:color w:val="000000"/>
          <w:sz w:val="32"/>
          <w:szCs w:val="32"/>
        </w:rPr>
        <w:t>2018</w:t>
      </w:r>
      <w:r>
        <w:rPr>
          <w:rFonts w:hint="eastAsia" w:ascii="仿宋" w:hAnsi="仿宋" w:eastAsia="仿宋"/>
          <w:color w:val="000000"/>
          <w:sz w:val="32"/>
          <w:szCs w:val="32"/>
        </w:rPr>
        <w:t>年度机关运行经费支出</w:t>
      </w:r>
      <w:r>
        <w:rPr>
          <w:rFonts w:ascii="仿宋" w:hAnsi="仿宋" w:eastAsia="仿宋"/>
          <w:color w:val="000000"/>
          <w:sz w:val="32"/>
          <w:szCs w:val="32"/>
        </w:rPr>
        <w:t>9.44</w:t>
      </w:r>
      <w:r>
        <w:rPr>
          <w:rFonts w:hint="eastAsia" w:ascii="仿宋" w:hAnsi="仿宋" w:eastAsia="仿宋"/>
          <w:color w:val="000000"/>
          <w:sz w:val="32"/>
          <w:szCs w:val="32"/>
        </w:rPr>
        <w:t>万元，比年初预算数增加</w:t>
      </w:r>
      <w:r>
        <w:rPr>
          <w:rFonts w:ascii="仿宋" w:hAnsi="仿宋" w:eastAsia="仿宋"/>
          <w:color w:val="000000"/>
          <w:sz w:val="32"/>
          <w:szCs w:val="32"/>
        </w:rPr>
        <w:t>0</w:t>
      </w:r>
      <w:r>
        <w:rPr>
          <w:rFonts w:hint="eastAsia" w:ascii="仿宋" w:hAnsi="仿宋" w:eastAsia="仿宋"/>
          <w:color w:val="000000"/>
          <w:sz w:val="32"/>
          <w:szCs w:val="32"/>
        </w:rPr>
        <w:t>万元，增长</w:t>
      </w:r>
      <w:r>
        <w:rPr>
          <w:rFonts w:ascii="仿宋" w:hAnsi="仿宋" w:eastAsia="仿宋"/>
          <w:color w:val="000000"/>
          <w:sz w:val="32"/>
          <w:szCs w:val="32"/>
        </w:rPr>
        <w:t>0 %</w:t>
      </w:r>
      <w:r>
        <w:rPr>
          <w:rFonts w:hint="eastAsia" w:ascii="仿宋" w:hAnsi="仿宋" w:eastAsia="仿宋"/>
          <w:color w:val="000000"/>
          <w:sz w:val="32"/>
          <w:szCs w:val="32"/>
        </w:rPr>
        <w:t>。主要是较年初预算无增减变化。较</w:t>
      </w:r>
      <w:r>
        <w:rPr>
          <w:rFonts w:ascii="仿宋" w:hAnsi="仿宋" w:eastAsia="仿宋"/>
          <w:color w:val="000000"/>
          <w:sz w:val="32"/>
          <w:szCs w:val="32"/>
        </w:rPr>
        <w:t>2017</w:t>
      </w:r>
      <w:r>
        <w:rPr>
          <w:rFonts w:hint="eastAsia" w:ascii="仿宋" w:hAnsi="仿宋" w:eastAsia="仿宋"/>
          <w:color w:val="000000"/>
          <w:sz w:val="32"/>
          <w:szCs w:val="32"/>
        </w:rPr>
        <w:t>年度决算增加</w:t>
      </w:r>
      <w:r>
        <w:rPr>
          <w:rFonts w:ascii="仿宋" w:hAnsi="仿宋" w:eastAsia="仿宋"/>
          <w:color w:val="000000"/>
          <w:sz w:val="32"/>
          <w:szCs w:val="32"/>
        </w:rPr>
        <w:t>1.63</w:t>
      </w:r>
      <w:r>
        <w:rPr>
          <w:rFonts w:hint="eastAsia" w:ascii="仿宋" w:hAnsi="仿宋" w:eastAsia="仿宋"/>
          <w:color w:val="000000"/>
          <w:sz w:val="32"/>
          <w:szCs w:val="32"/>
        </w:rPr>
        <w:t>万元，增长</w:t>
      </w:r>
      <w:r>
        <w:rPr>
          <w:rFonts w:ascii="仿宋" w:hAnsi="仿宋" w:eastAsia="仿宋"/>
          <w:color w:val="000000"/>
          <w:sz w:val="32"/>
          <w:szCs w:val="32"/>
        </w:rPr>
        <w:t>20.87%</w:t>
      </w:r>
      <w:r>
        <w:rPr>
          <w:rFonts w:hint="eastAsia" w:ascii="仿宋" w:hAnsi="仿宋" w:eastAsia="仿宋"/>
          <w:color w:val="000000"/>
          <w:sz w:val="32"/>
          <w:szCs w:val="32"/>
        </w:rPr>
        <w:t>，主要是人员增加，业务量增加</w:t>
      </w:r>
      <w:r>
        <w:rPr>
          <w:rFonts w:hint="eastAsia" w:ascii="仿宋" w:hAnsi="仿宋" w:eastAsia="仿宋"/>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年度政府采购支出总额</w:t>
      </w:r>
      <w:r>
        <w:rPr>
          <w:rFonts w:ascii="仿宋" w:hAnsi="仿宋" w:eastAsia="仿宋" w:cs="DengXian-Regular"/>
          <w:sz w:val="32"/>
          <w:szCs w:val="32"/>
        </w:rPr>
        <w:t>0</w:t>
      </w:r>
      <w:r>
        <w:rPr>
          <w:rFonts w:hint="eastAsia" w:ascii="仿宋" w:hAnsi="仿宋" w:eastAsia="仿宋" w:cs="DengXian-Regular"/>
          <w:sz w:val="32"/>
          <w:szCs w:val="32"/>
        </w:rPr>
        <w:t>万元，从采购类型来看，</w:t>
      </w:r>
      <w:r>
        <w:rPr>
          <w:rFonts w:hint="eastAsia" w:ascii="仿宋" w:hAnsi="仿宋" w:eastAsia="仿宋" w:cs="仿宋_GB2312"/>
          <w:color w:val="000000"/>
          <w:kern w:val="0"/>
          <w:sz w:val="32"/>
          <w:szCs w:val="32"/>
        </w:rPr>
        <w:t>政府采购货物支出</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万元、政府采购工程支出</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万元、政府采购服务</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万元。授予中小企业合同金</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万元，占政府采购支出总额的</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，其中授予小微企业合同金额</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万元，占政府采购支出总额的</w:t>
      </w:r>
      <w:r>
        <w:rPr>
          <w:rFonts w:ascii="仿宋" w:hAnsi="仿宋" w:eastAsia="仿宋" w:cs="仿宋_GB2312"/>
          <w:color w:val="000000"/>
          <w:kern w:val="0"/>
          <w:sz w:val="32"/>
          <w:szCs w:val="32"/>
        </w:rPr>
        <w:t xml:space="preserve"> 0%</w:t>
      </w:r>
      <w:r>
        <w:rPr>
          <w:rFonts w:hint="eastAsia" w:ascii="仿宋" w:hAnsi="仿宋" w:eastAsia="仿宋" w:cs="仿宋_GB2312"/>
          <w:color w:val="000000"/>
          <w:kern w:val="0"/>
          <w:sz w:val="32"/>
          <w:szCs w:val="32"/>
        </w:rPr>
        <w:t>。按要求空表列示。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截至</w:t>
      </w:r>
      <w:r>
        <w:rPr>
          <w:rFonts w:ascii="仿宋" w:hAnsi="仿宋" w:eastAsia="仿宋" w:cs="DengXian-Regular"/>
          <w:sz w:val="32"/>
          <w:szCs w:val="32"/>
        </w:rPr>
        <w:t>2018</w:t>
      </w:r>
      <w:r>
        <w:rPr>
          <w:rFonts w:hint="eastAsia" w:ascii="仿宋" w:hAnsi="仿宋" w:eastAsia="仿宋" w:cs="DengXian-Regular"/>
          <w:sz w:val="32"/>
          <w:szCs w:val="32"/>
        </w:rPr>
        <w:t>年</w:t>
      </w:r>
      <w:r>
        <w:rPr>
          <w:rFonts w:ascii="仿宋" w:hAnsi="仿宋" w:eastAsia="仿宋" w:cs="DengXian-Regular"/>
          <w:sz w:val="32"/>
          <w:szCs w:val="32"/>
        </w:rPr>
        <w:t>12</w:t>
      </w:r>
      <w:r>
        <w:rPr>
          <w:rFonts w:hint="eastAsia" w:ascii="仿宋" w:hAnsi="仿宋" w:eastAsia="仿宋" w:cs="DengXian-Regular"/>
          <w:sz w:val="32"/>
          <w:szCs w:val="32"/>
        </w:rPr>
        <w:t>月</w:t>
      </w:r>
      <w:r>
        <w:rPr>
          <w:rFonts w:ascii="仿宋" w:hAnsi="仿宋" w:eastAsia="仿宋" w:cs="DengXian-Regular"/>
          <w:sz w:val="32"/>
          <w:szCs w:val="32"/>
        </w:rPr>
        <w:t>31</w:t>
      </w:r>
      <w:r>
        <w:rPr>
          <w:rFonts w:hint="eastAsia" w:ascii="仿宋" w:hAnsi="仿宋" w:eastAsia="仿宋" w:cs="DengXian-Regular"/>
          <w:sz w:val="32"/>
          <w:szCs w:val="32"/>
        </w:rPr>
        <w:t>日，本部门共有车辆</w:t>
      </w:r>
      <w:r>
        <w:rPr>
          <w:rFonts w:ascii="仿宋" w:hAnsi="仿宋" w:eastAsia="仿宋" w:cs="DengXian-Regular"/>
          <w:sz w:val="32"/>
          <w:szCs w:val="32"/>
        </w:rPr>
        <w:t>1</w:t>
      </w:r>
      <w:r>
        <w:rPr>
          <w:rFonts w:hint="eastAsia" w:ascii="仿宋" w:hAnsi="仿宋" w:eastAsia="仿宋" w:cs="DengXian-Regular"/>
          <w:sz w:val="32"/>
          <w:szCs w:val="32"/>
        </w:rPr>
        <w:t>辆，比上年增加</w:t>
      </w:r>
      <w:r>
        <w:rPr>
          <w:rFonts w:ascii="仿宋" w:hAnsi="仿宋" w:eastAsia="仿宋" w:cs="DengXian-Regular"/>
          <w:sz w:val="32"/>
          <w:szCs w:val="32"/>
        </w:rPr>
        <w:t>0</w:t>
      </w:r>
      <w:r>
        <w:rPr>
          <w:rFonts w:hint="eastAsia" w:ascii="仿宋" w:hAnsi="仿宋" w:eastAsia="仿宋" w:cs="DengXian-Regular"/>
          <w:sz w:val="32"/>
          <w:szCs w:val="32"/>
        </w:rPr>
        <w:t>辆，主要是较上年无增减变化。其中，副部（省）级及以上领导用车</w:t>
      </w:r>
      <w:r>
        <w:rPr>
          <w:rFonts w:ascii="仿宋" w:hAnsi="仿宋" w:eastAsia="仿宋" w:cs="DengXian-Regular"/>
          <w:sz w:val="32"/>
          <w:szCs w:val="32"/>
        </w:rPr>
        <w:t>0</w:t>
      </w:r>
      <w:r>
        <w:rPr>
          <w:rFonts w:hint="eastAsia" w:ascii="仿宋" w:hAnsi="仿宋" w:eastAsia="仿宋" w:cs="DengXian-Regular"/>
          <w:sz w:val="32"/>
          <w:szCs w:val="32"/>
        </w:rPr>
        <w:t>辆，主要领导干部用车</w:t>
      </w:r>
      <w:r>
        <w:rPr>
          <w:rFonts w:ascii="仿宋" w:hAnsi="仿宋" w:eastAsia="仿宋" w:cs="DengXian-Regular"/>
          <w:sz w:val="32"/>
          <w:szCs w:val="32"/>
        </w:rPr>
        <w:t>0</w:t>
      </w:r>
      <w:r>
        <w:rPr>
          <w:rFonts w:hint="eastAsia" w:ascii="仿宋" w:hAnsi="仿宋" w:eastAsia="仿宋" w:cs="DengXian-Regular"/>
          <w:sz w:val="32"/>
          <w:szCs w:val="32"/>
        </w:rPr>
        <w:t>辆，机要通信用车</w:t>
      </w:r>
      <w:r>
        <w:rPr>
          <w:rFonts w:ascii="仿宋" w:hAnsi="仿宋" w:eastAsia="仿宋" w:cs="DengXian-Regular"/>
          <w:sz w:val="32"/>
          <w:szCs w:val="32"/>
        </w:rPr>
        <w:t>0</w:t>
      </w:r>
      <w:r>
        <w:rPr>
          <w:rFonts w:hint="eastAsia" w:ascii="仿宋" w:hAnsi="仿宋" w:eastAsia="仿宋" w:cs="DengXian-Regular"/>
          <w:sz w:val="32"/>
          <w:szCs w:val="32"/>
        </w:rPr>
        <w:t>辆，应急保障用车</w:t>
      </w:r>
      <w:r>
        <w:rPr>
          <w:rFonts w:ascii="仿宋" w:hAnsi="仿宋" w:eastAsia="仿宋" w:cs="DengXian-Regular"/>
          <w:sz w:val="32"/>
          <w:szCs w:val="32"/>
        </w:rPr>
        <w:t>0</w:t>
      </w:r>
      <w:r>
        <w:rPr>
          <w:rFonts w:hint="eastAsia" w:ascii="仿宋" w:hAnsi="仿宋" w:eastAsia="仿宋" w:cs="DengXian-Regular"/>
          <w:sz w:val="32"/>
          <w:szCs w:val="32"/>
        </w:rPr>
        <w:t>辆，执法执勤用车</w:t>
      </w:r>
      <w:r>
        <w:rPr>
          <w:rFonts w:ascii="仿宋" w:hAnsi="仿宋" w:eastAsia="仿宋" w:cs="DengXian-Regular"/>
          <w:sz w:val="32"/>
          <w:szCs w:val="32"/>
        </w:rPr>
        <w:t>0</w:t>
      </w:r>
      <w:r>
        <w:rPr>
          <w:rFonts w:hint="eastAsia" w:ascii="仿宋" w:hAnsi="仿宋" w:eastAsia="仿宋" w:cs="DengXian-Regular"/>
          <w:sz w:val="32"/>
          <w:szCs w:val="32"/>
        </w:rPr>
        <w:t>辆，特种专业技术用车</w:t>
      </w:r>
      <w:r>
        <w:rPr>
          <w:rFonts w:ascii="仿宋" w:hAnsi="仿宋" w:eastAsia="仿宋" w:cs="DengXian-Regular"/>
          <w:sz w:val="32"/>
          <w:szCs w:val="32"/>
        </w:rPr>
        <w:t>0</w:t>
      </w:r>
      <w:r>
        <w:rPr>
          <w:rFonts w:hint="eastAsia" w:ascii="仿宋" w:hAnsi="仿宋" w:eastAsia="仿宋" w:cs="DengXian-Regular"/>
          <w:sz w:val="32"/>
          <w:szCs w:val="32"/>
        </w:rPr>
        <w:t>辆，离退休干部用车</w:t>
      </w:r>
      <w:r>
        <w:rPr>
          <w:rFonts w:ascii="仿宋" w:hAnsi="仿宋" w:eastAsia="仿宋" w:cs="DengXian-Regular"/>
          <w:sz w:val="32"/>
          <w:szCs w:val="32"/>
        </w:rPr>
        <w:t>0</w:t>
      </w:r>
      <w:r>
        <w:rPr>
          <w:rFonts w:hint="eastAsia" w:ascii="仿宋" w:hAnsi="仿宋" w:eastAsia="仿宋" w:cs="DengXian-Regular"/>
          <w:sz w:val="32"/>
          <w:szCs w:val="32"/>
        </w:rPr>
        <w:t>辆，其他用车</w:t>
      </w:r>
      <w:r>
        <w:rPr>
          <w:rFonts w:ascii="仿宋" w:hAnsi="仿宋" w:eastAsia="仿宋" w:cs="DengXian-Regular"/>
          <w:sz w:val="32"/>
          <w:szCs w:val="32"/>
        </w:rPr>
        <w:t>0</w:t>
      </w:r>
      <w:r>
        <w:rPr>
          <w:rFonts w:hint="eastAsia" w:ascii="仿宋" w:hAnsi="仿宋" w:eastAsia="仿宋" w:cs="DengXian-Regular"/>
          <w:sz w:val="32"/>
          <w:szCs w:val="32"/>
        </w:rPr>
        <w:t>辆，其他用车主要是无其他用车；单位价值</w:t>
      </w:r>
      <w:r>
        <w:rPr>
          <w:rFonts w:ascii="仿宋" w:hAnsi="仿宋" w:eastAsia="仿宋" w:cs="TimesNewRomanPSMT"/>
          <w:sz w:val="32"/>
          <w:szCs w:val="32"/>
        </w:rPr>
        <w:t>50</w:t>
      </w:r>
      <w:r>
        <w:rPr>
          <w:rFonts w:hint="eastAsia" w:ascii="仿宋" w:hAnsi="仿宋" w:eastAsia="仿宋" w:cs="DengXian-Regular"/>
          <w:sz w:val="32"/>
          <w:szCs w:val="32"/>
        </w:rPr>
        <w:t>万元以上通用设备</w:t>
      </w:r>
      <w:r>
        <w:rPr>
          <w:rFonts w:ascii="仿宋" w:hAnsi="仿宋" w:eastAsia="仿宋" w:cs="DengXian-Regular"/>
          <w:sz w:val="32"/>
          <w:szCs w:val="32"/>
        </w:rPr>
        <w:t>0</w:t>
      </w:r>
      <w:r>
        <w:rPr>
          <w:rFonts w:hint="eastAsia" w:ascii="仿宋" w:hAnsi="仿宋" w:eastAsia="仿宋" w:cs="DengXian-Regular"/>
          <w:sz w:val="32"/>
          <w:szCs w:val="32"/>
        </w:rPr>
        <w:t>台（套），比上年</w:t>
      </w:r>
      <w:r>
        <w:rPr>
          <w:rFonts w:ascii="仿宋" w:hAnsi="仿宋" w:eastAsia="仿宋" w:cs="DengXian-Regular"/>
          <w:sz w:val="32"/>
          <w:szCs w:val="32"/>
        </w:rPr>
        <w:t>0</w:t>
      </w:r>
      <w:r>
        <w:rPr>
          <w:rFonts w:hint="eastAsia" w:ascii="仿宋" w:hAnsi="仿宋" w:eastAsia="仿宋" w:cs="DengXian-Regular"/>
          <w:sz w:val="32"/>
          <w:szCs w:val="32"/>
        </w:rPr>
        <w:t>套，主要是较上年无增减变化，单位价值</w:t>
      </w:r>
      <w:r>
        <w:rPr>
          <w:rFonts w:ascii="仿宋" w:hAnsi="仿宋" w:eastAsia="仿宋" w:cs="TimesNewRomanPSMT"/>
          <w:sz w:val="32"/>
          <w:szCs w:val="32"/>
        </w:rPr>
        <w:t>100</w:t>
      </w:r>
      <w:r>
        <w:rPr>
          <w:rFonts w:hint="eastAsia" w:ascii="仿宋" w:hAnsi="仿宋" w:eastAsia="仿宋" w:cs="DengXian-Regular"/>
          <w:sz w:val="32"/>
          <w:szCs w:val="32"/>
        </w:rPr>
        <w:t>万元以上专用设备</w:t>
      </w:r>
      <w:r>
        <w:rPr>
          <w:rFonts w:ascii="仿宋" w:hAnsi="仿宋" w:eastAsia="仿宋" w:cs="DengXian-Regular"/>
          <w:sz w:val="32"/>
          <w:szCs w:val="32"/>
        </w:rPr>
        <w:t>0</w:t>
      </w:r>
      <w:r>
        <w:rPr>
          <w:rFonts w:hint="eastAsia" w:ascii="仿宋" w:hAnsi="仿宋" w:eastAsia="仿宋" w:cs="DengXian-Regular"/>
          <w:sz w:val="32"/>
          <w:szCs w:val="32"/>
        </w:rPr>
        <w:t>台（套）比上年增加</w:t>
      </w:r>
      <w:r>
        <w:rPr>
          <w:rFonts w:ascii="仿宋" w:hAnsi="仿宋" w:eastAsia="仿宋" w:cs="DengXian-Regular"/>
          <w:sz w:val="32"/>
          <w:szCs w:val="32"/>
        </w:rPr>
        <w:t>0</w:t>
      </w:r>
      <w:r>
        <w:rPr>
          <w:rFonts w:hint="eastAsia" w:ascii="仿宋" w:hAnsi="仿宋" w:eastAsia="仿宋" w:cs="DengXian-Regular"/>
          <w:sz w:val="32"/>
          <w:szCs w:val="32"/>
        </w:rPr>
        <w:t>套</w:t>
      </w:r>
      <w:r>
        <w:rPr>
          <w:rFonts w:ascii="仿宋" w:hAnsi="仿宋" w:eastAsia="仿宋" w:cs="DengXian-Regular"/>
          <w:sz w:val="32"/>
          <w:szCs w:val="32"/>
        </w:rPr>
        <w:t>,</w:t>
      </w:r>
      <w:r>
        <w:rPr>
          <w:rFonts w:hint="eastAsia" w:ascii="仿宋" w:hAnsi="仿宋" w:eastAsia="仿宋" w:cs="DengXian-Regular"/>
          <w:sz w:val="32"/>
          <w:szCs w:val="32"/>
        </w:rPr>
        <w:t>主要是较上年无增减变化。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 w:hAnsi="仿宋" w:eastAsia="仿宋" w:cs="DengXian-Regular"/>
          <w:sz w:val="32"/>
          <w:szCs w:val="32"/>
        </w:rPr>
      </w:pPr>
      <w:r>
        <w:rPr>
          <w:rFonts w:ascii="仿宋" w:hAnsi="仿宋" w:eastAsia="仿宋" w:cs="DengXian-Regular"/>
          <w:sz w:val="32"/>
          <w:szCs w:val="32"/>
        </w:rPr>
        <w:t>1</w:t>
      </w: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年度政府性基金无收支及结转结余情况，故</w:t>
      </w:r>
      <w:r>
        <w:rPr>
          <w:rFonts w:ascii="仿宋" w:hAnsi="仿宋" w:eastAsia="仿宋" w:cs="DengXian-Regular"/>
          <w:sz w:val="32"/>
          <w:szCs w:val="32"/>
        </w:rPr>
        <w:t>08</w:t>
      </w:r>
      <w:r>
        <w:rPr>
          <w:rFonts w:hint="eastAsia" w:ascii="仿宋" w:hAnsi="仿宋" w:eastAsia="仿宋" w:cs="DengXian-Regular"/>
          <w:sz w:val="32"/>
          <w:szCs w:val="32"/>
        </w:rPr>
        <w:t>表以空表列示。</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年度国有资本经营无收支及结转结余情况，故</w:t>
      </w:r>
      <w:r>
        <w:rPr>
          <w:rFonts w:ascii="仿宋" w:hAnsi="仿宋" w:eastAsia="仿宋" w:cs="DengXian-Regular"/>
          <w:sz w:val="32"/>
          <w:szCs w:val="32"/>
        </w:rPr>
        <w:t>09</w:t>
      </w:r>
      <w:r>
        <w:rPr>
          <w:rFonts w:hint="eastAsia" w:ascii="仿宋" w:hAnsi="仿宋" w:eastAsia="仿宋" w:cs="DengXian-Regular"/>
          <w:sz w:val="32"/>
          <w:szCs w:val="32"/>
        </w:rPr>
        <w:t>表以空表列示。</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年度政府采购无收支及结转结余情况，故</w:t>
      </w:r>
      <w:r>
        <w:rPr>
          <w:rFonts w:ascii="仿宋" w:hAnsi="仿宋" w:eastAsia="仿宋" w:cs="DengXian-Regular"/>
          <w:sz w:val="32"/>
          <w:szCs w:val="32"/>
        </w:rPr>
        <w:t>10</w:t>
      </w:r>
      <w:r>
        <w:rPr>
          <w:rFonts w:hint="eastAsia" w:ascii="仿宋" w:hAnsi="仿宋" w:eastAsia="仿宋" w:cs="DengXian-Regular"/>
          <w:sz w:val="32"/>
          <w:szCs w:val="32"/>
        </w:rPr>
        <w:t>表以空表列示。</w:t>
      </w:r>
    </w:p>
    <w:p>
      <w:pPr>
        <w:adjustRightInd w:val="0"/>
        <w:snapToGrid w:val="0"/>
        <w:spacing w:after="0" w:line="580" w:lineRule="exact"/>
        <w:ind w:firstLine="640" w:firstLineChars="200"/>
        <w:rPr>
          <w:rFonts w:ascii="仿宋" w:hAnsi="仿宋" w:eastAsia="仿宋" w:cs="DengXian-Regular"/>
          <w:sz w:val="32"/>
          <w:szCs w:val="32"/>
        </w:rPr>
      </w:pPr>
      <w:r>
        <w:rPr>
          <w:rFonts w:ascii="仿宋" w:hAnsi="仿宋" w:eastAsia="仿宋" w:cs="DengXian-Regular"/>
          <w:sz w:val="32"/>
          <w:szCs w:val="32"/>
        </w:rPr>
        <w:t>2</w:t>
      </w:r>
      <w:r>
        <w:rPr>
          <w:rFonts w:hint="eastAsia" w:ascii="仿宋" w:hAnsi="仿宋" w:eastAsia="仿宋"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0CA"/>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A306E"/>
    <w:rsid w:val="003B6C51"/>
    <w:rsid w:val="003C1413"/>
    <w:rsid w:val="003C549F"/>
    <w:rsid w:val="003D5A16"/>
    <w:rsid w:val="003E7DB3"/>
    <w:rsid w:val="004141C4"/>
    <w:rsid w:val="00431175"/>
    <w:rsid w:val="004374A3"/>
    <w:rsid w:val="00493686"/>
    <w:rsid w:val="004B14CF"/>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A7902"/>
    <w:rsid w:val="006D4EA7"/>
    <w:rsid w:val="0070012A"/>
    <w:rsid w:val="0070664B"/>
    <w:rsid w:val="007071B8"/>
    <w:rsid w:val="007155C2"/>
    <w:rsid w:val="00736424"/>
    <w:rsid w:val="007414DE"/>
    <w:rsid w:val="00760C0C"/>
    <w:rsid w:val="007905A9"/>
    <w:rsid w:val="007E072B"/>
    <w:rsid w:val="007E5500"/>
    <w:rsid w:val="007E682D"/>
    <w:rsid w:val="007F055B"/>
    <w:rsid w:val="00811C2F"/>
    <w:rsid w:val="00833D46"/>
    <w:rsid w:val="00836215"/>
    <w:rsid w:val="00840A97"/>
    <w:rsid w:val="00872B02"/>
    <w:rsid w:val="00873292"/>
    <w:rsid w:val="008A640A"/>
    <w:rsid w:val="008C0149"/>
    <w:rsid w:val="008D5DED"/>
    <w:rsid w:val="008E25CA"/>
    <w:rsid w:val="008F34FC"/>
    <w:rsid w:val="008F4C19"/>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39EC"/>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C523A"/>
    <w:rsid w:val="00CE3FC3"/>
    <w:rsid w:val="00D0048E"/>
    <w:rsid w:val="00D23E7A"/>
    <w:rsid w:val="00D56D8F"/>
    <w:rsid w:val="00D61063"/>
    <w:rsid w:val="00DB35AF"/>
    <w:rsid w:val="00DD1D7D"/>
    <w:rsid w:val="00DD72D7"/>
    <w:rsid w:val="00DF5B88"/>
    <w:rsid w:val="00E0240D"/>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57392"/>
    <w:rsid w:val="00F63DFC"/>
    <w:rsid w:val="00F679C7"/>
    <w:rsid w:val="00F7711A"/>
    <w:rsid w:val="00F80C72"/>
    <w:rsid w:val="00F86C83"/>
    <w:rsid w:val="00FA0D58"/>
    <w:rsid w:val="00FA1580"/>
    <w:rsid w:val="00FA56F4"/>
    <w:rsid w:val="00FB4EDA"/>
    <w:rsid w:val="00FD3BD5"/>
    <w:rsid w:val="00FE3DC8"/>
    <w:rsid w:val="04073F84"/>
    <w:rsid w:val="0B60750A"/>
    <w:rsid w:val="10686488"/>
    <w:rsid w:val="10DF728A"/>
    <w:rsid w:val="1264200E"/>
    <w:rsid w:val="141C5B77"/>
    <w:rsid w:val="18D8339D"/>
    <w:rsid w:val="1A21388F"/>
    <w:rsid w:val="1A570D2F"/>
    <w:rsid w:val="1D657521"/>
    <w:rsid w:val="1E90597A"/>
    <w:rsid w:val="28FB0B8D"/>
    <w:rsid w:val="2D2B7942"/>
    <w:rsid w:val="2D46481D"/>
    <w:rsid w:val="2E733B28"/>
    <w:rsid w:val="2E737C11"/>
    <w:rsid w:val="31852B5A"/>
    <w:rsid w:val="32D01238"/>
    <w:rsid w:val="3A5E1CC0"/>
    <w:rsid w:val="3DFC59A8"/>
    <w:rsid w:val="3ECF245E"/>
    <w:rsid w:val="3FB96314"/>
    <w:rsid w:val="4D64416F"/>
    <w:rsid w:val="53A44FAF"/>
    <w:rsid w:val="594329EC"/>
    <w:rsid w:val="5BEE1540"/>
    <w:rsid w:val="5DE61A5D"/>
    <w:rsid w:val="63C04243"/>
    <w:rsid w:val="64086B67"/>
    <w:rsid w:val="649C01C7"/>
    <w:rsid w:val="699A3F60"/>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paragraph" w:styleId="5">
    <w:name w:val="heading 4"/>
    <w:basedOn w:val="1"/>
    <w:next w:val="1"/>
    <w:link w:val="19"/>
    <w:qFormat/>
    <w:uiPriority w:val="99"/>
    <w:pPr>
      <w:keepNext/>
      <w:keepLines/>
      <w:spacing w:before="280" w:after="290" w:line="376" w:lineRule="auto"/>
      <w:outlineLvl w:val="3"/>
    </w:pPr>
    <w:rPr>
      <w:rFonts w:ascii="Calibri" w:hAnsi="Calibr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0"/>
    <w:qFormat/>
    <w:uiPriority w:val="99"/>
    <w:pPr>
      <w:ind w:left="100" w:leftChars="2500"/>
    </w:pPr>
  </w:style>
  <w:style w:type="paragraph" w:styleId="7">
    <w:name w:val="Balloon Text"/>
    <w:basedOn w:val="1"/>
    <w:link w:val="21"/>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4"/>
    <w:qFormat/>
    <w:uiPriority w:val="99"/>
    <w:pPr>
      <w:widowControl/>
      <w:spacing w:after="200" w:line="276" w:lineRule="auto"/>
      <w:jc w:val="left"/>
    </w:pPr>
    <w:rPr>
      <w:rFonts w:ascii="Calibri" w:hAnsi="Calibri"/>
      <w:i/>
      <w:iCs/>
      <w:color w:val="F0A22E"/>
      <w:spacing w:val="15"/>
      <w:kern w:val="0"/>
      <w:sz w:val="24"/>
    </w:rPr>
  </w:style>
  <w:style w:type="paragraph" w:styleId="11">
    <w:name w:val="Normal (Web)"/>
    <w:basedOn w:val="1"/>
    <w:qFormat/>
    <w:uiPriority w:val="99"/>
    <w:pPr>
      <w:jc w:val="left"/>
    </w:pPr>
    <w:rPr>
      <w:kern w:val="0"/>
      <w:sz w:val="24"/>
    </w:rPr>
  </w:style>
  <w:style w:type="paragraph" w:styleId="12">
    <w:name w:val="Title"/>
    <w:basedOn w:val="1"/>
    <w:next w:val="1"/>
    <w:link w:val="25"/>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
    <w:name w:val="标题 1 Char"/>
    <w:basedOn w:val="15"/>
    <w:link w:val="2"/>
    <w:qFormat/>
    <w:locked/>
    <w:uiPriority w:val="99"/>
    <w:rPr>
      <w:rFonts w:ascii="Times New Roman" w:hAnsi="Times New Roman" w:eastAsia="宋体" w:cs="Times New Roman"/>
      <w:b/>
      <w:bCs/>
      <w:kern w:val="44"/>
      <w:sz w:val="44"/>
      <w:szCs w:val="44"/>
    </w:rPr>
  </w:style>
  <w:style w:type="character" w:customStyle="1" w:styleId="17">
    <w:name w:val="标题 2 Char"/>
    <w:basedOn w:val="15"/>
    <w:link w:val="3"/>
    <w:qFormat/>
    <w:locked/>
    <w:uiPriority w:val="99"/>
    <w:rPr>
      <w:rFonts w:ascii="Calibri" w:hAnsi="Calibri" w:eastAsia="宋体" w:cs="Times New Roman"/>
      <w:b/>
      <w:bCs/>
      <w:sz w:val="32"/>
      <w:szCs w:val="32"/>
    </w:rPr>
  </w:style>
  <w:style w:type="character" w:customStyle="1" w:styleId="18">
    <w:name w:val="标题 3 Char"/>
    <w:basedOn w:val="15"/>
    <w:link w:val="4"/>
    <w:qFormat/>
    <w:locked/>
    <w:uiPriority w:val="99"/>
    <w:rPr>
      <w:rFonts w:ascii="Times New Roman" w:hAnsi="Times New Roman" w:eastAsia="宋体" w:cs="Times New Roman"/>
      <w:b/>
      <w:bCs/>
      <w:sz w:val="32"/>
      <w:szCs w:val="32"/>
    </w:rPr>
  </w:style>
  <w:style w:type="character" w:customStyle="1" w:styleId="19">
    <w:name w:val="标题 4 Char"/>
    <w:basedOn w:val="15"/>
    <w:link w:val="5"/>
    <w:qFormat/>
    <w:locked/>
    <w:uiPriority w:val="99"/>
    <w:rPr>
      <w:rFonts w:ascii="Calibri" w:hAnsi="Calibri" w:eastAsia="宋体" w:cs="Times New Roman"/>
      <w:b/>
      <w:bCs/>
      <w:sz w:val="28"/>
      <w:szCs w:val="28"/>
    </w:rPr>
  </w:style>
  <w:style w:type="character" w:customStyle="1" w:styleId="20">
    <w:name w:val="日期 Char"/>
    <w:basedOn w:val="15"/>
    <w:link w:val="6"/>
    <w:semiHidden/>
    <w:qFormat/>
    <w:locked/>
    <w:uiPriority w:val="99"/>
    <w:rPr>
      <w:rFonts w:ascii="Times New Roman" w:hAnsi="Times New Roman" w:eastAsia="宋体" w:cs="Times New Roman"/>
      <w:sz w:val="24"/>
      <w:szCs w:val="24"/>
    </w:rPr>
  </w:style>
  <w:style w:type="character" w:customStyle="1" w:styleId="21">
    <w:name w:val="批注框文本 Char"/>
    <w:basedOn w:val="15"/>
    <w:link w:val="7"/>
    <w:semiHidden/>
    <w:qFormat/>
    <w:locked/>
    <w:uiPriority w:val="99"/>
    <w:rPr>
      <w:rFonts w:ascii="Times New Roman" w:hAnsi="Times New Roman" w:eastAsia="宋体" w:cs="Times New Roman"/>
      <w:sz w:val="18"/>
      <w:szCs w:val="18"/>
    </w:rPr>
  </w:style>
  <w:style w:type="character" w:customStyle="1" w:styleId="22">
    <w:name w:val="页脚 Char"/>
    <w:basedOn w:val="15"/>
    <w:link w:val="8"/>
    <w:qFormat/>
    <w:locked/>
    <w:uiPriority w:val="99"/>
    <w:rPr>
      <w:rFonts w:cs="Times New Roman"/>
      <w:sz w:val="18"/>
      <w:szCs w:val="18"/>
    </w:rPr>
  </w:style>
  <w:style w:type="character" w:customStyle="1" w:styleId="23">
    <w:name w:val="页眉 Char"/>
    <w:basedOn w:val="15"/>
    <w:link w:val="9"/>
    <w:qFormat/>
    <w:locked/>
    <w:uiPriority w:val="99"/>
    <w:rPr>
      <w:rFonts w:cs="Times New Roman"/>
      <w:sz w:val="18"/>
      <w:szCs w:val="18"/>
    </w:rPr>
  </w:style>
  <w:style w:type="character" w:customStyle="1" w:styleId="24">
    <w:name w:val="副标题 Char"/>
    <w:basedOn w:val="15"/>
    <w:link w:val="10"/>
    <w:qFormat/>
    <w:locked/>
    <w:uiPriority w:val="99"/>
    <w:rPr>
      <w:rFonts w:ascii="Calibri" w:hAnsi="Calibri" w:eastAsia="宋体" w:cs="Times New Roman"/>
      <w:i/>
      <w:iCs/>
      <w:color w:val="F0A22E"/>
      <w:spacing w:val="15"/>
      <w:kern w:val="0"/>
      <w:sz w:val="24"/>
      <w:szCs w:val="24"/>
    </w:rPr>
  </w:style>
  <w:style w:type="character" w:customStyle="1" w:styleId="25">
    <w:name w:val="标题 Char"/>
    <w:basedOn w:val="15"/>
    <w:link w:val="12"/>
    <w:qFormat/>
    <w:locked/>
    <w:uiPriority w:val="99"/>
    <w:rPr>
      <w:rFonts w:ascii="Calibri" w:hAnsi="Calibri" w:eastAsia="宋体" w:cs="Times New Roman"/>
      <w:color w:val="3A2C24"/>
      <w:spacing w:val="5"/>
      <w:kern w:val="28"/>
      <w:sz w:val="52"/>
      <w:szCs w:val="52"/>
    </w:rPr>
  </w:style>
  <w:style w:type="paragraph" w:customStyle="1" w:styleId="26">
    <w:name w:val="无间隔1"/>
    <w:link w:val="27"/>
    <w:qFormat/>
    <w:uiPriority w:val="99"/>
    <w:pPr>
      <w:spacing w:after="160" w:line="480" w:lineRule="auto"/>
    </w:pPr>
    <w:rPr>
      <w:rFonts w:ascii="Cambria" w:hAnsi="Cambria" w:eastAsia="黑体" w:cs="Times New Roman"/>
      <w:sz w:val="22"/>
      <w:szCs w:val="22"/>
      <w:lang w:val="en-US" w:eastAsia="zh-CN" w:bidi="ar-SA"/>
    </w:rPr>
  </w:style>
  <w:style w:type="character" w:customStyle="1" w:styleId="27">
    <w:name w:val="无间隔 Char"/>
    <w:basedOn w:val="15"/>
    <w:link w:val="26"/>
    <w:qFormat/>
    <w:locked/>
    <w:uiPriority w:val="99"/>
    <w:rPr>
      <w:rFonts w:ascii="Cambria" w:hAnsi="Cambria" w:eastAsia="黑体"/>
      <w:sz w:val="22"/>
      <w:szCs w:val="22"/>
      <w:lang w:val="en-US" w:eastAsia="zh-CN" w:bidi="ar-SA"/>
    </w:rPr>
  </w:style>
  <w:style w:type="character" w:customStyle="1" w:styleId="28">
    <w:name w:val="Style1"/>
    <w:basedOn w:val="15"/>
    <w:qFormat/>
    <w:uiPriority w:val="99"/>
    <w:rPr>
      <w:rFonts w:ascii="Cambria" w:hAnsi="黑体" w:eastAsia="黑体" w:cs="Times New Roman"/>
      <w:sz w:val="22"/>
      <w:szCs w:val="22"/>
      <w:lang w:eastAsia="zh-CN"/>
    </w:rPr>
  </w:style>
  <w:style w:type="character" w:customStyle="1" w:styleId="29">
    <w:name w:val="Style2"/>
    <w:basedOn w:val="15"/>
    <w:qFormat/>
    <w:uiPriority w:val="99"/>
    <w:rPr>
      <w:rFonts w:ascii="Cambria" w:hAnsi="黑体" w:eastAsia="黑体" w:cs="Times New Roman"/>
      <w:sz w:val="22"/>
      <w:szCs w:val="22"/>
      <w:lang w:eastAsia="zh-CN"/>
    </w:rPr>
  </w:style>
  <w:style w:type="character" w:customStyle="1" w:styleId="30">
    <w:name w:val="Style3"/>
    <w:basedOn w:val="15"/>
    <w:qFormat/>
    <w:uiPriority w:val="99"/>
    <w:rPr>
      <w:rFonts w:ascii="Cambria" w:hAnsi="黑体" w:eastAsia="黑体" w:cs="Times New Roman"/>
      <w:sz w:val="22"/>
      <w:szCs w:val="22"/>
      <w:lang w:eastAsia="zh-CN"/>
    </w:rPr>
  </w:style>
  <w:style w:type="character" w:customStyle="1" w:styleId="31">
    <w:name w:val="Style4"/>
    <w:basedOn w:val="15"/>
    <w:qFormat/>
    <w:uiPriority w:val="99"/>
    <w:rPr>
      <w:rFonts w:ascii="Cambria" w:hAnsi="黑体" w:eastAsia="黑体" w:cs="Times New Roman"/>
      <w:sz w:val="22"/>
      <w:szCs w:val="22"/>
      <w:lang w:eastAsia="zh-CN"/>
    </w:rPr>
  </w:style>
  <w:style w:type="character" w:customStyle="1" w:styleId="32">
    <w:name w:val="Style5"/>
    <w:basedOn w:val="15"/>
    <w:qFormat/>
    <w:uiPriority w:val="99"/>
    <w:rPr>
      <w:rFonts w:ascii="Cambria" w:hAnsi="黑体" w:eastAsia="黑体" w:cs="Times New Roman"/>
      <w:sz w:val="22"/>
      <w:szCs w:val="22"/>
      <w:lang w:eastAsia="zh-CN"/>
    </w:rPr>
  </w:style>
  <w:style w:type="paragraph" w:customStyle="1" w:styleId="33">
    <w:name w:val="列出段落1"/>
    <w:basedOn w:val="1"/>
    <w:qFormat/>
    <w:uiPriority w:val="99"/>
    <w:pPr>
      <w:ind w:firstLine="420" w:firstLineChars="200"/>
    </w:pPr>
  </w:style>
  <w:style w:type="paragraph" w:styleId="3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png"/><Relationship Id="rId12" Type="http://schemas.openxmlformats.org/officeDocument/2006/relationships/oleObject" Target="embeddings/oleObject4.bin"/><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1161</Words>
  <Characters>6619</Characters>
  <Lines>55</Lines>
  <Paragraphs>15</Paragraphs>
  <TotalTime>3</TotalTime>
  <ScaleCrop>false</ScaleCrop>
  <LinksUpToDate>false</LinksUpToDate>
  <CharactersWithSpaces>7765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2019-11-14T23:22:00Z</dcterms:created>
  <dc:creator>User</dc:creator>
  <cp:lastModifiedBy>小千</cp:lastModifiedBy>
  <cp:lastPrinted>2019-09-27T00:42:00Z</cp:lastPrinted>
  <dcterms:modified xsi:type="dcterms:W3CDTF">2023-06-05T02:12:01Z</dcterms:modified>
  <dc:subject>石家庄市xxx部门</dc:subject>
  <dc:title>2017年度部门决算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0735978B62E14612A9FBA84CE4ABCEE7</vt:lpwstr>
  </property>
</Properties>
</file>