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4" w:lineRule="exact"/>
        <w:jc w:val="center"/>
      </w:pPr>
      <w:r>
        <w:rPr>
          <w:rFonts w:hint="eastAsia" w:ascii="方正小标宋简体" w:eastAsia="方正小标宋简体"/>
          <w:color w:val="484747"/>
          <w:sz w:val="44"/>
          <w:szCs w:val="44"/>
        </w:rPr>
        <w:t>大城县民族宗教事务局</w:t>
      </w:r>
      <w:r>
        <w:rPr>
          <w:rFonts w:ascii="方正小标宋简体" w:eastAsia="方正小标宋简体"/>
          <w:color w:val="484747"/>
          <w:sz w:val="44"/>
          <w:szCs w:val="44"/>
        </w:rPr>
        <w:t>2017</w:t>
      </w:r>
      <w:r>
        <w:rPr>
          <w:rFonts w:hint="eastAsia" w:ascii="方正小标宋简体" w:eastAsia="方正小标宋简体"/>
          <w:color w:val="484747"/>
          <w:sz w:val="44"/>
          <w:szCs w:val="44"/>
        </w:rPr>
        <w:t>年部门决算公开目录</w:t>
      </w:r>
    </w:p>
    <w:p>
      <w:pPr>
        <w:widowControl/>
        <w:spacing w:line="584" w:lineRule="exact"/>
        <w:ind w:firstLine="640"/>
        <w:jc w:val="left"/>
        <w:rPr>
          <w:rFonts w:ascii="黑体" w:hAnsi="宋体" w:eastAsia="黑体" w:cs="黑体"/>
          <w:color w:val="484747"/>
          <w:sz w:val="32"/>
          <w:szCs w:val="32"/>
        </w:rPr>
      </w:pPr>
    </w:p>
    <w:p>
      <w:pPr>
        <w:widowControl/>
        <w:spacing w:line="584" w:lineRule="exact"/>
        <w:ind w:firstLine="640"/>
        <w:jc w:val="left"/>
      </w:pPr>
      <w:r>
        <w:rPr>
          <w:rFonts w:hint="eastAsia" w:ascii="黑体" w:hAnsi="宋体" w:eastAsia="黑体" w:cs="黑体"/>
          <w:color w:val="484747"/>
          <w:sz w:val="32"/>
          <w:szCs w:val="32"/>
        </w:rPr>
        <w:t>一、大城县民族宗教事务局概况</w:t>
      </w:r>
    </w:p>
    <w:p>
      <w:pPr>
        <w:widowControl/>
        <w:spacing w:line="584" w:lineRule="exact"/>
        <w:ind w:firstLine="1273" w:firstLineChars="398"/>
        <w:jc w:val="left"/>
      </w:pPr>
      <w:r>
        <w:rPr>
          <w:rFonts w:hint="eastAsia" w:ascii="宋体" w:hAnsi="宋体" w:cs="宋体"/>
          <w:color w:val="484747"/>
          <w:sz w:val="32"/>
          <w:szCs w:val="32"/>
        </w:rPr>
        <w:t>（一）部门职责</w:t>
      </w:r>
    </w:p>
    <w:p>
      <w:pPr>
        <w:widowControl/>
        <w:spacing w:line="584" w:lineRule="exact"/>
        <w:ind w:firstLine="1273" w:firstLineChars="398"/>
        <w:jc w:val="left"/>
      </w:pPr>
      <w:r>
        <w:rPr>
          <w:rFonts w:hint="eastAsia" w:ascii="宋体" w:hAnsi="宋体" w:cs="宋体"/>
          <w:color w:val="484747"/>
          <w:sz w:val="32"/>
          <w:szCs w:val="32"/>
        </w:rPr>
        <w:t>（二）机构设置</w:t>
      </w:r>
    </w:p>
    <w:p>
      <w:pPr>
        <w:widowControl/>
        <w:spacing w:line="584" w:lineRule="exact"/>
        <w:ind w:firstLine="640"/>
        <w:jc w:val="left"/>
      </w:pPr>
      <w:r>
        <w:rPr>
          <w:rFonts w:hint="eastAsia" w:ascii="黑体" w:hAnsi="宋体" w:eastAsia="黑体" w:cs="黑体"/>
          <w:color w:val="484747"/>
          <w:sz w:val="32"/>
          <w:szCs w:val="32"/>
        </w:rPr>
        <w:t>二、大城县民族宗教事务局</w:t>
      </w:r>
      <w:r>
        <w:rPr>
          <w:rFonts w:eastAsia="黑体"/>
          <w:color w:val="484747"/>
          <w:sz w:val="32"/>
          <w:szCs w:val="32"/>
        </w:rPr>
        <w:t>2017</w:t>
      </w:r>
      <w:r>
        <w:rPr>
          <w:rFonts w:hint="eastAsia" w:ascii="黑体" w:hAnsi="宋体" w:eastAsia="黑体" w:cs="黑体"/>
          <w:color w:val="484747"/>
          <w:sz w:val="32"/>
          <w:szCs w:val="32"/>
        </w:rPr>
        <w:t>年度决算报表</w:t>
      </w:r>
    </w:p>
    <w:p>
      <w:pPr>
        <w:widowControl/>
        <w:spacing w:line="584" w:lineRule="exact"/>
        <w:ind w:firstLine="1273" w:firstLineChars="398"/>
        <w:jc w:val="left"/>
      </w:pPr>
      <w:r>
        <w:rPr>
          <w:rFonts w:hint="eastAsia" w:ascii="宋体" w:hAnsi="宋体" w:cs="宋体"/>
          <w:color w:val="484747"/>
          <w:sz w:val="32"/>
          <w:szCs w:val="32"/>
        </w:rPr>
        <w:t>（一）收入支出决算总表</w:t>
      </w:r>
    </w:p>
    <w:p>
      <w:pPr>
        <w:widowControl/>
        <w:spacing w:line="584" w:lineRule="exact"/>
        <w:ind w:firstLine="1273" w:firstLineChars="398"/>
        <w:jc w:val="left"/>
      </w:pPr>
      <w:r>
        <w:rPr>
          <w:rFonts w:hint="eastAsia" w:ascii="宋体" w:hAnsi="宋体" w:cs="宋体"/>
          <w:color w:val="484747"/>
          <w:sz w:val="32"/>
          <w:szCs w:val="32"/>
        </w:rPr>
        <w:t>（二）收入决算表</w:t>
      </w:r>
    </w:p>
    <w:p>
      <w:pPr>
        <w:widowControl/>
        <w:spacing w:line="584" w:lineRule="exact"/>
        <w:ind w:firstLine="1273" w:firstLineChars="398"/>
        <w:jc w:val="left"/>
      </w:pPr>
      <w:r>
        <w:rPr>
          <w:rFonts w:hint="eastAsia" w:ascii="宋体" w:hAnsi="宋体" w:cs="宋体"/>
          <w:color w:val="484747"/>
          <w:sz w:val="32"/>
          <w:szCs w:val="32"/>
        </w:rPr>
        <w:t>（三）支出决算表</w:t>
      </w:r>
    </w:p>
    <w:p>
      <w:pPr>
        <w:widowControl/>
        <w:spacing w:line="584" w:lineRule="exact"/>
        <w:ind w:firstLine="1273" w:firstLineChars="398"/>
        <w:jc w:val="left"/>
      </w:pPr>
      <w:r>
        <w:rPr>
          <w:rFonts w:hint="eastAsia" w:ascii="宋体" w:hAnsi="宋体" w:cs="宋体"/>
          <w:color w:val="484747"/>
          <w:sz w:val="32"/>
          <w:szCs w:val="32"/>
        </w:rPr>
        <w:t>（四）财政拨款收入支出决算总表</w:t>
      </w:r>
    </w:p>
    <w:p>
      <w:pPr>
        <w:widowControl/>
        <w:spacing w:line="584" w:lineRule="exact"/>
        <w:ind w:firstLine="1273" w:firstLineChars="398"/>
        <w:jc w:val="left"/>
      </w:pPr>
      <w:r>
        <w:rPr>
          <w:rFonts w:hint="eastAsia" w:ascii="宋体" w:hAnsi="宋体" w:cs="宋体"/>
          <w:color w:val="484747"/>
          <w:sz w:val="32"/>
          <w:szCs w:val="32"/>
        </w:rPr>
        <w:t>（五）一般公共预算财政拨款支出决算表</w:t>
      </w:r>
    </w:p>
    <w:p>
      <w:pPr>
        <w:widowControl/>
        <w:spacing w:line="584" w:lineRule="exact"/>
        <w:ind w:firstLine="1273" w:firstLineChars="398"/>
        <w:jc w:val="left"/>
      </w:pPr>
      <w:r>
        <w:rPr>
          <w:rFonts w:hint="eastAsia" w:ascii="宋体" w:hAnsi="宋体" w:cs="宋体"/>
          <w:color w:val="484747"/>
          <w:sz w:val="32"/>
          <w:szCs w:val="32"/>
        </w:rPr>
        <w:t>（六）一般公共预算财政拨款基本支出决算经济分类表</w:t>
      </w:r>
    </w:p>
    <w:p>
      <w:pPr>
        <w:widowControl/>
        <w:spacing w:line="584" w:lineRule="exact"/>
        <w:ind w:firstLine="1280" w:firstLineChars="400"/>
        <w:jc w:val="left"/>
      </w:pPr>
      <w:r>
        <w:rPr>
          <w:rFonts w:hint="eastAsia" w:ascii="宋体" w:hAnsi="宋体" w:cs="宋体"/>
          <w:color w:val="484747"/>
          <w:sz w:val="32"/>
          <w:szCs w:val="32"/>
        </w:rPr>
        <w:t>（七）政府性基金预算财政拨款收入支出决算表</w:t>
      </w:r>
    </w:p>
    <w:p>
      <w:pPr>
        <w:widowControl/>
        <w:spacing w:line="584" w:lineRule="exact"/>
        <w:ind w:firstLine="1273" w:firstLineChars="398"/>
        <w:jc w:val="left"/>
      </w:pPr>
      <w:r>
        <w:rPr>
          <w:rFonts w:hint="eastAsia" w:ascii="宋体" w:hAnsi="宋体" w:cs="宋体"/>
          <w:color w:val="484747"/>
          <w:sz w:val="32"/>
          <w:szCs w:val="32"/>
        </w:rPr>
        <w:t>（八）国有资本经营预算财政拨款支出决算表</w:t>
      </w:r>
    </w:p>
    <w:p>
      <w:pPr>
        <w:widowControl/>
        <w:spacing w:line="584" w:lineRule="exact"/>
        <w:ind w:firstLine="1280" w:firstLineChars="400"/>
        <w:jc w:val="left"/>
      </w:pPr>
      <w:r>
        <w:rPr>
          <w:rFonts w:hint="eastAsia" w:ascii="宋体" w:hAnsi="宋体" w:cs="宋体"/>
          <w:color w:val="484747"/>
          <w:sz w:val="32"/>
          <w:szCs w:val="32"/>
        </w:rPr>
        <w:t>（九）</w:t>
      </w:r>
      <w:r>
        <w:rPr>
          <w:rFonts w:eastAsia="Times New Roman"/>
          <w:color w:val="484747"/>
          <w:sz w:val="32"/>
          <w:szCs w:val="32"/>
        </w:rPr>
        <w:t>“</w:t>
      </w:r>
      <w:r>
        <w:rPr>
          <w:rFonts w:hint="eastAsia" w:ascii="宋体" w:hAnsi="宋体" w:cs="宋体"/>
          <w:color w:val="484747"/>
          <w:sz w:val="32"/>
          <w:szCs w:val="32"/>
        </w:rPr>
        <w:t>三公</w:t>
      </w:r>
      <w:r>
        <w:rPr>
          <w:rFonts w:eastAsia="Times New Roman"/>
          <w:color w:val="484747"/>
          <w:sz w:val="32"/>
          <w:szCs w:val="32"/>
        </w:rPr>
        <w:t>”</w:t>
      </w:r>
      <w:r>
        <w:rPr>
          <w:rFonts w:hint="eastAsia" w:ascii="宋体" w:hAnsi="宋体" w:cs="宋体"/>
          <w:color w:val="484747"/>
          <w:sz w:val="32"/>
          <w:szCs w:val="32"/>
        </w:rPr>
        <w:t>经费及相关信息统计表</w:t>
      </w:r>
    </w:p>
    <w:p>
      <w:pPr>
        <w:widowControl/>
        <w:spacing w:line="584" w:lineRule="exact"/>
        <w:ind w:firstLine="1273" w:firstLineChars="398"/>
        <w:jc w:val="left"/>
      </w:pPr>
      <w:r>
        <w:rPr>
          <w:rFonts w:hint="eastAsia" w:ascii="宋体" w:hAnsi="宋体" w:cs="宋体"/>
          <w:color w:val="484747"/>
          <w:sz w:val="32"/>
          <w:szCs w:val="32"/>
        </w:rPr>
        <w:t>（十）政府采购情况表</w:t>
      </w:r>
    </w:p>
    <w:p>
      <w:pPr>
        <w:widowControl/>
        <w:spacing w:line="584" w:lineRule="exact"/>
        <w:ind w:firstLine="640" w:firstLineChars="200"/>
        <w:jc w:val="left"/>
      </w:pPr>
      <w:r>
        <w:rPr>
          <w:rFonts w:hint="eastAsia" w:ascii="黑体" w:hAnsi="宋体" w:eastAsia="黑体" w:cs="黑体"/>
          <w:color w:val="484747"/>
          <w:sz w:val="32"/>
          <w:szCs w:val="32"/>
        </w:rPr>
        <w:t>三、大城县民族宗教事务局</w:t>
      </w:r>
      <w:r>
        <w:rPr>
          <w:rFonts w:eastAsia="黑体"/>
          <w:color w:val="484747"/>
          <w:sz w:val="32"/>
          <w:szCs w:val="32"/>
        </w:rPr>
        <w:t>2017</w:t>
      </w:r>
      <w:r>
        <w:rPr>
          <w:rFonts w:hint="eastAsia" w:ascii="黑体" w:hAnsi="宋体" w:eastAsia="黑体" w:cs="黑体"/>
          <w:color w:val="484747"/>
          <w:sz w:val="32"/>
          <w:szCs w:val="32"/>
        </w:rPr>
        <w:t>年度决算情况说明</w:t>
      </w:r>
    </w:p>
    <w:p>
      <w:pPr>
        <w:widowControl/>
        <w:spacing w:line="584" w:lineRule="exact"/>
        <w:ind w:firstLine="1273" w:firstLineChars="398"/>
        <w:jc w:val="left"/>
      </w:pPr>
      <w:r>
        <w:rPr>
          <w:rFonts w:hint="eastAsia" w:ascii="宋体" w:hAnsi="宋体" w:cs="宋体"/>
          <w:color w:val="484747"/>
          <w:sz w:val="32"/>
          <w:szCs w:val="32"/>
        </w:rPr>
        <w:t>（一）收入支出决算总体情况说明</w:t>
      </w:r>
    </w:p>
    <w:p>
      <w:pPr>
        <w:widowControl/>
        <w:spacing w:line="584" w:lineRule="exact"/>
        <w:ind w:firstLine="1273" w:firstLineChars="398"/>
        <w:jc w:val="left"/>
      </w:pPr>
      <w:r>
        <w:rPr>
          <w:rFonts w:hint="eastAsia" w:ascii="宋体" w:hAnsi="宋体" w:cs="宋体"/>
          <w:color w:val="484747"/>
          <w:sz w:val="32"/>
          <w:szCs w:val="32"/>
        </w:rPr>
        <w:t>（二）收入决算情况说明</w:t>
      </w:r>
    </w:p>
    <w:p>
      <w:pPr>
        <w:widowControl/>
        <w:spacing w:line="584" w:lineRule="exact"/>
        <w:ind w:firstLine="1273" w:firstLineChars="398"/>
        <w:jc w:val="left"/>
      </w:pPr>
      <w:r>
        <w:rPr>
          <w:rFonts w:hint="eastAsia" w:ascii="宋体" w:hAnsi="宋体" w:cs="宋体"/>
          <w:color w:val="484747"/>
          <w:sz w:val="32"/>
          <w:szCs w:val="32"/>
        </w:rPr>
        <w:t>（三）支出决算情况说明</w:t>
      </w:r>
    </w:p>
    <w:p>
      <w:pPr>
        <w:widowControl/>
        <w:spacing w:line="584" w:lineRule="exact"/>
        <w:ind w:firstLine="1273" w:firstLineChars="398"/>
        <w:jc w:val="left"/>
      </w:pPr>
      <w:r>
        <w:rPr>
          <w:rFonts w:hint="eastAsia" w:ascii="宋体" w:hAnsi="宋体" w:cs="宋体"/>
          <w:color w:val="484747"/>
          <w:sz w:val="32"/>
          <w:szCs w:val="32"/>
        </w:rPr>
        <w:t>（四）财政拨款收入支出决算总体情况说明</w:t>
      </w:r>
    </w:p>
    <w:p>
      <w:pPr>
        <w:widowControl/>
        <w:spacing w:line="584" w:lineRule="exact"/>
        <w:ind w:firstLine="1273" w:firstLineChars="398"/>
        <w:jc w:val="left"/>
      </w:pPr>
      <w:r>
        <w:rPr>
          <w:rFonts w:hint="eastAsia" w:ascii="宋体" w:hAnsi="宋体" w:cs="宋体"/>
          <w:color w:val="484747"/>
          <w:sz w:val="32"/>
          <w:szCs w:val="32"/>
        </w:rPr>
        <w:t>（五）</w:t>
      </w:r>
      <w:r>
        <w:rPr>
          <w:rFonts w:eastAsia="Times New Roman"/>
          <w:color w:val="484747"/>
          <w:sz w:val="32"/>
          <w:szCs w:val="32"/>
        </w:rPr>
        <w:t>“</w:t>
      </w:r>
      <w:r>
        <w:rPr>
          <w:rFonts w:hint="eastAsia" w:ascii="宋体" w:hAnsi="宋体" w:cs="宋体"/>
          <w:color w:val="484747"/>
          <w:sz w:val="32"/>
          <w:szCs w:val="32"/>
        </w:rPr>
        <w:t>三公</w:t>
      </w:r>
      <w:r>
        <w:rPr>
          <w:rFonts w:eastAsia="Times New Roman"/>
          <w:color w:val="484747"/>
          <w:sz w:val="32"/>
          <w:szCs w:val="32"/>
        </w:rPr>
        <w:t>”</w:t>
      </w:r>
      <w:r>
        <w:rPr>
          <w:rFonts w:hint="eastAsia" w:ascii="宋体" w:hAnsi="宋体" w:cs="宋体"/>
          <w:color w:val="484747"/>
          <w:sz w:val="32"/>
          <w:szCs w:val="32"/>
        </w:rPr>
        <w:t>经费支出决算情况说明</w:t>
      </w:r>
    </w:p>
    <w:p>
      <w:pPr>
        <w:widowControl/>
        <w:spacing w:line="584" w:lineRule="exact"/>
        <w:ind w:firstLine="1273" w:firstLineChars="398"/>
        <w:jc w:val="left"/>
      </w:pPr>
      <w:r>
        <w:rPr>
          <w:rFonts w:hint="eastAsia" w:ascii="宋体" w:hAnsi="宋体" w:cs="宋体"/>
          <w:color w:val="484747"/>
          <w:sz w:val="32"/>
          <w:szCs w:val="32"/>
        </w:rPr>
        <w:t>（六）预算绩效管理工作开展情况说明</w:t>
      </w:r>
    </w:p>
    <w:p>
      <w:pPr>
        <w:widowControl/>
        <w:spacing w:line="584" w:lineRule="exact"/>
        <w:ind w:firstLine="1273" w:firstLineChars="398"/>
        <w:jc w:val="left"/>
        <w:rPr>
          <w:rFonts w:eastAsia="Times New Roman"/>
          <w:color w:val="484747"/>
          <w:sz w:val="32"/>
          <w:szCs w:val="32"/>
        </w:rPr>
      </w:pPr>
      <w:r>
        <w:rPr>
          <w:rFonts w:hint="eastAsia" w:ascii="宋体" w:hAnsi="宋体" w:cs="宋体"/>
          <w:color w:val="484747"/>
          <w:sz w:val="32"/>
          <w:szCs w:val="32"/>
        </w:rPr>
        <w:t>（七）其他重要事项的说明</w:t>
      </w:r>
    </w:p>
    <w:p>
      <w:pPr>
        <w:widowControl/>
        <w:spacing w:line="584" w:lineRule="exact"/>
        <w:ind w:firstLine="2233" w:firstLineChars="698"/>
        <w:jc w:val="left"/>
      </w:pPr>
      <w:r>
        <w:rPr>
          <w:rFonts w:eastAsia="Times New Roman"/>
          <w:color w:val="484747"/>
          <w:sz w:val="32"/>
          <w:szCs w:val="32"/>
        </w:rPr>
        <w:t>1.</w:t>
      </w:r>
      <w:r>
        <w:rPr>
          <w:rFonts w:hint="eastAsia" w:ascii="宋体" w:hAnsi="宋体" w:cs="宋体"/>
          <w:color w:val="484747"/>
          <w:sz w:val="32"/>
          <w:szCs w:val="32"/>
        </w:rPr>
        <w:t>机关运行经费的支出情况的说明</w:t>
      </w:r>
    </w:p>
    <w:p>
      <w:pPr>
        <w:widowControl/>
        <w:spacing w:line="584" w:lineRule="exact"/>
        <w:ind w:firstLine="2233" w:firstLineChars="698"/>
        <w:jc w:val="left"/>
      </w:pPr>
      <w:r>
        <w:rPr>
          <w:rFonts w:eastAsia="Times New Roman"/>
          <w:color w:val="484747"/>
          <w:sz w:val="32"/>
          <w:szCs w:val="32"/>
        </w:rPr>
        <w:t>2.</w:t>
      </w:r>
      <w:r>
        <w:rPr>
          <w:rFonts w:hint="eastAsia" w:ascii="宋体" w:hAnsi="宋体" w:cs="宋体"/>
          <w:color w:val="484747"/>
          <w:sz w:val="32"/>
          <w:szCs w:val="32"/>
        </w:rPr>
        <w:t>政府采购情况的说明</w:t>
      </w:r>
    </w:p>
    <w:p>
      <w:pPr>
        <w:widowControl/>
        <w:spacing w:line="584" w:lineRule="exact"/>
        <w:ind w:firstLine="2233" w:firstLineChars="698"/>
        <w:jc w:val="left"/>
      </w:pPr>
      <w:r>
        <w:rPr>
          <w:rFonts w:eastAsia="Times New Roman"/>
          <w:color w:val="484747"/>
          <w:sz w:val="32"/>
          <w:szCs w:val="32"/>
        </w:rPr>
        <w:t>3.</w:t>
      </w:r>
      <w:r>
        <w:rPr>
          <w:rFonts w:hint="eastAsia" w:ascii="宋体" w:hAnsi="宋体" w:cs="宋体"/>
          <w:color w:val="484747"/>
          <w:sz w:val="32"/>
          <w:szCs w:val="32"/>
        </w:rPr>
        <w:t>国有资产占用情况</w:t>
      </w:r>
    </w:p>
    <w:p>
      <w:pPr>
        <w:widowControl/>
        <w:spacing w:line="584" w:lineRule="exact"/>
        <w:ind w:firstLine="2233" w:firstLineChars="698"/>
        <w:jc w:val="left"/>
      </w:pPr>
      <w:r>
        <w:rPr>
          <w:rFonts w:eastAsia="Times New Roman"/>
          <w:color w:val="484747"/>
          <w:sz w:val="32"/>
          <w:szCs w:val="32"/>
        </w:rPr>
        <w:t>4.</w:t>
      </w:r>
      <w:r>
        <w:rPr>
          <w:rFonts w:hint="eastAsia" w:ascii="宋体" w:hAnsi="宋体" w:cs="宋体"/>
          <w:color w:val="484747"/>
          <w:sz w:val="32"/>
          <w:szCs w:val="32"/>
        </w:rPr>
        <w:t>其他需要说明的情况</w:t>
      </w:r>
    </w:p>
    <w:p>
      <w:pPr>
        <w:widowControl/>
        <w:spacing w:line="584" w:lineRule="exact"/>
        <w:ind w:firstLine="640" w:firstLineChars="200"/>
        <w:jc w:val="left"/>
      </w:pPr>
      <w:r>
        <w:rPr>
          <w:rFonts w:hint="eastAsia" w:ascii="黑体" w:hAnsi="宋体" w:eastAsia="黑体" w:cs="黑体"/>
          <w:color w:val="484747"/>
          <w:sz w:val="32"/>
          <w:szCs w:val="32"/>
        </w:rPr>
        <w:t>四、名词解释</w:t>
      </w:r>
    </w:p>
    <w:p>
      <w:pPr>
        <w:widowControl/>
        <w:spacing w:line="584" w:lineRule="exact"/>
        <w:ind w:left="638" w:leftChars="304" w:firstLine="633" w:firstLineChars="198"/>
        <w:jc w:val="left"/>
      </w:pPr>
      <w:r>
        <w:rPr>
          <w:rFonts w:ascii="??_GB2312" w:eastAsia="Times New Roman" w:cs="??_GB2312"/>
          <w:color w:val="484747"/>
          <w:sz w:val="32"/>
          <w:szCs w:val="32"/>
        </w:rPr>
        <w:t>对专业性较强的名词进行解释</w:t>
      </w:r>
    </w:p>
    <w:p>
      <w:pPr>
        <w:widowControl/>
        <w:spacing w:line="584" w:lineRule="exact"/>
        <w:ind w:firstLine="600"/>
        <w:jc w:val="center"/>
      </w:pPr>
      <w:r>
        <w:rPr>
          <w:rFonts w:hint="eastAsia" w:ascii="方正小标宋简体" w:eastAsia="方正小标宋简体"/>
          <w:color w:val="484747"/>
          <w:sz w:val="44"/>
          <w:szCs w:val="44"/>
        </w:rPr>
        <w:t>文字部分</w:t>
      </w:r>
    </w:p>
    <w:p>
      <w:pPr>
        <w:widowControl/>
        <w:spacing w:line="584" w:lineRule="exact"/>
        <w:ind w:firstLine="640" w:firstLineChars="200"/>
        <w:jc w:val="left"/>
      </w:pPr>
      <w:r>
        <w:rPr>
          <w:rFonts w:hint="eastAsia" w:ascii="宋体" w:hAnsi="宋体" w:cs="宋体"/>
          <w:color w:val="484747"/>
          <w:sz w:val="32"/>
          <w:szCs w:val="32"/>
        </w:rPr>
        <w:t>按照《预算法》、《河北省财政厅关于印发</w:t>
      </w:r>
      <w:r>
        <w:rPr>
          <w:rFonts w:eastAsia="Times New Roman"/>
          <w:color w:val="484747"/>
          <w:sz w:val="32"/>
          <w:szCs w:val="32"/>
        </w:rPr>
        <w:t>&lt;</w:t>
      </w:r>
      <w:r>
        <w:rPr>
          <w:rFonts w:hint="eastAsia" w:ascii="宋体" w:hAnsi="宋体" w:cs="宋体"/>
          <w:color w:val="484747"/>
          <w:sz w:val="32"/>
          <w:szCs w:val="32"/>
        </w:rPr>
        <w:t>河北省预决算公开操作规程实施细则</w:t>
      </w:r>
      <w:r>
        <w:rPr>
          <w:rFonts w:eastAsia="Times New Roman"/>
          <w:color w:val="484747"/>
          <w:sz w:val="32"/>
          <w:szCs w:val="32"/>
        </w:rPr>
        <w:t>&gt;</w:t>
      </w:r>
      <w:r>
        <w:rPr>
          <w:rFonts w:hint="eastAsia" w:ascii="宋体" w:hAnsi="宋体" w:cs="宋体"/>
          <w:color w:val="484747"/>
          <w:sz w:val="32"/>
          <w:szCs w:val="32"/>
        </w:rPr>
        <w:t>的通知》（冀财预﹝</w:t>
      </w:r>
      <w:r>
        <w:rPr>
          <w:rFonts w:eastAsia="Times New Roman"/>
          <w:color w:val="484747"/>
          <w:sz w:val="32"/>
          <w:szCs w:val="32"/>
        </w:rPr>
        <w:t>2016</w:t>
      </w:r>
      <w:r>
        <w:rPr>
          <w:rFonts w:hint="eastAsia" w:ascii="宋体" w:hAnsi="宋体" w:cs="宋体"/>
          <w:color w:val="484747"/>
          <w:sz w:val="32"/>
          <w:szCs w:val="32"/>
        </w:rPr>
        <w:t>﹞</w:t>
      </w:r>
      <w:r>
        <w:rPr>
          <w:rFonts w:eastAsia="Times New Roman"/>
          <w:color w:val="484747"/>
          <w:sz w:val="32"/>
          <w:szCs w:val="32"/>
        </w:rPr>
        <w:t>129</w:t>
      </w:r>
      <w:r>
        <w:rPr>
          <w:rFonts w:ascii="??_GB2312" w:eastAsia="Times New Roman" w:cs="??_GB2312"/>
          <w:color w:val="484747"/>
          <w:sz w:val="32"/>
          <w:szCs w:val="32"/>
        </w:rPr>
        <w:t>号）等规定，现将</w:t>
      </w:r>
      <w:r>
        <w:rPr>
          <w:rFonts w:eastAsia="Times New Roman" w:cs="Calibri"/>
          <w:color w:val="484747"/>
          <w:sz w:val="32"/>
          <w:szCs w:val="32"/>
        </w:rPr>
        <w:t>2017</w:t>
      </w:r>
      <w:r>
        <w:rPr>
          <w:rFonts w:ascii="??_GB2312" w:eastAsia="Times New Roman" w:cs="??_GB2312"/>
          <w:color w:val="484747"/>
          <w:sz w:val="32"/>
          <w:szCs w:val="32"/>
        </w:rPr>
        <w:t>年部门决算公开如下：</w:t>
      </w:r>
    </w:p>
    <w:p>
      <w:pPr>
        <w:widowControl/>
        <w:spacing w:line="584" w:lineRule="exact"/>
        <w:ind w:firstLine="640" w:firstLineChars="200"/>
        <w:jc w:val="left"/>
      </w:pPr>
      <w:r>
        <w:rPr>
          <w:rFonts w:hint="eastAsia" w:eastAsia="黑体"/>
          <w:color w:val="484747"/>
          <w:sz w:val="32"/>
          <w:szCs w:val="32"/>
        </w:rPr>
        <w:t>一、</w:t>
      </w:r>
      <w:r>
        <w:rPr>
          <w:rFonts w:hint="eastAsia" w:ascii="黑体" w:hAnsi="宋体" w:eastAsia="黑体" w:cs="黑体"/>
          <w:color w:val="484747"/>
          <w:sz w:val="32"/>
          <w:szCs w:val="32"/>
        </w:rPr>
        <w:t>部门职责及机构设置情况</w:t>
      </w:r>
    </w:p>
    <w:p>
      <w:pPr>
        <w:widowControl/>
        <w:spacing w:line="584" w:lineRule="exact"/>
        <w:ind w:firstLine="560" w:firstLineChars="200"/>
        <w:jc w:val="left"/>
      </w:pPr>
      <w:r>
        <w:rPr>
          <w:rFonts w:hint="eastAsia" w:ascii="黑体" w:hAnsi="宋体" w:eastAsia="黑体" w:cs="黑体"/>
          <w:color w:val="484747"/>
          <w:sz w:val="28"/>
          <w:szCs w:val="28"/>
        </w:rPr>
        <w:t>部门职责：</w:t>
      </w:r>
    </w:p>
    <w:p>
      <w:pPr>
        <w:spacing w:line="360" w:lineRule="auto"/>
        <w:ind w:firstLine="480" w:firstLineChars="150"/>
        <w:rPr>
          <w:rFonts w:eastAsia="Times New Roman"/>
          <w:color w:val="484747"/>
          <w:sz w:val="32"/>
          <w:szCs w:val="32"/>
        </w:rPr>
      </w:pPr>
      <w:r>
        <w:rPr>
          <w:rFonts w:eastAsia="Times New Roman"/>
          <w:color w:val="484747"/>
          <w:sz w:val="32"/>
          <w:szCs w:val="32"/>
        </w:rPr>
        <w:t>1</w:t>
      </w:r>
      <w:r>
        <w:rPr>
          <w:rFonts w:hint="eastAsia" w:ascii="宋体" w:hAnsi="宋体" w:cs="宋体"/>
          <w:color w:val="484747"/>
          <w:sz w:val="32"/>
          <w:szCs w:val="32"/>
        </w:rPr>
        <w:t>、贯彻执行党和国家关于民族宗教工作的方针、政策和法律、法规，拟定有关民族宗教政策的实施意见，并负责组织实施和监督。</w:t>
      </w:r>
    </w:p>
    <w:p>
      <w:pPr>
        <w:spacing w:line="360" w:lineRule="auto"/>
        <w:rPr>
          <w:rFonts w:eastAsia="Times New Roman"/>
          <w:color w:val="484747"/>
          <w:sz w:val="32"/>
          <w:szCs w:val="32"/>
        </w:rPr>
      </w:pPr>
      <w:r>
        <w:rPr>
          <w:rFonts w:eastAsia="Times New Roman"/>
          <w:color w:val="484747"/>
          <w:sz w:val="32"/>
          <w:szCs w:val="32"/>
        </w:rPr>
        <w:t xml:space="preserve">   2</w:t>
      </w:r>
      <w:r>
        <w:rPr>
          <w:rFonts w:hint="eastAsia" w:ascii="宋体" w:hAnsi="宋体" w:cs="宋体"/>
          <w:color w:val="484747"/>
          <w:sz w:val="32"/>
          <w:szCs w:val="32"/>
        </w:rPr>
        <w:t>、组织开展民族宗教政策法规的宣传、培训和教育，监督检查民族宗教政策、法规的执行情况；组织开展民族宗教理论的学习与研究，提出建议和意见。</w:t>
      </w:r>
    </w:p>
    <w:p>
      <w:pPr>
        <w:spacing w:line="360" w:lineRule="auto"/>
        <w:ind w:firstLine="480" w:firstLineChars="150"/>
        <w:rPr>
          <w:rFonts w:eastAsia="Times New Roman"/>
          <w:color w:val="484747"/>
          <w:sz w:val="32"/>
          <w:szCs w:val="32"/>
        </w:rPr>
      </w:pPr>
      <w:r>
        <w:rPr>
          <w:rFonts w:eastAsia="Times New Roman"/>
          <w:color w:val="484747"/>
          <w:sz w:val="32"/>
          <w:szCs w:val="32"/>
        </w:rPr>
        <w:t>3</w:t>
      </w:r>
      <w:r>
        <w:rPr>
          <w:rFonts w:hint="eastAsia" w:ascii="宋体" w:hAnsi="宋体" w:cs="宋体"/>
          <w:color w:val="484747"/>
          <w:sz w:val="32"/>
          <w:szCs w:val="32"/>
        </w:rPr>
        <w:t>、排查调处影响民族团结和社会稳定的矛盾和问题，协调民族关系，办理有关保障少数民族各项权益的事宜，尊重少数民族风俗习惯，维护民族团结和社会稳定。</w:t>
      </w:r>
    </w:p>
    <w:p>
      <w:pPr>
        <w:spacing w:line="360" w:lineRule="auto"/>
        <w:rPr>
          <w:rFonts w:eastAsia="Times New Roman"/>
          <w:color w:val="484747"/>
          <w:sz w:val="32"/>
          <w:szCs w:val="32"/>
        </w:rPr>
      </w:pPr>
      <w:r>
        <w:rPr>
          <w:rFonts w:eastAsia="Times New Roman"/>
          <w:color w:val="484747"/>
          <w:sz w:val="32"/>
          <w:szCs w:val="32"/>
        </w:rPr>
        <w:t xml:space="preserve">   4</w:t>
      </w:r>
      <w:r>
        <w:rPr>
          <w:rFonts w:hint="eastAsia" w:ascii="宋体" w:hAnsi="宋体" w:cs="宋体"/>
          <w:color w:val="484747"/>
          <w:sz w:val="32"/>
          <w:szCs w:val="32"/>
        </w:rPr>
        <w:t>、负责《民族区域自治法》、《城市民族工作条例》、《河北省散居少数民族权益保障条例》和《河北省清真食品管理条例》的贯彻实施。</w:t>
      </w:r>
    </w:p>
    <w:p>
      <w:pPr>
        <w:spacing w:line="360" w:lineRule="auto"/>
        <w:rPr>
          <w:rFonts w:eastAsia="Times New Roman"/>
          <w:color w:val="484747"/>
          <w:sz w:val="32"/>
          <w:szCs w:val="32"/>
        </w:rPr>
      </w:pPr>
      <w:r>
        <w:rPr>
          <w:rFonts w:eastAsia="Times New Roman"/>
          <w:color w:val="484747"/>
          <w:sz w:val="32"/>
          <w:szCs w:val="32"/>
        </w:rPr>
        <w:t xml:space="preserve">   5</w:t>
      </w:r>
      <w:r>
        <w:rPr>
          <w:rFonts w:hint="eastAsia" w:ascii="宋体" w:hAnsi="宋体" w:cs="宋体"/>
          <w:color w:val="484747"/>
          <w:sz w:val="32"/>
          <w:szCs w:val="32"/>
        </w:rPr>
        <w:t>、会同统战、组织、人事等部门，做好少数民族干部的选拔、培养和使用工作。</w:t>
      </w:r>
    </w:p>
    <w:p>
      <w:pPr>
        <w:spacing w:line="360" w:lineRule="auto"/>
        <w:rPr>
          <w:rFonts w:eastAsia="Times New Roman"/>
          <w:color w:val="484747"/>
          <w:sz w:val="32"/>
          <w:szCs w:val="32"/>
        </w:rPr>
      </w:pPr>
      <w:r>
        <w:rPr>
          <w:rFonts w:eastAsia="Times New Roman"/>
          <w:color w:val="484747"/>
          <w:sz w:val="32"/>
          <w:szCs w:val="32"/>
        </w:rPr>
        <w:t xml:space="preserve">   6</w:t>
      </w:r>
      <w:r>
        <w:rPr>
          <w:rFonts w:hint="eastAsia" w:ascii="宋体" w:hAnsi="宋体" w:cs="宋体"/>
          <w:color w:val="484747"/>
          <w:sz w:val="32"/>
          <w:szCs w:val="32"/>
        </w:rPr>
        <w:t>、根据有关政策规定，负责少数民族考生有关优惠政策的落实；负责全县少数民族经济、文化、教育、卫生、体育、科技及民族干部的统计、汇总、上报；负责民族古籍的发掘、整理、出版。</w:t>
      </w:r>
    </w:p>
    <w:p>
      <w:pPr>
        <w:spacing w:line="360" w:lineRule="auto"/>
        <w:rPr>
          <w:rFonts w:eastAsia="Times New Roman"/>
          <w:color w:val="484747"/>
          <w:sz w:val="32"/>
          <w:szCs w:val="32"/>
        </w:rPr>
      </w:pPr>
      <w:r>
        <w:rPr>
          <w:rFonts w:eastAsia="Times New Roman"/>
          <w:color w:val="484747"/>
          <w:sz w:val="32"/>
          <w:szCs w:val="32"/>
        </w:rPr>
        <w:t xml:space="preserve">   7</w:t>
      </w:r>
      <w:r>
        <w:rPr>
          <w:rFonts w:hint="eastAsia" w:ascii="宋体" w:hAnsi="宋体" w:cs="宋体"/>
          <w:color w:val="484747"/>
          <w:sz w:val="32"/>
          <w:szCs w:val="32"/>
        </w:rPr>
        <w:t>、根据有关政策规定，负责管理民族识别和民族成份的审核、批准工作。</w:t>
      </w:r>
    </w:p>
    <w:p>
      <w:pPr>
        <w:spacing w:line="360" w:lineRule="auto"/>
        <w:ind w:firstLine="320" w:firstLineChars="100"/>
        <w:rPr>
          <w:rFonts w:eastAsia="Times New Roman"/>
          <w:color w:val="484747"/>
          <w:sz w:val="32"/>
          <w:szCs w:val="32"/>
        </w:rPr>
      </w:pPr>
      <w:r>
        <w:rPr>
          <w:rFonts w:eastAsia="Times New Roman"/>
          <w:color w:val="484747"/>
          <w:sz w:val="32"/>
          <w:szCs w:val="32"/>
        </w:rPr>
        <w:t xml:space="preserve"> 8</w:t>
      </w:r>
      <w:r>
        <w:rPr>
          <w:rFonts w:hint="eastAsia" w:ascii="宋体" w:hAnsi="宋体" w:cs="宋体"/>
          <w:color w:val="484747"/>
          <w:sz w:val="32"/>
          <w:szCs w:val="32"/>
        </w:rPr>
        <w:t>、负责对全县宗教事务的管理。依据相关法律、法规，依法管理宗教事务，并监督检查各乡镇（区）各部门的执行情况，贯彻宗教信仰自由政策，保证正常宗教活动的有序进行，维护宗教团体的合法权益。</w:t>
      </w:r>
    </w:p>
    <w:p>
      <w:pPr>
        <w:spacing w:line="360" w:lineRule="auto"/>
        <w:rPr>
          <w:rFonts w:eastAsia="Times New Roman"/>
          <w:color w:val="484747"/>
          <w:sz w:val="32"/>
          <w:szCs w:val="32"/>
        </w:rPr>
      </w:pPr>
      <w:r>
        <w:rPr>
          <w:rFonts w:eastAsia="Times New Roman"/>
          <w:color w:val="484747"/>
          <w:sz w:val="32"/>
          <w:szCs w:val="32"/>
        </w:rPr>
        <w:t xml:space="preserve">    9</w:t>
      </w:r>
      <w:r>
        <w:rPr>
          <w:rFonts w:hint="eastAsia" w:ascii="宋体" w:hAnsi="宋体" w:cs="宋体"/>
          <w:color w:val="484747"/>
          <w:sz w:val="32"/>
          <w:szCs w:val="32"/>
        </w:rPr>
        <w:t>、负责指导、帮助和支持宗教团体加强自身的思想、组织、制度的等方面的建设，支持宗教团体独立自主自办教会，帮助宗教团体教育、培养爱国进步合格的宗教教职人员；办理宗教团体需由政府协助或协调的事务；协调指导乡镇人民政府及时处理民族宗教方面的突发事件和影响社会稳定的问题，维护宗教领域的稳定；负责对全县宗教工作干部和宗教界人士地教育培训工作，支持帮助宗教界开展对外友好往来，协同有关部门处理宗教方面的涉外事宜，会同有关部门打击取缔邪教组织，抵制境外敌对势力利用宗教进行的渗透活动。</w:t>
      </w:r>
    </w:p>
    <w:p>
      <w:pPr>
        <w:spacing w:line="360" w:lineRule="auto"/>
        <w:ind w:firstLine="640" w:firstLineChars="200"/>
        <w:rPr>
          <w:rFonts w:eastAsia="Times New Roman"/>
          <w:color w:val="484747"/>
          <w:sz w:val="32"/>
          <w:szCs w:val="32"/>
        </w:rPr>
      </w:pPr>
      <w:r>
        <w:rPr>
          <w:rFonts w:eastAsia="Times New Roman"/>
          <w:color w:val="484747"/>
          <w:sz w:val="32"/>
          <w:szCs w:val="32"/>
        </w:rPr>
        <w:t>10</w:t>
      </w:r>
      <w:r>
        <w:rPr>
          <w:rFonts w:hint="eastAsia" w:ascii="宋体" w:hAnsi="宋体" w:cs="宋体"/>
          <w:color w:val="484747"/>
          <w:sz w:val="32"/>
          <w:szCs w:val="32"/>
        </w:rPr>
        <w:t>、承办县委、县政府交办的其他事宜。</w:t>
      </w:r>
    </w:p>
    <w:p>
      <w:pPr>
        <w:spacing w:line="360" w:lineRule="auto"/>
        <w:ind w:firstLine="640" w:firstLineChars="200"/>
        <w:rPr>
          <w:rFonts w:eastAsia="Times New Roman"/>
          <w:color w:val="484747"/>
          <w:sz w:val="32"/>
          <w:szCs w:val="32"/>
        </w:rPr>
      </w:pPr>
    </w:p>
    <w:p>
      <w:pPr>
        <w:widowControl/>
        <w:spacing w:line="584" w:lineRule="exact"/>
        <w:ind w:firstLine="560" w:firstLineChars="200"/>
        <w:jc w:val="left"/>
      </w:pPr>
      <w:r>
        <w:rPr>
          <w:rFonts w:hint="eastAsia" w:ascii="黑体" w:hAnsi="宋体" w:eastAsia="黑体" w:cs="黑体"/>
          <w:color w:val="484747"/>
          <w:sz w:val="28"/>
          <w:szCs w:val="28"/>
        </w:rPr>
        <w:t>机构设置：</w:t>
      </w:r>
    </w:p>
    <w:p>
      <w:pPr>
        <w:widowControl/>
        <w:spacing w:line="420" w:lineRule="atLeast"/>
        <w:jc w:val="center"/>
        <w:outlineLvl w:val="0"/>
      </w:pPr>
      <w:r>
        <w:rPr>
          <w:rFonts w:hint="eastAsia" w:ascii="宋体" w:hAnsi="宋体" w:cs="宋体"/>
          <w:color w:val="484747"/>
          <w:sz w:val="32"/>
          <w:szCs w:val="32"/>
        </w:rPr>
        <w:t>部门机构设置情况</w:t>
      </w:r>
    </w:p>
    <w:tbl>
      <w:tblPr>
        <w:tblStyle w:val="5"/>
        <w:tblW w:w="9755" w:type="dxa"/>
        <w:jc w:val="center"/>
        <w:tblLayout w:type="fixed"/>
        <w:tblCellMar>
          <w:top w:w="0" w:type="dxa"/>
          <w:left w:w="108" w:type="dxa"/>
          <w:bottom w:w="0" w:type="dxa"/>
          <w:right w:w="108" w:type="dxa"/>
        </w:tblCellMar>
      </w:tblPr>
      <w:tblGrid>
        <w:gridCol w:w="4443"/>
        <w:gridCol w:w="1134"/>
        <w:gridCol w:w="1276"/>
        <w:gridCol w:w="2902"/>
      </w:tblGrid>
      <w:tr>
        <w:tblPrEx>
          <w:tblCellMar>
            <w:top w:w="0" w:type="dxa"/>
            <w:left w:w="108" w:type="dxa"/>
            <w:bottom w:w="0" w:type="dxa"/>
            <w:right w:w="108" w:type="dxa"/>
          </w:tblCellMar>
        </w:tblPrEx>
        <w:trPr>
          <w:trHeight w:val="300" w:hRule="atLeast"/>
          <w:jc w:val="center"/>
        </w:trPr>
        <w:tc>
          <w:tcPr>
            <w:tcW w:w="4443"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单位规格</w:t>
            </w:r>
          </w:p>
        </w:tc>
        <w:tc>
          <w:tcPr>
            <w:tcW w:w="2902" w:type="dxa"/>
            <w:vMerge w:val="restart"/>
            <w:tcBorders>
              <w:top w:val="single" w:color="000000" w:sz="6" w:space="0"/>
              <w:left w:val="nil"/>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经费保障形式</w:t>
            </w:r>
          </w:p>
        </w:tc>
      </w:tr>
      <w:tr>
        <w:tblPrEx>
          <w:tblCellMar>
            <w:top w:w="0" w:type="dxa"/>
            <w:left w:w="108" w:type="dxa"/>
            <w:bottom w:w="0" w:type="dxa"/>
            <w:right w:w="108" w:type="dxa"/>
          </w:tblCellMar>
        </w:tblPrEx>
        <w:trPr>
          <w:trHeight w:val="312" w:hRule="atLeast"/>
          <w:jc w:val="center"/>
        </w:trPr>
        <w:tc>
          <w:tcPr>
            <w:tcW w:w="444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宋体" w:cs="宋体"/>
                <w:sz w:val="18"/>
                <w:szCs w:val="18"/>
              </w:rPr>
            </w:pPr>
          </w:p>
        </w:tc>
        <w:tc>
          <w:tcPr>
            <w:tcW w:w="1134" w:type="dxa"/>
            <w:vMerge w:val="continue"/>
            <w:tcBorders>
              <w:top w:val="single" w:color="000000" w:sz="6" w:space="0"/>
              <w:left w:val="nil"/>
              <w:bottom w:val="single" w:color="000000" w:sz="6" w:space="0"/>
              <w:right w:val="single" w:color="000000" w:sz="6" w:space="0"/>
            </w:tcBorders>
            <w:vAlign w:val="center"/>
          </w:tcPr>
          <w:p>
            <w:pPr>
              <w:rPr>
                <w:rFonts w:ascii="宋体" w:cs="宋体"/>
                <w:sz w:val="18"/>
                <w:szCs w:val="18"/>
              </w:rPr>
            </w:pPr>
          </w:p>
        </w:tc>
        <w:tc>
          <w:tcPr>
            <w:tcW w:w="1276" w:type="dxa"/>
            <w:vMerge w:val="continue"/>
            <w:tcBorders>
              <w:top w:val="single" w:color="000000" w:sz="6" w:space="0"/>
              <w:left w:val="nil"/>
              <w:bottom w:val="single" w:color="000000" w:sz="6" w:space="0"/>
              <w:right w:val="single" w:color="000000" w:sz="6" w:space="0"/>
            </w:tcBorders>
            <w:vAlign w:val="center"/>
          </w:tcPr>
          <w:p>
            <w:pPr>
              <w:rPr>
                <w:rFonts w:ascii="宋体" w:cs="宋体"/>
                <w:sz w:val="18"/>
                <w:szCs w:val="18"/>
              </w:rPr>
            </w:pPr>
          </w:p>
        </w:tc>
        <w:tc>
          <w:tcPr>
            <w:tcW w:w="2902" w:type="dxa"/>
            <w:vMerge w:val="continue"/>
            <w:tcBorders>
              <w:top w:val="single" w:color="000000" w:sz="6" w:space="0"/>
              <w:left w:val="nil"/>
              <w:bottom w:val="single" w:color="000000" w:sz="6" w:space="0"/>
              <w:right w:val="single" w:color="000000" w:sz="6" w:space="0"/>
            </w:tcBorders>
            <w:vAlign w:val="center"/>
          </w:tcPr>
          <w:p>
            <w:pPr>
              <w:rPr>
                <w:rFonts w:ascii="宋体" w:cs="宋体"/>
                <w:sz w:val="18"/>
                <w:szCs w:val="18"/>
              </w:rPr>
            </w:pPr>
          </w:p>
        </w:tc>
      </w:tr>
      <w:tr>
        <w:tblPrEx>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pPr>
            <w:r>
              <w:rPr>
                <w:rFonts w:hint="eastAsia" w:ascii="宋体" w:hAnsi="宋体" w:cs="宋体"/>
                <w:szCs w:val="21"/>
              </w:rPr>
              <w:t>大城县民族宗教事务局</w:t>
            </w:r>
          </w:p>
        </w:tc>
        <w:tc>
          <w:tcPr>
            <w:tcW w:w="1134" w:type="dxa"/>
            <w:tcBorders>
              <w:top w:val="single" w:color="000000" w:sz="6" w:space="0"/>
              <w:left w:val="nil"/>
              <w:bottom w:val="single" w:color="000000" w:sz="6" w:space="0"/>
              <w:right w:val="single" w:color="000000" w:sz="6" w:space="0"/>
            </w:tcBorders>
            <w:vAlign w:val="center"/>
          </w:tcPr>
          <w:p>
            <w:pPr>
              <w:widowControl/>
              <w:spacing w:line="300" w:lineRule="exact"/>
              <w:ind w:firstLine="210" w:firstLineChars="100"/>
              <w:jc w:val="left"/>
            </w:pPr>
            <w:r>
              <w:rPr>
                <w:rFonts w:hint="eastAsia" w:ascii="宋体" w:hAnsi="宋体" w:cs="宋体"/>
                <w:szCs w:val="21"/>
              </w:rPr>
              <w:t>行政</w:t>
            </w:r>
          </w:p>
        </w:tc>
        <w:tc>
          <w:tcPr>
            <w:tcW w:w="1276" w:type="dxa"/>
            <w:tcBorders>
              <w:top w:val="single" w:color="000000" w:sz="6" w:space="0"/>
              <w:left w:val="nil"/>
              <w:bottom w:val="single" w:color="000000" w:sz="6" w:space="0"/>
              <w:right w:val="single" w:color="000000" w:sz="6" w:space="0"/>
            </w:tcBorders>
            <w:vAlign w:val="center"/>
          </w:tcPr>
          <w:p>
            <w:pPr>
              <w:widowControl/>
              <w:spacing w:line="300" w:lineRule="exact"/>
              <w:ind w:firstLine="210" w:firstLineChars="100"/>
              <w:jc w:val="left"/>
            </w:pPr>
            <w:r>
              <w:rPr>
                <w:rFonts w:hint="eastAsia" w:ascii="宋体" w:hAnsi="宋体" w:cs="宋体"/>
                <w:szCs w:val="21"/>
              </w:rPr>
              <w:t>科级</w:t>
            </w:r>
          </w:p>
        </w:tc>
        <w:tc>
          <w:tcPr>
            <w:tcW w:w="2902" w:type="dxa"/>
            <w:tcBorders>
              <w:top w:val="single" w:color="000000" w:sz="6" w:space="0"/>
              <w:left w:val="nil"/>
              <w:bottom w:val="single" w:color="000000" w:sz="6" w:space="0"/>
              <w:right w:val="single" w:color="000000" w:sz="6" w:space="0"/>
            </w:tcBorders>
            <w:vAlign w:val="center"/>
          </w:tcPr>
          <w:p>
            <w:pPr>
              <w:widowControl/>
              <w:spacing w:line="300" w:lineRule="exact"/>
              <w:ind w:firstLine="630" w:firstLineChars="300"/>
              <w:jc w:val="left"/>
            </w:pPr>
            <w:r>
              <w:rPr>
                <w:rFonts w:hint="eastAsia" w:ascii="宋体" w:hAnsi="宋体" w:cs="宋体"/>
                <w:szCs w:val="21"/>
              </w:rPr>
              <w:t>财政拨款</w:t>
            </w:r>
          </w:p>
        </w:tc>
      </w:tr>
    </w:tbl>
    <w:p>
      <w:pPr>
        <w:widowControl/>
        <w:spacing w:line="584" w:lineRule="exact"/>
        <w:ind w:firstLine="560" w:firstLineChars="200"/>
        <w:jc w:val="left"/>
      </w:pPr>
      <w:r>
        <w:rPr>
          <w:rFonts w:eastAsia="黑体"/>
          <w:color w:val="484747"/>
          <w:sz w:val="28"/>
          <w:szCs w:val="28"/>
        </w:rPr>
        <w:t xml:space="preserve">  </w:t>
      </w:r>
    </w:p>
    <w:p>
      <w:pPr>
        <w:widowControl/>
        <w:spacing w:line="584" w:lineRule="exact"/>
        <w:ind w:firstLine="640"/>
        <w:jc w:val="left"/>
      </w:pPr>
      <w:r>
        <w:rPr>
          <w:rFonts w:hint="eastAsia" w:ascii="黑体" w:hAnsi="宋体" w:eastAsia="黑体" w:cs="黑体"/>
          <w:color w:val="484747"/>
          <w:sz w:val="28"/>
          <w:szCs w:val="28"/>
        </w:rPr>
        <w:t>二、</w:t>
      </w:r>
      <w:r>
        <w:rPr>
          <w:rFonts w:hint="eastAsia" w:ascii="黑体" w:hAnsi="宋体" w:eastAsia="黑体" w:cs="黑体"/>
          <w:color w:val="484747"/>
          <w:sz w:val="32"/>
          <w:szCs w:val="32"/>
        </w:rPr>
        <w:t>部门决算报表（见决算信息公开附表）</w:t>
      </w:r>
    </w:p>
    <w:p>
      <w:pPr>
        <w:widowControl/>
        <w:spacing w:line="584" w:lineRule="exact"/>
        <w:ind w:firstLine="640"/>
        <w:jc w:val="left"/>
      </w:pPr>
      <w:r>
        <w:rPr>
          <w:rFonts w:eastAsia="黑体"/>
          <w:color w:val="484747"/>
          <w:sz w:val="28"/>
          <w:szCs w:val="28"/>
        </w:rPr>
        <w:t xml:space="preserve"> </w:t>
      </w:r>
    </w:p>
    <w:p>
      <w:pPr>
        <w:widowControl/>
        <w:spacing w:line="584" w:lineRule="exact"/>
        <w:ind w:firstLine="640"/>
        <w:jc w:val="left"/>
      </w:pPr>
      <w:r>
        <w:rPr>
          <w:rFonts w:eastAsia="黑体"/>
          <w:color w:val="484747"/>
          <w:sz w:val="28"/>
          <w:szCs w:val="28"/>
        </w:rPr>
        <w:t xml:space="preserve"> </w:t>
      </w:r>
    </w:p>
    <w:p>
      <w:pPr>
        <w:widowControl/>
        <w:spacing w:line="584" w:lineRule="exact"/>
        <w:ind w:firstLine="640"/>
        <w:jc w:val="left"/>
      </w:pPr>
      <w:r>
        <w:rPr>
          <w:rFonts w:hint="eastAsia" w:ascii="黑体" w:hAnsi="宋体" w:eastAsia="黑体" w:cs="黑体"/>
          <w:color w:val="484747"/>
          <w:sz w:val="32"/>
          <w:szCs w:val="32"/>
        </w:rPr>
        <w:t>三、</w:t>
      </w:r>
      <w:r>
        <w:rPr>
          <w:rFonts w:eastAsia="黑体"/>
          <w:color w:val="484747"/>
          <w:sz w:val="32"/>
          <w:szCs w:val="32"/>
        </w:rPr>
        <w:t>2017</w:t>
      </w:r>
      <w:r>
        <w:rPr>
          <w:rFonts w:hint="eastAsia" w:ascii="黑体" w:hAnsi="宋体" w:eastAsia="黑体" w:cs="黑体"/>
          <w:color w:val="484747"/>
          <w:sz w:val="32"/>
          <w:szCs w:val="32"/>
        </w:rPr>
        <w:t>年度部门决算情况说明</w:t>
      </w:r>
    </w:p>
    <w:p>
      <w:pPr>
        <w:widowControl/>
        <w:snapToGrid w:val="0"/>
        <w:spacing w:line="584" w:lineRule="exact"/>
        <w:ind w:firstLine="640"/>
        <w:jc w:val="left"/>
      </w:pPr>
      <w:r>
        <w:rPr>
          <w:rFonts w:ascii="??_GB2312" w:eastAsia="Times New Roman" w:cs="??_GB2312"/>
          <w:color w:val="484747"/>
          <w:sz w:val="32"/>
          <w:szCs w:val="32"/>
        </w:rPr>
        <w:t>（一）收入支出决算总体情况说明</w:t>
      </w:r>
    </w:p>
    <w:p>
      <w:pPr>
        <w:widowControl/>
        <w:snapToGrid w:val="0"/>
        <w:spacing w:line="584" w:lineRule="exact"/>
        <w:ind w:firstLine="960" w:firstLineChars="300"/>
        <w:jc w:val="left"/>
      </w:pPr>
      <w:r>
        <w:rPr>
          <w:rFonts w:hint="eastAsia" w:ascii="仿宋" w:hAnsi="仿宋" w:eastAsia="仿宋" w:cs="仿宋"/>
          <w:color w:val="000000"/>
          <w:kern w:val="0"/>
          <w:sz w:val="32"/>
          <w:szCs w:val="32"/>
        </w:rPr>
        <w:t>大城县民族宗教事务局</w:t>
      </w:r>
      <w:r>
        <w:rPr>
          <w:rFonts w:ascii="仿宋" w:hAnsi="仿宋" w:eastAsia="仿宋" w:cs="仿宋"/>
          <w:color w:val="000000"/>
          <w:kern w:val="0"/>
          <w:sz w:val="32"/>
          <w:szCs w:val="32"/>
        </w:rPr>
        <w:t>2016</w:t>
      </w:r>
      <w:r>
        <w:rPr>
          <w:rFonts w:hint="eastAsia" w:ascii="仿宋" w:hAnsi="仿宋" w:eastAsia="仿宋" w:cs="仿宋"/>
          <w:color w:val="000000"/>
          <w:kern w:val="0"/>
          <w:sz w:val="32"/>
          <w:szCs w:val="32"/>
        </w:rPr>
        <w:t>年度结余结转</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年度财政拨款收入</w:t>
      </w:r>
      <w:r>
        <w:rPr>
          <w:rFonts w:ascii="仿宋" w:hAnsi="仿宋" w:eastAsia="仿宋" w:cs="仿宋"/>
          <w:color w:val="000000"/>
          <w:kern w:val="0"/>
          <w:sz w:val="32"/>
          <w:szCs w:val="32"/>
        </w:rPr>
        <w:t>115.06</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年总收入</w:t>
      </w:r>
      <w:r>
        <w:rPr>
          <w:rFonts w:ascii="仿宋" w:hAnsi="仿宋" w:eastAsia="仿宋" w:cs="仿宋"/>
          <w:color w:val="000000"/>
          <w:kern w:val="0"/>
          <w:sz w:val="32"/>
          <w:szCs w:val="32"/>
        </w:rPr>
        <w:t>115.06</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年总支出</w:t>
      </w:r>
      <w:r>
        <w:rPr>
          <w:rFonts w:ascii="仿宋" w:hAnsi="仿宋" w:eastAsia="仿宋" w:cs="仿宋"/>
          <w:color w:val="000000"/>
          <w:kern w:val="0"/>
          <w:sz w:val="32"/>
          <w:szCs w:val="32"/>
        </w:rPr>
        <w:t>115.06</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年末结转和结余</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hint="eastAsia" w:ascii="宋体" w:hAnsi="宋体" w:cs="宋体"/>
          <w:color w:val="484747"/>
          <w:sz w:val="32"/>
          <w:szCs w:val="32"/>
        </w:rPr>
        <w:t>（对映决算表一）</w:t>
      </w:r>
    </w:p>
    <w:p>
      <w:pPr>
        <w:widowControl/>
        <w:spacing w:line="584" w:lineRule="exact"/>
        <w:ind w:firstLine="640" w:firstLineChars="200"/>
        <w:jc w:val="left"/>
      </w:pPr>
      <w:r>
        <w:rPr>
          <w:rFonts w:hint="eastAsia" w:ascii="宋体" w:hAnsi="宋体" w:cs="宋体"/>
          <w:color w:val="484747"/>
          <w:sz w:val="32"/>
          <w:szCs w:val="32"/>
        </w:rPr>
        <w:t>（二）收入决算情况说明</w:t>
      </w:r>
    </w:p>
    <w:p>
      <w:pPr>
        <w:widowControl/>
        <w:spacing w:line="584" w:lineRule="exact"/>
        <w:ind w:firstLine="960" w:firstLineChars="300"/>
        <w:jc w:val="left"/>
      </w:pPr>
      <w:r>
        <w:rPr>
          <w:rFonts w:hint="eastAsia" w:ascii="仿宋" w:hAnsi="仿宋" w:eastAsia="仿宋" w:cs="仿宋"/>
          <w:color w:val="000000"/>
          <w:kern w:val="0"/>
          <w:sz w:val="32"/>
          <w:szCs w:val="32"/>
        </w:rPr>
        <w:t>大城县民族宗教事务局</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年收入</w:t>
      </w:r>
      <w:r>
        <w:rPr>
          <w:rFonts w:ascii="仿宋" w:hAnsi="仿宋" w:eastAsia="仿宋" w:cs="仿宋"/>
          <w:color w:val="000000"/>
          <w:kern w:val="0"/>
          <w:sz w:val="32"/>
          <w:szCs w:val="32"/>
        </w:rPr>
        <w:t>115.06</w:t>
      </w:r>
      <w:r>
        <w:rPr>
          <w:rFonts w:hint="eastAsia" w:ascii="仿宋" w:hAnsi="仿宋" w:eastAsia="仿宋" w:cs="仿宋"/>
          <w:color w:val="000000"/>
          <w:kern w:val="0"/>
          <w:sz w:val="32"/>
          <w:szCs w:val="32"/>
        </w:rPr>
        <w:t>万元，财政拨款收入</w:t>
      </w:r>
      <w:r>
        <w:rPr>
          <w:rFonts w:ascii="仿宋" w:hAnsi="仿宋" w:eastAsia="仿宋" w:cs="仿宋"/>
          <w:color w:val="000000"/>
          <w:kern w:val="0"/>
          <w:sz w:val="32"/>
          <w:szCs w:val="32"/>
        </w:rPr>
        <w:t>115.06</w:t>
      </w:r>
      <w:r>
        <w:rPr>
          <w:rFonts w:hint="eastAsia" w:ascii="仿宋" w:hAnsi="仿宋" w:eastAsia="仿宋" w:cs="仿宋"/>
          <w:color w:val="000000"/>
          <w:kern w:val="0"/>
          <w:sz w:val="32"/>
          <w:szCs w:val="32"/>
        </w:rPr>
        <w:t>元，其他收入</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2016</w:t>
      </w:r>
      <w:r>
        <w:rPr>
          <w:rFonts w:hint="eastAsia" w:ascii="仿宋" w:hAnsi="仿宋" w:eastAsia="仿宋" w:cs="仿宋"/>
          <w:color w:val="000000"/>
          <w:kern w:val="0"/>
          <w:sz w:val="32"/>
          <w:szCs w:val="32"/>
        </w:rPr>
        <w:t>年度结余结转</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hint="eastAsia" w:ascii="仿宋" w:hAnsi="仿宋" w:eastAsia="仿宋" w:cs="仿宋"/>
          <w:color w:val="484747"/>
          <w:sz w:val="32"/>
          <w:szCs w:val="32"/>
        </w:rPr>
        <w:t>。</w:t>
      </w:r>
    </w:p>
    <w:p>
      <w:pPr>
        <w:widowControl/>
        <w:spacing w:line="584" w:lineRule="exact"/>
        <w:ind w:firstLine="640" w:firstLineChars="200"/>
        <w:jc w:val="left"/>
      </w:pPr>
      <w:r>
        <w:rPr>
          <w:rFonts w:ascii="??_GB2312" w:eastAsia="Times New Roman" w:cs="??_GB2312"/>
          <w:color w:val="484747"/>
          <w:sz w:val="32"/>
          <w:szCs w:val="32"/>
        </w:rPr>
        <w:t>（三）支出决算情况说明</w:t>
      </w:r>
    </w:p>
    <w:p>
      <w:pPr>
        <w:widowControl/>
        <w:spacing w:line="584" w:lineRule="exact"/>
        <w:ind w:firstLine="640" w:firstLineChars="200"/>
        <w:jc w:val="left"/>
      </w:pPr>
      <w:r>
        <w:rPr>
          <w:rFonts w:hint="eastAsia" w:ascii="仿宋" w:hAnsi="仿宋" w:eastAsia="仿宋" w:cs="仿宋"/>
          <w:color w:val="000000"/>
          <w:kern w:val="0"/>
          <w:sz w:val="32"/>
          <w:szCs w:val="32"/>
        </w:rPr>
        <w:t>大城县民族宗教事务局</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年支出</w:t>
      </w:r>
      <w:r>
        <w:rPr>
          <w:rFonts w:ascii="仿宋" w:hAnsi="仿宋" w:eastAsia="仿宋" w:cs="仿宋"/>
          <w:color w:val="000000"/>
          <w:kern w:val="0"/>
          <w:sz w:val="32"/>
          <w:szCs w:val="32"/>
        </w:rPr>
        <w:t>115.06</w:t>
      </w:r>
      <w:r>
        <w:rPr>
          <w:rFonts w:hint="eastAsia" w:ascii="仿宋" w:hAnsi="仿宋" w:eastAsia="仿宋" w:cs="仿宋"/>
          <w:color w:val="000000"/>
          <w:kern w:val="0"/>
          <w:sz w:val="32"/>
          <w:szCs w:val="32"/>
        </w:rPr>
        <w:t>万元，基本支出</w:t>
      </w:r>
      <w:r>
        <w:rPr>
          <w:rFonts w:ascii="仿宋" w:hAnsi="仿宋" w:eastAsia="仿宋" w:cs="仿宋"/>
          <w:color w:val="000000"/>
          <w:kern w:val="0"/>
          <w:sz w:val="32"/>
          <w:szCs w:val="32"/>
        </w:rPr>
        <w:t>81.06</w:t>
      </w:r>
      <w:r>
        <w:rPr>
          <w:rFonts w:hint="eastAsia" w:ascii="仿宋" w:hAnsi="仿宋" w:eastAsia="仿宋" w:cs="仿宋"/>
          <w:color w:val="000000"/>
          <w:kern w:val="0"/>
          <w:sz w:val="32"/>
          <w:szCs w:val="32"/>
        </w:rPr>
        <w:t>万元，项目支出</w:t>
      </w:r>
      <w:r>
        <w:rPr>
          <w:rFonts w:ascii="仿宋" w:hAnsi="仿宋" w:eastAsia="仿宋" w:cs="仿宋"/>
          <w:color w:val="000000"/>
          <w:kern w:val="0"/>
          <w:sz w:val="32"/>
          <w:szCs w:val="32"/>
        </w:rPr>
        <w:t>34</w:t>
      </w:r>
      <w:r>
        <w:rPr>
          <w:rFonts w:hint="eastAsia" w:ascii="仿宋" w:hAnsi="仿宋" w:eastAsia="仿宋" w:cs="仿宋"/>
          <w:color w:val="000000"/>
          <w:kern w:val="0"/>
          <w:sz w:val="32"/>
          <w:szCs w:val="32"/>
        </w:rPr>
        <w:t>万元；比预算</w:t>
      </w:r>
      <w:r>
        <w:rPr>
          <w:rFonts w:hint="eastAsia" w:ascii="宋体" w:hAnsi="宋体" w:cs="宋体"/>
          <w:color w:val="484747"/>
          <w:sz w:val="32"/>
          <w:szCs w:val="32"/>
        </w:rPr>
        <w:t>增加</w:t>
      </w:r>
      <w:r>
        <w:rPr>
          <w:rFonts w:eastAsia="Times New Roman" w:cs="Calibri"/>
          <w:color w:val="484747"/>
          <w:sz w:val="32"/>
          <w:szCs w:val="32"/>
        </w:rPr>
        <w:t>10</w:t>
      </w:r>
      <w:r>
        <w:rPr>
          <w:rFonts w:hint="eastAsia" w:ascii="仿宋" w:hAnsi="仿宋" w:eastAsia="仿宋" w:cs="仿宋"/>
          <w:color w:val="484747"/>
          <w:sz w:val="32"/>
          <w:szCs w:val="32"/>
        </w:rPr>
        <w:t>万元</w:t>
      </w:r>
      <w:r>
        <w:rPr>
          <w:rFonts w:hint="eastAsia" w:ascii="仿宋" w:hAnsi="仿宋" w:eastAsia="仿宋" w:cs="仿宋"/>
          <w:color w:val="000000"/>
          <w:kern w:val="0"/>
          <w:sz w:val="32"/>
          <w:szCs w:val="32"/>
        </w:rPr>
        <w:t>，比</w:t>
      </w:r>
      <w:r>
        <w:rPr>
          <w:rFonts w:ascii="仿宋" w:hAnsi="仿宋" w:eastAsia="仿宋" w:cs="仿宋"/>
          <w:color w:val="000000"/>
          <w:kern w:val="0"/>
          <w:sz w:val="32"/>
          <w:szCs w:val="32"/>
        </w:rPr>
        <w:t>2016</w:t>
      </w:r>
      <w:r>
        <w:rPr>
          <w:rFonts w:hint="eastAsia" w:ascii="仿宋" w:hAnsi="仿宋" w:eastAsia="仿宋" w:cs="仿宋"/>
          <w:color w:val="000000"/>
          <w:kern w:val="0"/>
          <w:sz w:val="32"/>
          <w:szCs w:val="32"/>
        </w:rPr>
        <w:t>年决算增加</w:t>
      </w:r>
      <w:r>
        <w:rPr>
          <w:rFonts w:ascii="仿宋" w:hAnsi="仿宋" w:eastAsia="仿宋" w:cs="仿宋"/>
          <w:color w:val="484747"/>
          <w:sz w:val="32"/>
          <w:szCs w:val="32"/>
        </w:rPr>
        <w:t>33.6156</w:t>
      </w:r>
      <w:r>
        <w:rPr>
          <w:rFonts w:hint="eastAsia" w:ascii="仿宋" w:hAnsi="仿宋" w:eastAsia="仿宋" w:cs="仿宋"/>
          <w:color w:val="484747"/>
          <w:sz w:val="32"/>
          <w:szCs w:val="32"/>
        </w:rPr>
        <w:t>万元，主要人员经费增加和省级市级项目资金增加。</w:t>
      </w:r>
      <w:r>
        <w:rPr>
          <w:rFonts w:hint="eastAsia" w:ascii="宋体" w:hAnsi="宋体" w:cs="宋体"/>
          <w:color w:val="484747"/>
          <w:sz w:val="32"/>
          <w:szCs w:val="32"/>
        </w:rPr>
        <w:t>（对映决算表三）</w:t>
      </w:r>
    </w:p>
    <w:p>
      <w:pPr>
        <w:widowControl/>
        <w:spacing w:line="584" w:lineRule="exact"/>
        <w:ind w:firstLine="640" w:firstLineChars="200"/>
        <w:jc w:val="left"/>
      </w:pPr>
      <w:r>
        <w:rPr>
          <w:rFonts w:hint="eastAsia" w:ascii="宋体" w:hAnsi="宋体" w:cs="宋体"/>
          <w:color w:val="484747"/>
          <w:sz w:val="32"/>
          <w:szCs w:val="32"/>
        </w:rPr>
        <w:t>（四）财政拨款收入支出决算总体情况说明</w:t>
      </w:r>
    </w:p>
    <w:p>
      <w:pPr>
        <w:widowControl/>
        <w:spacing w:line="584" w:lineRule="exact"/>
        <w:ind w:firstLine="640" w:firstLineChars="200"/>
        <w:jc w:val="left"/>
      </w:pPr>
      <w:r>
        <w:rPr>
          <w:rFonts w:hint="eastAsia" w:ascii="仿宋" w:hAnsi="仿宋" w:eastAsia="仿宋" w:cs="仿宋"/>
          <w:color w:val="484747"/>
          <w:sz w:val="32"/>
          <w:szCs w:val="32"/>
        </w:rPr>
        <w:t>大城县民族宗教事务局</w:t>
      </w:r>
      <w:r>
        <w:rPr>
          <w:rFonts w:ascii="仿宋" w:hAnsi="仿宋" w:eastAsia="仿宋" w:cs="仿宋"/>
          <w:color w:val="484747"/>
          <w:sz w:val="32"/>
          <w:szCs w:val="32"/>
        </w:rPr>
        <w:t>2017</w:t>
      </w:r>
      <w:r>
        <w:rPr>
          <w:rFonts w:hint="eastAsia" w:ascii="仿宋" w:hAnsi="仿宋" w:eastAsia="仿宋" w:cs="仿宋"/>
          <w:color w:val="484747"/>
          <w:sz w:val="32"/>
          <w:szCs w:val="32"/>
        </w:rPr>
        <w:t>年度一般公共预算财政拨款收入</w:t>
      </w:r>
      <w:r>
        <w:rPr>
          <w:rFonts w:ascii="仿宋" w:hAnsi="仿宋" w:eastAsia="仿宋" w:cs="仿宋"/>
          <w:color w:val="484747"/>
          <w:sz w:val="32"/>
          <w:szCs w:val="32"/>
        </w:rPr>
        <w:t>115.06</w:t>
      </w:r>
      <w:r>
        <w:rPr>
          <w:rFonts w:hint="eastAsia" w:ascii="仿宋" w:hAnsi="仿宋" w:eastAsia="仿宋" w:cs="仿宋"/>
          <w:color w:val="484747"/>
          <w:sz w:val="32"/>
          <w:szCs w:val="32"/>
        </w:rPr>
        <w:t>万元，比上年增加</w:t>
      </w:r>
      <w:r>
        <w:rPr>
          <w:rFonts w:ascii="仿宋" w:hAnsi="仿宋" w:eastAsia="仿宋" w:cs="仿宋"/>
          <w:color w:val="484747"/>
          <w:sz w:val="32"/>
          <w:szCs w:val="32"/>
        </w:rPr>
        <w:t>33.6156</w:t>
      </w:r>
      <w:r>
        <w:rPr>
          <w:rFonts w:hint="eastAsia" w:ascii="仿宋" w:hAnsi="仿宋" w:eastAsia="仿宋" w:cs="仿宋"/>
          <w:color w:val="484747"/>
          <w:sz w:val="32"/>
          <w:szCs w:val="32"/>
        </w:rPr>
        <w:t>万元，主要人员经费增加和省级市级项目资金增加。支出</w:t>
      </w:r>
      <w:r>
        <w:rPr>
          <w:rFonts w:ascii="仿宋" w:hAnsi="仿宋" w:eastAsia="仿宋" w:cs="仿宋"/>
          <w:color w:val="484747"/>
          <w:sz w:val="32"/>
          <w:szCs w:val="32"/>
        </w:rPr>
        <w:t>115.06</w:t>
      </w:r>
      <w:r>
        <w:rPr>
          <w:rFonts w:hint="eastAsia" w:ascii="仿宋" w:hAnsi="仿宋" w:eastAsia="仿宋" w:cs="仿宋"/>
          <w:color w:val="484747"/>
          <w:sz w:val="32"/>
          <w:szCs w:val="32"/>
        </w:rPr>
        <w:t>万元，比上年增加</w:t>
      </w:r>
      <w:r>
        <w:rPr>
          <w:rFonts w:ascii="仿宋" w:hAnsi="仿宋" w:eastAsia="仿宋" w:cs="仿宋"/>
          <w:color w:val="484747"/>
          <w:sz w:val="32"/>
          <w:szCs w:val="32"/>
        </w:rPr>
        <w:t>33.6156</w:t>
      </w:r>
      <w:r>
        <w:rPr>
          <w:rFonts w:hint="eastAsia" w:ascii="仿宋" w:hAnsi="仿宋" w:eastAsia="仿宋" w:cs="仿宋"/>
          <w:color w:val="484747"/>
          <w:sz w:val="32"/>
          <w:szCs w:val="32"/>
        </w:rPr>
        <w:t>万元，主要人员经费增加和省级市级项目资金增加。</w:t>
      </w:r>
    </w:p>
    <w:p>
      <w:pPr>
        <w:widowControl/>
        <w:spacing w:line="584" w:lineRule="exact"/>
        <w:ind w:firstLine="640" w:firstLineChars="200"/>
        <w:jc w:val="left"/>
      </w:pPr>
      <w:r>
        <w:rPr>
          <w:rFonts w:ascii="??_GB2312" w:eastAsia="Times New Roman" w:cs="??_GB2312"/>
          <w:color w:val="484747"/>
          <w:sz w:val="32"/>
          <w:szCs w:val="32"/>
        </w:rPr>
        <w:t>（五）</w:t>
      </w:r>
      <w:r>
        <w:rPr>
          <w:rFonts w:eastAsia="Times New Roman"/>
          <w:color w:val="484747"/>
          <w:sz w:val="32"/>
          <w:szCs w:val="32"/>
        </w:rPr>
        <w:t>“</w:t>
      </w:r>
      <w:r>
        <w:rPr>
          <w:rFonts w:ascii="??_GB2312" w:eastAsia="Times New Roman" w:cs="??_GB2312"/>
          <w:color w:val="484747"/>
          <w:sz w:val="32"/>
          <w:szCs w:val="32"/>
        </w:rPr>
        <w:t>三公</w:t>
      </w:r>
      <w:r>
        <w:rPr>
          <w:rFonts w:eastAsia="Times New Roman" w:cs="Calibri"/>
          <w:color w:val="484747"/>
          <w:sz w:val="32"/>
          <w:szCs w:val="32"/>
        </w:rPr>
        <w:t>”</w:t>
      </w:r>
      <w:r>
        <w:rPr>
          <w:rFonts w:ascii="??_GB2312" w:eastAsia="Times New Roman" w:cs="??_GB2312"/>
          <w:color w:val="484747"/>
          <w:sz w:val="32"/>
          <w:szCs w:val="32"/>
        </w:rPr>
        <w:t>经费情况及增减变化原因</w:t>
      </w:r>
    </w:p>
    <w:p>
      <w:pPr>
        <w:widowControl/>
        <w:spacing w:line="584" w:lineRule="exact"/>
        <w:ind w:firstLine="640" w:firstLineChars="200"/>
        <w:jc w:val="left"/>
      </w:pPr>
      <w:r>
        <w:rPr>
          <w:rFonts w:eastAsia="Times New Roman"/>
          <w:color w:val="484747"/>
          <w:sz w:val="32"/>
          <w:szCs w:val="32"/>
        </w:rPr>
        <w:t>2017</w:t>
      </w:r>
      <w:r>
        <w:rPr>
          <w:rFonts w:hint="eastAsia" w:ascii="宋体" w:hAnsi="宋体" w:cs="宋体"/>
          <w:color w:val="484747"/>
          <w:sz w:val="32"/>
          <w:szCs w:val="32"/>
        </w:rPr>
        <w:t>年度部门</w:t>
      </w:r>
      <w:r>
        <w:rPr>
          <w:rFonts w:eastAsia="Times New Roman"/>
          <w:color w:val="484747"/>
          <w:sz w:val="32"/>
          <w:szCs w:val="32"/>
        </w:rPr>
        <w:t>“</w:t>
      </w:r>
      <w:r>
        <w:rPr>
          <w:rFonts w:hint="eastAsia" w:ascii="宋体" w:hAnsi="宋体" w:cs="宋体"/>
          <w:color w:val="484747"/>
          <w:sz w:val="32"/>
          <w:szCs w:val="32"/>
        </w:rPr>
        <w:t>三公</w:t>
      </w:r>
      <w:r>
        <w:rPr>
          <w:rFonts w:eastAsia="Times New Roman"/>
          <w:color w:val="484747"/>
          <w:sz w:val="32"/>
          <w:szCs w:val="32"/>
        </w:rPr>
        <w:t>”</w:t>
      </w:r>
      <w:r>
        <w:rPr>
          <w:rFonts w:hint="eastAsia" w:ascii="宋体" w:hAnsi="宋体" w:cs="宋体"/>
          <w:color w:val="484747"/>
          <w:sz w:val="32"/>
          <w:szCs w:val="32"/>
        </w:rPr>
        <w:t>经费支出</w:t>
      </w:r>
      <w:r>
        <w:rPr>
          <w:rFonts w:eastAsia="Times New Roman"/>
          <w:color w:val="484747"/>
          <w:sz w:val="32"/>
          <w:szCs w:val="32"/>
        </w:rPr>
        <w:t>3.5</w:t>
      </w:r>
      <w:r>
        <w:rPr>
          <w:rFonts w:hint="eastAsia" w:ascii="宋体" w:hAnsi="宋体" w:cs="宋体"/>
          <w:color w:val="484747"/>
          <w:sz w:val="32"/>
          <w:szCs w:val="32"/>
        </w:rPr>
        <w:t>万元，比预算减少</w:t>
      </w:r>
      <w:r>
        <w:rPr>
          <w:rFonts w:eastAsia="Times New Roman"/>
          <w:color w:val="484747"/>
          <w:sz w:val="32"/>
          <w:szCs w:val="32"/>
        </w:rPr>
        <w:t>0</w:t>
      </w:r>
      <w:r>
        <w:rPr>
          <w:rFonts w:hint="eastAsia" w:ascii="宋体" w:hAnsi="宋体" w:cs="宋体"/>
          <w:color w:val="484747"/>
          <w:sz w:val="32"/>
          <w:szCs w:val="32"/>
        </w:rPr>
        <w:t>万，比</w:t>
      </w:r>
      <w:r>
        <w:rPr>
          <w:rFonts w:eastAsia="Times New Roman"/>
          <w:color w:val="484747"/>
          <w:sz w:val="32"/>
          <w:szCs w:val="32"/>
        </w:rPr>
        <w:t>2016</w:t>
      </w:r>
      <w:r>
        <w:rPr>
          <w:rFonts w:hint="eastAsia" w:ascii="宋体" w:hAnsi="宋体" w:cs="宋体"/>
          <w:color w:val="484747"/>
          <w:sz w:val="32"/>
          <w:szCs w:val="32"/>
        </w:rPr>
        <w:t>年度决算减少</w:t>
      </w:r>
      <w:r>
        <w:rPr>
          <w:rFonts w:eastAsia="Times New Roman"/>
          <w:color w:val="484747"/>
          <w:sz w:val="32"/>
          <w:szCs w:val="32"/>
        </w:rPr>
        <w:t>0</w:t>
      </w:r>
      <w:r>
        <w:rPr>
          <w:rFonts w:hint="eastAsia" w:ascii="宋体" w:hAnsi="宋体" w:cs="宋体"/>
          <w:color w:val="484747"/>
          <w:sz w:val="32"/>
          <w:szCs w:val="32"/>
        </w:rPr>
        <w:t>万元。</w:t>
      </w:r>
    </w:p>
    <w:p>
      <w:pPr>
        <w:widowControl/>
        <w:spacing w:line="584" w:lineRule="exact"/>
        <w:ind w:firstLine="640" w:firstLineChars="200"/>
        <w:jc w:val="left"/>
      </w:pPr>
      <w:r>
        <w:rPr>
          <w:rFonts w:hint="eastAsia" w:ascii="宋体" w:hAnsi="宋体" w:cs="宋体"/>
          <w:color w:val="484747"/>
          <w:sz w:val="32"/>
          <w:szCs w:val="32"/>
        </w:rPr>
        <w:t>其中：因公出国（境）费</w:t>
      </w:r>
      <w:r>
        <w:rPr>
          <w:rFonts w:eastAsia="Times New Roman"/>
          <w:color w:val="484747"/>
          <w:sz w:val="32"/>
          <w:szCs w:val="32"/>
        </w:rPr>
        <w:t>0</w:t>
      </w:r>
      <w:r>
        <w:rPr>
          <w:rFonts w:hint="eastAsia" w:ascii="宋体" w:hAnsi="宋体" w:cs="宋体"/>
          <w:color w:val="484747"/>
          <w:sz w:val="32"/>
          <w:szCs w:val="32"/>
        </w:rPr>
        <w:t>万元（本单位</w:t>
      </w:r>
      <w:r>
        <w:rPr>
          <w:rFonts w:eastAsia="Times New Roman"/>
          <w:color w:val="484747"/>
          <w:sz w:val="32"/>
          <w:szCs w:val="32"/>
        </w:rPr>
        <w:t>2017</w:t>
      </w:r>
      <w:r>
        <w:rPr>
          <w:rFonts w:hint="eastAsia" w:ascii="宋体" w:hAnsi="宋体" w:cs="宋体"/>
          <w:color w:val="484747"/>
          <w:sz w:val="32"/>
          <w:szCs w:val="32"/>
        </w:rPr>
        <w:t>年度组织出国（境）团组</w:t>
      </w:r>
      <w:r>
        <w:rPr>
          <w:rFonts w:eastAsia="Times New Roman"/>
          <w:color w:val="484747"/>
          <w:sz w:val="32"/>
          <w:szCs w:val="32"/>
        </w:rPr>
        <w:t>0</w:t>
      </w:r>
      <w:r>
        <w:rPr>
          <w:rFonts w:hint="eastAsia" w:ascii="宋体" w:hAnsi="宋体" w:cs="宋体"/>
          <w:color w:val="484747"/>
          <w:sz w:val="32"/>
          <w:szCs w:val="32"/>
        </w:rPr>
        <w:t>个，因公出国（境）人次数</w:t>
      </w:r>
      <w:r>
        <w:rPr>
          <w:rFonts w:eastAsia="Times New Roman"/>
          <w:color w:val="484747"/>
          <w:sz w:val="32"/>
          <w:szCs w:val="32"/>
        </w:rPr>
        <w:t>0</w:t>
      </w:r>
      <w:r>
        <w:rPr>
          <w:rFonts w:hint="eastAsia" w:ascii="宋体" w:hAnsi="宋体" w:cs="宋体"/>
          <w:color w:val="484747"/>
          <w:sz w:val="32"/>
          <w:szCs w:val="32"/>
        </w:rPr>
        <w:t>人），比预算无增减变化，比</w:t>
      </w:r>
      <w:r>
        <w:rPr>
          <w:rFonts w:eastAsia="Times New Roman"/>
          <w:color w:val="484747"/>
          <w:sz w:val="32"/>
          <w:szCs w:val="32"/>
        </w:rPr>
        <w:t>2016</w:t>
      </w:r>
      <w:r>
        <w:rPr>
          <w:rFonts w:hint="eastAsia" w:ascii="宋体" w:hAnsi="宋体" w:cs="宋体"/>
          <w:color w:val="484747"/>
          <w:sz w:val="32"/>
          <w:szCs w:val="32"/>
        </w:rPr>
        <w:t>年度决算无增减变化；公务用车购置及运行维护费</w:t>
      </w:r>
      <w:r>
        <w:rPr>
          <w:rFonts w:eastAsia="Times New Roman"/>
          <w:color w:val="484747"/>
          <w:sz w:val="32"/>
          <w:szCs w:val="32"/>
        </w:rPr>
        <w:t>3.5</w:t>
      </w:r>
      <w:r>
        <w:rPr>
          <w:rFonts w:hint="eastAsia" w:ascii="宋体" w:hAnsi="宋体" w:cs="宋体"/>
          <w:color w:val="484747"/>
          <w:sz w:val="32"/>
          <w:szCs w:val="32"/>
        </w:rPr>
        <w:t>万元（公务用车购置数量</w:t>
      </w:r>
      <w:r>
        <w:rPr>
          <w:rFonts w:eastAsia="Times New Roman"/>
          <w:color w:val="484747"/>
          <w:sz w:val="32"/>
          <w:szCs w:val="32"/>
        </w:rPr>
        <w:t>1</w:t>
      </w:r>
      <w:r>
        <w:rPr>
          <w:rFonts w:hint="eastAsia" w:ascii="宋体" w:hAnsi="宋体" w:cs="宋体"/>
          <w:color w:val="484747"/>
          <w:sz w:val="32"/>
          <w:szCs w:val="32"/>
        </w:rPr>
        <w:t>辆，购置金额</w:t>
      </w:r>
      <w:r>
        <w:rPr>
          <w:rFonts w:eastAsia="Times New Roman"/>
          <w:color w:val="484747"/>
          <w:sz w:val="32"/>
          <w:szCs w:val="32"/>
        </w:rPr>
        <w:t>0</w:t>
      </w:r>
      <w:r>
        <w:rPr>
          <w:rFonts w:hint="eastAsia" w:ascii="宋体" w:hAnsi="宋体" w:cs="宋体"/>
          <w:color w:val="484747"/>
          <w:sz w:val="32"/>
          <w:szCs w:val="32"/>
        </w:rPr>
        <w:t>万元，公车运行维护费</w:t>
      </w:r>
      <w:r>
        <w:rPr>
          <w:rFonts w:eastAsia="Times New Roman"/>
          <w:color w:val="484747"/>
          <w:sz w:val="32"/>
          <w:szCs w:val="32"/>
        </w:rPr>
        <w:t>3.5</w:t>
      </w:r>
      <w:r>
        <w:rPr>
          <w:rFonts w:hint="eastAsia" w:ascii="宋体" w:hAnsi="宋体" w:cs="宋体"/>
          <w:color w:val="484747"/>
          <w:sz w:val="32"/>
          <w:szCs w:val="32"/>
        </w:rPr>
        <w:t>万元，年末公务用车保有量</w:t>
      </w:r>
      <w:r>
        <w:rPr>
          <w:rFonts w:eastAsia="Times New Roman"/>
          <w:color w:val="484747"/>
          <w:sz w:val="32"/>
          <w:szCs w:val="32"/>
        </w:rPr>
        <w:t>1</w:t>
      </w:r>
      <w:r>
        <w:rPr>
          <w:rFonts w:hint="eastAsia" w:ascii="宋体" w:hAnsi="宋体" w:cs="宋体"/>
          <w:color w:val="484747"/>
          <w:sz w:val="32"/>
          <w:szCs w:val="32"/>
        </w:rPr>
        <w:t>辆），比预算无增减变化，公务接待费</w:t>
      </w:r>
      <w:r>
        <w:rPr>
          <w:rFonts w:eastAsia="Times New Roman"/>
          <w:color w:val="484747"/>
          <w:sz w:val="32"/>
          <w:szCs w:val="32"/>
        </w:rPr>
        <w:t>0</w:t>
      </w:r>
      <w:r>
        <w:rPr>
          <w:rFonts w:hint="eastAsia" w:ascii="宋体" w:hAnsi="宋体" w:cs="宋体"/>
          <w:color w:val="484747"/>
          <w:sz w:val="32"/>
          <w:szCs w:val="32"/>
        </w:rPr>
        <w:t>万元（</w:t>
      </w:r>
      <w:r>
        <w:rPr>
          <w:rFonts w:eastAsia="Times New Roman"/>
          <w:color w:val="484747"/>
          <w:sz w:val="32"/>
          <w:szCs w:val="32"/>
        </w:rPr>
        <w:t>2017</w:t>
      </w:r>
      <w:r>
        <w:rPr>
          <w:rFonts w:hint="eastAsia" w:ascii="宋体" w:hAnsi="宋体" w:cs="宋体"/>
          <w:color w:val="484747"/>
          <w:sz w:val="32"/>
          <w:szCs w:val="32"/>
        </w:rPr>
        <w:t>年度国内公务接待批</w:t>
      </w:r>
      <w:r>
        <w:rPr>
          <w:rFonts w:eastAsia="Times New Roman"/>
          <w:color w:val="484747"/>
          <w:sz w:val="32"/>
          <w:szCs w:val="32"/>
        </w:rPr>
        <w:t>0</w:t>
      </w:r>
      <w:r>
        <w:rPr>
          <w:rFonts w:hint="eastAsia" w:ascii="宋体" w:hAnsi="宋体" w:cs="宋体"/>
          <w:color w:val="484747"/>
          <w:sz w:val="32"/>
          <w:szCs w:val="32"/>
        </w:rPr>
        <w:t>次，合计接待人</w:t>
      </w:r>
      <w:r>
        <w:rPr>
          <w:rFonts w:eastAsia="Times New Roman"/>
          <w:color w:val="484747"/>
          <w:sz w:val="32"/>
          <w:szCs w:val="32"/>
        </w:rPr>
        <w:t>0</w:t>
      </w:r>
      <w:r>
        <w:rPr>
          <w:rFonts w:hint="eastAsia" w:ascii="宋体" w:hAnsi="宋体" w:cs="宋体"/>
          <w:color w:val="484747"/>
          <w:sz w:val="32"/>
          <w:szCs w:val="32"/>
        </w:rPr>
        <w:t>次）。</w:t>
      </w:r>
    </w:p>
    <w:p>
      <w:pPr>
        <w:widowControl/>
        <w:spacing w:line="584" w:lineRule="exact"/>
        <w:ind w:firstLine="640" w:firstLineChars="200"/>
        <w:jc w:val="left"/>
        <w:rPr>
          <w:rFonts w:ascii="??_GB2312" w:eastAsia="Times New Roman" w:cs="??_GB2312"/>
          <w:color w:val="484747"/>
          <w:sz w:val="32"/>
          <w:szCs w:val="32"/>
        </w:rPr>
      </w:pPr>
    </w:p>
    <w:p>
      <w:pPr>
        <w:widowControl/>
        <w:spacing w:line="584" w:lineRule="exact"/>
        <w:ind w:firstLine="640" w:firstLineChars="200"/>
        <w:jc w:val="left"/>
      </w:pPr>
      <w:r>
        <w:rPr>
          <w:rFonts w:ascii="??_GB2312" w:eastAsia="Times New Roman" w:cs="??_GB2312"/>
          <w:color w:val="484747"/>
          <w:sz w:val="32"/>
          <w:szCs w:val="32"/>
        </w:rPr>
        <w:t>（六）预算绩效管理工作开展情况说明</w:t>
      </w:r>
    </w:p>
    <w:p>
      <w:pPr>
        <w:widowControl/>
        <w:spacing w:line="420" w:lineRule="atLeast"/>
        <w:ind w:firstLine="640" w:firstLineChars="200"/>
        <w:jc w:val="left"/>
        <w:rPr>
          <w:rFonts w:ascii="??_GB2312" w:eastAsia="Times New Roman" w:cs="??_GB2312"/>
          <w:b/>
          <w:color w:val="484747"/>
          <w:sz w:val="32"/>
          <w:szCs w:val="32"/>
        </w:rPr>
      </w:pPr>
      <w:r>
        <w:rPr>
          <w:rFonts w:ascii="??_GB2312" w:eastAsia="Times New Roman" w:cs="??_GB2312"/>
          <w:b/>
          <w:color w:val="484747"/>
          <w:sz w:val="32"/>
          <w:szCs w:val="32"/>
        </w:rPr>
        <w:t>总体绩效目标：</w:t>
      </w:r>
    </w:p>
    <w:p>
      <w:pPr>
        <w:jc w:val="center"/>
        <w:outlineLvl w:val="0"/>
        <w:rPr>
          <w:rFonts w:ascii="?????_GBK" w:eastAsia="Times New Roman"/>
          <w:sz w:val="32"/>
        </w:rPr>
      </w:pPr>
      <w:bookmarkStart w:id="0" w:name="_Toc509230084"/>
      <w:r>
        <w:rPr>
          <w:rFonts w:ascii="?????_GBK" w:eastAsia="Times New Roman"/>
          <w:sz w:val="32"/>
        </w:rPr>
        <w:t>部门职责-工作活动绩效目标</w:t>
      </w:r>
      <w:bookmarkEnd w:id="0"/>
    </w:p>
    <w:p>
      <w:pPr>
        <w:widowControl/>
        <w:spacing w:line="420" w:lineRule="atLeast"/>
        <w:ind w:firstLine="420" w:firstLineChars="150"/>
        <w:jc w:val="left"/>
        <w:rPr>
          <w:rFonts w:ascii="??_GB2312" w:eastAsia="Times New Roman" w:cs="??_GB2312"/>
          <w:b/>
          <w:color w:val="484747"/>
          <w:sz w:val="28"/>
          <w:szCs w:val="28"/>
        </w:rPr>
      </w:pPr>
      <w:r>
        <w:rPr>
          <w:rFonts w:ascii="??_GB2312" w:eastAsia="Times New Roman" w:cs="??_GB2312"/>
          <w:b/>
          <w:color w:val="484747"/>
          <w:sz w:val="28"/>
          <w:szCs w:val="28"/>
        </w:rPr>
        <w:t>434002大城县民族宗教事务局                                                         单位：万元</w:t>
      </w: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1、民族基本事务管理</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贯彻执行国家关于少数民族工作的方针政策，实施有关民族问题的地方性法规和具体政策，协调处理涉及民族关系的有关事宜,监督办理少数民族权益保障事宜</w:t>
            </w:r>
          </w:p>
        </w:tc>
        <w:tc>
          <w:tcPr>
            <w:tcW w:w="2976" w:type="dxa"/>
            <w:vMerge w:val="restart"/>
            <w:vAlign w:val="center"/>
          </w:tcPr>
          <w:p>
            <w:pPr>
              <w:spacing w:line="300" w:lineRule="exact"/>
              <w:jc w:val="left"/>
              <w:rPr>
                <w:rFonts w:ascii="????_GBK" w:eastAsia="Times New Roman"/>
              </w:rPr>
            </w:pPr>
            <w:r>
              <w:rPr>
                <w:rFonts w:ascii="????_GBK" w:eastAsia="Times New Roman"/>
              </w:rPr>
              <w:t>加强民族事务管理工作</w:t>
            </w:r>
          </w:p>
        </w:tc>
        <w:tc>
          <w:tcPr>
            <w:tcW w:w="1417" w:type="dxa"/>
            <w:vAlign w:val="center"/>
          </w:tcPr>
          <w:p>
            <w:pPr>
              <w:spacing w:line="300" w:lineRule="exact"/>
              <w:jc w:val="left"/>
              <w:rPr>
                <w:rFonts w:ascii="????_GBK" w:eastAsia="Times New Roman"/>
              </w:rPr>
            </w:pPr>
            <w:r>
              <w:rPr>
                <w:rFonts w:ascii="????_GBK" w:eastAsia="Times New Roman"/>
              </w:rPr>
              <w:t>民族法律政策宣传次数</w:t>
            </w:r>
          </w:p>
        </w:tc>
        <w:tc>
          <w:tcPr>
            <w:tcW w:w="737" w:type="dxa"/>
            <w:vAlign w:val="center"/>
          </w:tcPr>
          <w:p>
            <w:pPr>
              <w:spacing w:line="300" w:lineRule="exact"/>
              <w:jc w:val="center"/>
              <w:rPr>
                <w:rFonts w:ascii="????_GBK" w:eastAsia="Times New Roman"/>
              </w:rPr>
            </w:pPr>
            <w:r>
              <w:rPr>
                <w:rFonts w:ascii="????_GBK" w:eastAsia="Times New Roman"/>
              </w:rPr>
              <w:t>≥4</w:t>
            </w:r>
          </w:p>
        </w:tc>
        <w:tc>
          <w:tcPr>
            <w:tcW w:w="737" w:type="dxa"/>
            <w:vAlign w:val="center"/>
          </w:tcPr>
          <w:p>
            <w:pPr>
              <w:spacing w:line="300" w:lineRule="exact"/>
              <w:jc w:val="center"/>
              <w:rPr>
                <w:rFonts w:ascii="????_GBK" w:eastAsia="Times New Roman"/>
              </w:rPr>
            </w:pPr>
            <w:r>
              <w:rPr>
                <w:rFonts w:ascii="????_GBK" w:eastAsia="Times New Roman"/>
              </w:rPr>
              <w:t>3</w:t>
            </w:r>
          </w:p>
        </w:tc>
        <w:tc>
          <w:tcPr>
            <w:tcW w:w="737" w:type="dxa"/>
            <w:vAlign w:val="center"/>
          </w:tcPr>
          <w:p>
            <w:pPr>
              <w:spacing w:line="300" w:lineRule="exact"/>
              <w:jc w:val="center"/>
              <w:rPr>
                <w:rFonts w:ascii="????_GBK" w:eastAsia="Times New Roman"/>
              </w:rPr>
            </w:pPr>
            <w:r>
              <w:rPr>
                <w:rFonts w:ascii="????_GBK" w:eastAsia="Times New Roman"/>
              </w:rPr>
              <w:t>2</w:t>
            </w:r>
          </w:p>
        </w:tc>
        <w:tc>
          <w:tcPr>
            <w:tcW w:w="737" w:type="dxa"/>
            <w:vAlign w:val="center"/>
          </w:tcPr>
          <w:p>
            <w:pPr>
              <w:spacing w:line="300" w:lineRule="exact"/>
              <w:jc w:val="center"/>
              <w:rPr>
                <w:rFonts w:ascii="????_GBK" w:eastAsia="Times New Roman"/>
              </w:rPr>
            </w:pPr>
            <w:r>
              <w:rPr>
                <w:rFonts w:ascii="????_GBK" w:eastAsia="Times New Roman"/>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民族法律政策宣传普及率</w:t>
            </w:r>
          </w:p>
        </w:tc>
        <w:tc>
          <w:tcPr>
            <w:tcW w:w="737" w:type="dxa"/>
            <w:vAlign w:val="center"/>
          </w:tcPr>
          <w:p>
            <w:pPr>
              <w:spacing w:line="300" w:lineRule="exact"/>
              <w:jc w:val="center"/>
              <w:rPr>
                <w:rFonts w:ascii="????_GBK" w:eastAsia="Times New Roman"/>
              </w:rPr>
            </w:pPr>
            <w:r>
              <w:rPr>
                <w:rFonts w:ascii="????_GBK" w:eastAsia="Times New Roman"/>
              </w:rPr>
              <w:t>≥85%</w:t>
            </w:r>
          </w:p>
        </w:tc>
        <w:tc>
          <w:tcPr>
            <w:tcW w:w="737" w:type="dxa"/>
            <w:vAlign w:val="center"/>
          </w:tcPr>
          <w:p>
            <w:pPr>
              <w:spacing w:line="300" w:lineRule="exact"/>
              <w:jc w:val="center"/>
              <w:rPr>
                <w:rFonts w:ascii="????_GBK" w:eastAsia="Times New Roman"/>
              </w:rPr>
            </w:pPr>
            <w:r>
              <w:rPr>
                <w:rFonts w:ascii="????_GBK" w:eastAsia="Times New Roman"/>
              </w:rPr>
              <w:t>≥75%</w:t>
            </w:r>
          </w:p>
        </w:tc>
        <w:tc>
          <w:tcPr>
            <w:tcW w:w="737" w:type="dxa"/>
            <w:vAlign w:val="center"/>
          </w:tcPr>
          <w:p>
            <w:pPr>
              <w:spacing w:line="300" w:lineRule="exact"/>
              <w:jc w:val="center"/>
              <w:rPr>
                <w:rFonts w:ascii="????_GBK" w:eastAsia="Times New Roman"/>
              </w:rPr>
            </w:pPr>
            <w:r>
              <w:rPr>
                <w:rFonts w:ascii="????_GBK" w:eastAsia="Times New Roman"/>
              </w:rPr>
              <w:t>≥60%</w:t>
            </w:r>
          </w:p>
        </w:tc>
        <w:tc>
          <w:tcPr>
            <w:tcW w:w="737" w:type="dxa"/>
            <w:vAlign w:val="center"/>
          </w:tcPr>
          <w:p>
            <w:pPr>
              <w:spacing w:line="300" w:lineRule="exact"/>
              <w:jc w:val="center"/>
              <w:rPr>
                <w:rFonts w:ascii="????_GBK" w:eastAsia="Times New Roman"/>
              </w:rPr>
            </w:pPr>
            <w:r>
              <w:rPr>
                <w:rFonts w:ascii="????_GBK" w:eastAsia="Times New Roman"/>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涉及民族关系的问题、案件解决率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2、促进少数民族地区经济发展</w:t>
            </w:r>
          </w:p>
        </w:tc>
        <w:tc>
          <w:tcPr>
            <w:tcW w:w="1276" w:type="dxa"/>
            <w:vMerge w:val="restart"/>
            <w:vAlign w:val="center"/>
          </w:tcPr>
          <w:p>
            <w:pPr>
              <w:spacing w:line="300" w:lineRule="exact"/>
              <w:jc w:val="left"/>
              <w:rPr>
                <w:rFonts w:ascii="仿宋" w:hAnsi="仿宋" w:eastAsia="仿宋"/>
                <w:sz w:val="24"/>
              </w:rPr>
            </w:pPr>
            <w:r>
              <w:rPr>
                <w:rFonts w:ascii="仿宋" w:hAnsi="仿宋" w:eastAsia="仿宋"/>
                <w:sz w:val="24"/>
              </w:rPr>
              <w:t>28.00</w:t>
            </w:r>
          </w:p>
        </w:tc>
        <w:tc>
          <w:tcPr>
            <w:tcW w:w="2976" w:type="dxa"/>
            <w:vMerge w:val="restart"/>
            <w:vAlign w:val="center"/>
          </w:tcPr>
          <w:p>
            <w:pPr>
              <w:spacing w:line="300" w:lineRule="exact"/>
              <w:jc w:val="left"/>
              <w:rPr>
                <w:rFonts w:ascii="????_GBK" w:eastAsia="Times New Roman"/>
              </w:rPr>
            </w:pPr>
            <w:r>
              <w:rPr>
                <w:rFonts w:ascii="????_GBK" w:eastAsia="Times New Roman"/>
              </w:rPr>
              <w:t>协调民族地方科技发展、对口支援、经济技术协作、民族贸易和民族特需用品生产;配合承办少数民族和民族地方扶贫事宜;承办民族统计工作</w:t>
            </w:r>
          </w:p>
        </w:tc>
        <w:tc>
          <w:tcPr>
            <w:tcW w:w="2976" w:type="dxa"/>
            <w:vMerge w:val="restart"/>
            <w:vAlign w:val="center"/>
          </w:tcPr>
          <w:p>
            <w:pPr>
              <w:spacing w:line="300" w:lineRule="exact"/>
              <w:jc w:val="left"/>
              <w:rPr>
                <w:rFonts w:ascii="????_GBK" w:eastAsia="Times New Roman"/>
              </w:rPr>
            </w:pPr>
            <w:r>
              <w:rPr>
                <w:rFonts w:ascii="????_GBK" w:eastAsia="Times New Roman"/>
              </w:rPr>
              <w:t>较好的完成少数民族基本事务管理工作</w:t>
            </w:r>
          </w:p>
        </w:tc>
        <w:tc>
          <w:tcPr>
            <w:tcW w:w="1417" w:type="dxa"/>
            <w:vAlign w:val="center"/>
          </w:tcPr>
          <w:p>
            <w:pPr>
              <w:spacing w:line="300" w:lineRule="exact"/>
              <w:jc w:val="left"/>
              <w:rPr>
                <w:rFonts w:ascii="????_GBK" w:eastAsia="Times New Roman"/>
              </w:rPr>
            </w:pPr>
            <w:r>
              <w:rPr>
                <w:rFonts w:ascii="????_GBK" w:eastAsia="Times New Roman"/>
              </w:rPr>
              <w:t>特困人群帮扶次数</w:t>
            </w:r>
          </w:p>
        </w:tc>
        <w:tc>
          <w:tcPr>
            <w:tcW w:w="737" w:type="dxa"/>
            <w:vAlign w:val="center"/>
          </w:tcPr>
          <w:p>
            <w:pPr>
              <w:spacing w:line="300" w:lineRule="exact"/>
              <w:jc w:val="center"/>
              <w:rPr>
                <w:rFonts w:ascii="????_GBK" w:eastAsia="Times New Roman"/>
              </w:rPr>
            </w:pPr>
            <w:r>
              <w:rPr>
                <w:rFonts w:ascii="????_GBK" w:eastAsia="Times New Roman"/>
              </w:rPr>
              <w:t>≥10</w:t>
            </w:r>
          </w:p>
        </w:tc>
        <w:tc>
          <w:tcPr>
            <w:tcW w:w="737" w:type="dxa"/>
            <w:vAlign w:val="center"/>
          </w:tcPr>
          <w:p>
            <w:pPr>
              <w:spacing w:line="300" w:lineRule="exact"/>
              <w:jc w:val="center"/>
              <w:rPr>
                <w:rFonts w:ascii="????_GBK" w:eastAsia="Times New Roman"/>
              </w:rPr>
            </w:pPr>
            <w:r>
              <w:rPr>
                <w:rFonts w:ascii="????_GBK" w:eastAsia="Times New Roman"/>
              </w:rPr>
              <w:t>≥7</w:t>
            </w:r>
          </w:p>
        </w:tc>
        <w:tc>
          <w:tcPr>
            <w:tcW w:w="737" w:type="dxa"/>
            <w:vAlign w:val="center"/>
          </w:tcPr>
          <w:p>
            <w:pPr>
              <w:spacing w:line="300" w:lineRule="exact"/>
              <w:jc w:val="center"/>
              <w:rPr>
                <w:rFonts w:ascii="????_GBK" w:eastAsia="Times New Roman"/>
              </w:rPr>
            </w:pPr>
            <w:r>
              <w:rPr>
                <w:rFonts w:ascii="????_GBK" w:eastAsia="Times New Roman"/>
              </w:rPr>
              <w:t>≥3</w:t>
            </w:r>
          </w:p>
        </w:tc>
        <w:tc>
          <w:tcPr>
            <w:tcW w:w="737" w:type="dxa"/>
            <w:vAlign w:val="center"/>
          </w:tcPr>
          <w:p>
            <w:pPr>
              <w:spacing w:line="300" w:lineRule="exact"/>
              <w:jc w:val="center"/>
              <w:rPr>
                <w:rFonts w:ascii="????_GBK" w:eastAsia="Times New Roman"/>
              </w:rPr>
            </w:pPr>
            <w:r>
              <w:rPr>
                <w:rFonts w:ascii="????_GBK" w:eastAsia="Times New Roman"/>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开展民族统计工作次数</w:t>
            </w:r>
          </w:p>
        </w:tc>
        <w:tc>
          <w:tcPr>
            <w:tcW w:w="737" w:type="dxa"/>
            <w:vAlign w:val="center"/>
          </w:tcPr>
          <w:p>
            <w:pPr>
              <w:spacing w:line="300" w:lineRule="exact"/>
              <w:jc w:val="center"/>
              <w:rPr>
                <w:rFonts w:ascii="????_GBK" w:eastAsia="Times New Roman"/>
              </w:rPr>
            </w:pPr>
            <w:r>
              <w:rPr>
                <w:rFonts w:ascii="????_GBK" w:eastAsia="Times New Roman"/>
              </w:rPr>
              <w:t>≥1</w:t>
            </w:r>
          </w:p>
        </w:tc>
        <w:tc>
          <w:tcPr>
            <w:tcW w:w="737" w:type="dxa"/>
            <w:vAlign w:val="center"/>
          </w:tcPr>
          <w:p>
            <w:pPr>
              <w:spacing w:line="300" w:lineRule="exact"/>
              <w:jc w:val="center"/>
              <w:rPr>
                <w:rFonts w:ascii="????_GBK" w:eastAsia="Times New Roman"/>
              </w:rPr>
            </w:pPr>
            <w:r>
              <w:rPr>
                <w:rFonts w:ascii="????_GBK" w:eastAsia="Times New Roman"/>
              </w:rPr>
              <w:t>&lt;1</w:t>
            </w: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3、宗教基本事务管理</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贯彻执行国家关于宗教工作的方针政策；监督检查宗教活动场所；对困难宗教教职人员进行补助；协调指导各教的基本事务管理工作。</w:t>
            </w:r>
          </w:p>
        </w:tc>
        <w:tc>
          <w:tcPr>
            <w:tcW w:w="2976" w:type="dxa"/>
            <w:vMerge w:val="restart"/>
            <w:vAlign w:val="center"/>
          </w:tcPr>
          <w:p>
            <w:pPr>
              <w:spacing w:line="300" w:lineRule="exact"/>
              <w:jc w:val="left"/>
              <w:rPr>
                <w:rFonts w:ascii="????_GBK" w:eastAsia="Times New Roman"/>
              </w:rPr>
            </w:pPr>
            <w:r>
              <w:rPr>
                <w:rFonts w:ascii="????_GBK" w:eastAsia="Times New Roman"/>
              </w:rPr>
              <w:t>完成宗教基本事务管理，加大全县宗教活动场所监管力度，及时解决各类问题</w:t>
            </w:r>
          </w:p>
        </w:tc>
        <w:tc>
          <w:tcPr>
            <w:tcW w:w="1417" w:type="dxa"/>
            <w:vAlign w:val="center"/>
          </w:tcPr>
          <w:p>
            <w:pPr>
              <w:spacing w:line="300" w:lineRule="exact"/>
              <w:jc w:val="left"/>
              <w:rPr>
                <w:rFonts w:ascii="????_GBK" w:eastAsia="Times New Roman"/>
              </w:rPr>
            </w:pPr>
            <w:r>
              <w:rPr>
                <w:rFonts w:ascii="????_GBK" w:eastAsia="Times New Roman"/>
              </w:rPr>
              <w:t>宗教方针政策宣传次数</w:t>
            </w:r>
          </w:p>
        </w:tc>
        <w:tc>
          <w:tcPr>
            <w:tcW w:w="737" w:type="dxa"/>
            <w:vAlign w:val="center"/>
          </w:tcPr>
          <w:p>
            <w:pPr>
              <w:spacing w:line="300" w:lineRule="exact"/>
              <w:jc w:val="center"/>
              <w:rPr>
                <w:rFonts w:ascii="????_GBK" w:eastAsia="Times New Roman"/>
              </w:rPr>
            </w:pPr>
            <w:r>
              <w:rPr>
                <w:rFonts w:ascii="????_GBK" w:eastAsia="Times New Roman"/>
              </w:rPr>
              <w:t>≥4</w:t>
            </w:r>
          </w:p>
        </w:tc>
        <w:tc>
          <w:tcPr>
            <w:tcW w:w="737" w:type="dxa"/>
            <w:vAlign w:val="center"/>
          </w:tcPr>
          <w:p>
            <w:pPr>
              <w:spacing w:line="300" w:lineRule="exact"/>
              <w:jc w:val="center"/>
              <w:rPr>
                <w:rFonts w:ascii="????_GBK" w:eastAsia="Times New Roman"/>
              </w:rPr>
            </w:pPr>
            <w:r>
              <w:rPr>
                <w:rFonts w:ascii="????_GBK" w:eastAsia="Times New Roman"/>
              </w:rPr>
              <w:t>3</w:t>
            </w:r>
          </w:p>
        </w:tc>
        <w:tc>
          <w:tcPr>
            <w:tcW w:w="737" w:type="dxa"/>
            <w:vAlign w:val="center"/>
          </w:tcPr>
          <w:p>
            <w:pPr>
              <w:spacing w:line="300" w:lineRule="exact"/>
              <w:jc w:val="center"/>
              <w:rPr>
                <w:rFonts w:ascii="????_GBK" w:eastAsia="Times New Roman"/>
              </w:rPr>
            </w:pPr>
            <w:r>
              <w:rPr>
                <w:rFonts w:ascii="????_GBK" w:eastAsia="Times New Roman"/>
              </w:rPr>
              <w:t>2</w:t>
            </w:r>
          </w:p>
        </w:tc>
        <w:tc>
          <w:tcPr>
            <w:tcW w:w="737" w:type="dxa"/>
            <w:vAlign w:val="center"/>
          </w:tcPr>
          <w:p>
            <w:pPr>
              <w:spacing w:line="300" w:lineRule="exact"/>
              <w:jc w:val="center"/>
              <w:rPr>
                <w:rFonts w:ascii="????_GBK" w:eastAsia="Times New Roman"/>
              </w:rPr>
            </w:pPr>
            <w:r>
              <w:rPr>
                <w:rFonts w:ascii="????_GBK" w:eastAsia="Times New Roman"/>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全县大型宗教活动场所检查次数</w:t>
            </w:r>
          </w:p>
        </w:tc>
        <w:tc>
          <w:tcPr>
            <w:tcW w:w="737" w:type="dxa"/>
            <w:vAlign w:val="center"/>
          </w:tcPr>
          <w:p>
            <w:pPr>
              <w:spacing w:line="300" w:lineRule="exact"/>
              <w:jc w:val="center"/>
              <w:rPr>
                <w:rFonts w:ascii="????_GBK" w:eastAsia="Times New Roman"/>
              </w:rPr>
            </w:pPr>
            <w:r>
              <w:rPr>
                <w:rFonts w:ascii="????_GBK" w:eastAsia="Times New Roman"/>
              </w:rPr>
              <w:t>≥3</w:t>
            </w:r>
          </w:p>
        </w:tc>
        <w:tc>
          <w:tcPr>
            <w:tcW w:w="737" w:type="dxa"/>
            <w:vAlign w:val="center"/>
          </w:tcPr>
          <w:p>
            <w:pPr>
              <w:spacing w:line="300" w:lineRule="exact"/>
              <w:jc w:val="center"/>
              <w:rPr>
                <w:rFonts w:ascii="????_GBK" w:eastAsia="Times New Roman"/>
              </w:rPr>
            </w:pPr>
            <w:r>
              <w:rPr>
                <w:rFonts w:ascii="????_GBK" w:eastAsia="Times New Roman"/>
              </w:rPr>
              <w:t>2</w:t>
            </w:r>
          </w:p>
        </w:tc>
        <w:tc>
          <w:tcPr>
            <w:tcW w:w="737" w:type="dxa"/>
            <w:vAlign w:val="center"/>
          </w:tcPr>
          <w:p>
            <w:pPr>
              <w:spacing w:line="300" w:lineRule="exact"/>
              <w:jc w:val="center"/>
              <w:rPr>
                <w:rFonts w:ascii="????_GBK" w:eastAsia="Times New Roman"/>
              </w:rPr>
            </w:pPr>
            <w:r>
              <w:rPr>
                <w:rFonts w:ascii="????_GBK" w:eastAsia="Times New Roman"/>
              </w:rPr>
              <w:t>1</w:t>
            </w:r>
          </w:p>
        </w:tc>
        <w:tc>
          <w:tcPr>
            <w:tcW w:w="737" w:type="dxa"/>
            <w:vAlign w:val="center"/>
          </w:tcPr>
          <w:p>
            <w:pPr>
              <w:spacing w:line="300" w:lineRule="exact"/>
              <w:jc w:val="center"/>
              <w:rPr>
                <w:rFonts w:ascii="????_GBK" w:eastAsia="Times New Roman"/>
              </w:rPr>
            </w:pPr>
            <w:r>
              <w:rPr>
                <w:rFonts w:ascii="????_GBK" w:eastAsia="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帮扶困难教职人员数量</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≥50</w:t>
            </w:r>
          </w:p>
        </w:tc>
        <w:tc>
          <w:tcPr>
            <w:tcW w:w="737" w:type="dxa"/>
            <w:vAlign w:val="center"/>
          </w:tcPr>
          <w:p>
            <w:pPr>
              <w:spacing w:line="300" w:lineRule="exact"/>
              <w:jc w:val="center"/>
              <w:rPr>
                <w:rFonts w:ascii="????_GBK" w:eastAsia="Times New Roman"/>
              </w:rPr>
            </w:pPr>
            <w:r>
              <w:rPr>
                <w:rFonts w:ascii="????_GBK" w:eastAsia="Times New Roman"/>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全县大型宗教活动场所检查覆盖率</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≥60%</w:t>
            </w:r>
          </w:p>
        </w:tc>
        <w:tc>
          <w:tcPr>
            <w:tcW w:w="737" w:type="dxa"/>
            <w:vAlign w:val="center"/>
          </w:tcPr>
          <w:p>
            <w:pPr>
              <w:spacing w:line="300" w:lineRule="exact"/>
              <w:jc w:val="center"/>
              <w:rPr>
                <w:rFonts w:ascii="????_GBK" w:eastAsia="Times New Roman"/>
              </w:rPr>
            </w:pPr>
            <w:r>
              <w:rPr>
                <w:rFonts w:ascii="????_GBK" w:eastAsia="Times New Roman"/>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帮扶困难教职人员覆盖率</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≥60%</w:t>
            </w:r>
          </w:p>
        </w:tc>
        <w:tc>
          <w:tcPr>
            <w:tcW w:w="737" w:type="dxa"/>
            <w:vAlign w:val="center"/>
          </w:tcPr>
          <w:p>
            <w:pPr>
              <w:spacing w:line="300" w:lineRule="exact"/>
              <w:jc w:val="center"/>
              <w:rPr>
                <w:rFonts w:ascii="????_GBK" w:eastAsia="Times New Roman"/>
              </w:rPr>
            </w:pPr>
            <w:r>
              <w:rPr>
                <w:rFonts w:ascii="????_GBK" w:eastAsia="Times New Roman"/>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4、天主教综合治理</w:t>
            </w:r>
          </w:p>
        </w:tc>
        <w:tc>
          <w:tcPr>
            <w:tcW w:w="1276" w:type="dxa"/>
            <w:vMerge w:val="restart"/>
            <w:vAlign w:val="center"/>
          </w:tcPr>
          <w:p>
            <w:pPr>
              <w:spacing w:line="300" w:lineRule="exact"/>
              <w:jc w:val="left"/>
              <w:rPr>
                <w:rFonts w:ascii="仿宋" w:hAnsi="仿宋" w:eastAsia="仿宋"/>
                <w:sz w:val="24"/>
              </w:rPr>
            </w:pPr>
            <w:r>
              <w:rPr>
                <w:rFonts w:ascii="仿宋" w:hAnsi="仿宋" w:eastAsia="仿宋"/>
                <w:sz w:val="24"/>
              </w:rPr>
              <w:t>5.00</w:t>
            </w:r>
          </w:p>
        </w:tc>
        <w:tc>
          <w:tcPr>
            <w:tcW w:w="2976" w:type="dxa"/>
            <w:vMerge w:val="restart"/>
            <w:vAlign w:val="center"/>
          </w:tcPr>
          <w:p>
            <w:pPr>
              <w:spacing w:line="300" w:lineRule="exact"/>
              <w:jc w:val="left"/>
              <w:rPr>
                <w:rFonts w:ascii="????_GBK" w:eastAsia="Times New Roman"/>
              </w:rPr>
            </w:pPr>
            <w:r>
              <w:rPr>
                <w:rFonts w:ascii="????_GBK" w:eastAsia="Times New Roman"/>
              </w:rPr>
              <w:t>对地下主教、神甫及其骨干分子进行监控、反渗透，研究天主教神职人员生活补助政策，巩固爱国人员的领导地位</w:t>
            </w:r>
          </w:p>
        </w:tc>
        <w:tc>
          <w:tcPr>
            <w:tcW w:w="2976" w:type="dxa"/>
            <w:vMerge w:val="restart"/>
            <w:vAlign w:val="center"/>
          </w:tcPr>
          <w:p>
            <w:pPr>
              <w:spacing w:line="300" w:lineRule="exact"/>
              <w:jc w:val="left"/>
              <w:rPr>
                <w:rFonts w:ascii="????_GBK" w:eastAsia="Times New Roman"/>
              </w:rPr>
            </w:pPr>
            <w:r>
              <w:rPr>
                <w:rFonts w:ascii="????_GBK" w:eastAsia="Times New Roman"/>
              </w:rPr>
              <w:t>加大补助力度，增强反渗透能力</w:t>
            </w:r>
          </w:p>
        </w:tc>
        <w:tc>
          <w:tcPr>
            <w:tcW w:w="1417" w:type="dxa"/>
            <w:vAlign w:val="center"/>
          </w:tcPr>
          <w:p>
            <w:pPr>
              <w:spacing w:line="300" w:lineRule="exact"/>
              <w:jc w:val="left"/>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仿宋" w:hAnsi="仿宋" w:eastAsia="仿宋"/>
                <w:sz w:val="24"/>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c>
          <w:tcPr>
            <w:tcW w:w="737" w:type="dxa"/>
            <w:vAlign w:val="center"/>
          </w:tcPr>
          <w:p>
            <w:pPr>
              <w:spacing w:line="300" w:lineRule="exact"/>
              <w:jc w:val="center"/>
              <w:rPr>
                <w:rFonts w:ascii="????_GBK" w:eastAsia="Times New Roman"/>
              </w:rPr>
            </w:pPr>
            <w:r>
              <w:rPr>
                <w:rFonts w:ascii="????_GBK" w:eastAsia="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5、培训教育</w:t>
            </w:r>
          </w:p>
        </w:tc>
        <w:tc>
          <w:tcPr>
            <w:tcW w:w="1276" w:type="dxa"/>
            <w:vMerge w:val="restart"/>
            <w:vAlign w:val="center"/>
          </w:tcPr>
          <w:p>
            <w:pPr>
              <w:spacing w:line="300" w:lineRule="exact"/>
              <w:jc w:val="left"/>
              <w:rPr>
                <w:rFonts w:ascii="仿宋" w:hAnsi="仿宋" w:eastAsia="仿宋"/>
                <w:sz w:val="24"/>
              </w:rPr>
            </w:pPr>
            <w:r>
              <w:rPr>
                <w:rFonts w:ascii="仿宋" w:hAnsi="仿宋" w:eastAsia="仿宋"/>
                <w:sz w:val="24"/>
              </w:rPr>
              <w:t>2.00</w:t>
            </w:r>
          </w:p>
        </w:tc>
        <w:tc>
          <w:tcPr>
            <w:tcW w:w="2976" w:type="dxa"/>
            <w:vMerge w:val="restart"/>
            <w:vAlign w:val="center"/>
          </w:tcPr>
          <w:p>
            <w:pPr>
              <w:spacing w:line="300" w:lineRule="exact"/>
              <w:jc w:val="left"/>
              <w:rPr>
                <w:rFonts w:ascii="????_GBK" w:eastAsia="Times New Roman"/>
              </w:rPr>
            </w:pPr>
            <w:r>
              <w:rPr>
                <w:rFonts w:ascii="????_GBK" w:eastAsia="Times New Roman"/>
              </w:rPr>
              <w:t>教育、培训各大宗教教职人员和信教群众，培养各大宗教爱国爱教人士，促进社会和谐稳定。</w:t>
            </w:r>
          </w:p>
        </w:tc>
        <w:tc>
          <w:tcPr>
            <w:tcW w:w="2976" w:type="dxa"/>
            <w:vMerge w:val="restart"/>
            <w:vAlign w:val="center"/>
          </w:tcPr>
          <w:p>
            <w:pPr>
              <w:spacing w:line="300" w:lineRule="exact"/>
              <w:jc w:val="left"/>
              <w:rPr>
                <w:rFonts w:ascii="????_GBK" w:eastAsia="Times New Roman"/>
              </w:rPr>
            </w:pPr>
            <w:r>
              <w:rPr>
                <w:rFonts w:ascii="????_GBK" w:eastAsia="Times New Roman"/>
              </w:rPr>
              <w:t>提高培训效果，确保结训人员数量</w:t>
            </w:r>
          </w:p>
        </w:tc>
        <w:tc>
          <w:tcPr>
            <w:tcW w:w="1417" w:type="dxa"/>
            <w:vAlign w:val="center"/>
          </w:tcPr>
          <w:p>
            <w:pPr>
              <w:spacing w:line="300" w:lineRule="exact"/>
              <w:jc w:val="left"/>
              <w:rPr>
                <w:rFonts w:ascii="????_GBK" w:eastAsia="Times New Roman"/>
              </w:rPr>
            </w:pPr>
            <w:r>
              <w:rPr>
                <w:rFonts w:ascii="????_GBK" w:eastAsia="Times New Roman"/>
              </w:rPr>
              <w:t>培训人次</w:t>
            </w:r>
          </w:p>
        </w:tc>
        <w:tc>
          <w:tcPr>
            <w:tcW w:w="737" w:type="dxa"/>
            <w:vAlign w:val="center"/>
          </w:tcPr>
          <w:p>
            <w:pPr>
              <w:spacing w:line="300" w:lineRule="exact"/>
              <w:jc w:val="center"/>
              <w:rPr>
                <w:rFonts w:ascii="????_GBK" w:eastAsia="Times New Roman"/>
              </w:rPr>
            </w:pPr>
            <w:r>
              <w:rPr>
                <w:rFonts w:ascii="????_GBK" w:eastAsia="Times New Roman"/>
              </w:rPr>
              <w:t>≥45</w:t>
            </w:r>
          </w:p>
        </w:tc>
        <w:tc>
          <w:tcPr>
            <w:tcW w:w="737" w:type="dxa"/>
            <w:vAlign w:val="center"/>
          </w:tcPr>
          <w:p>
            <w:pPr>
              <w:spacing w:line="300" w:lineRule="exact"/>
              <w:jc w:val="center"/>
              <w:rPr>
                <w:rFonts w:ascii="????_GBK" w:eastAsia="Times New Roman"/>
              </w:rPr>
            </w:pPr>
            <w:r>
              <w:rPr>
                <w:rFonts w:ascii="????_GBK" w:eastAsia="Times New Roman"/>
              </w:rPr>
              <w:t>≥40</w:t>
            </w:r>
          </w:p>
        </w:tc>
        <w:tc>
          <w:tcPr>
            <w:tcW w:w="737" w:type="dxa"/>
            <w:vAlign w:val="center"/>
          </w:tcPr>
          <w:p>
            <w:pPr>
              <w:spacing w:line="300" w:lineRule="exact"/>
              <w:jc w:val="center"/>
              <w:rPr>
                <w:rFonts w:ascii="????_GBK" w:eastAsia="Times New Roman"/>
              </w:rPr>
            </w:pPr>
            <w:r>
              <w:rPr>
                <w:rFonts w:ascii="????_GBK" w:eastAsia="Times New Roman"/>
              </w:rPr>
              <w:t>≥35</w:t>
            </w:r>
          </w:p>
        </w:tc>
        <w:tc>
          <w:tcPr>
            <w:tcW w:w="737" w:type="dxa"/>
            <w:vAlign w:val="center"/>
          </w:tcPr>
          <w:p>
            <w:pPr>
              <w:spacing w:line="300" w:lineRule="exact"/>
              <w:jc w:val="center"/>
              <w:rPr>
                <w:rFonts w:ascii="????_GBK" w:eastAsia="Times New Roman"/>
              </w:rPr>
            </w:pPr>
            <w:r>
              <w:rPr>
                <w:rFonts w:ascii="????_GBK" w:eastAsia="Times New Roman"/>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仿宋" w:hAnsi="仿宋" w:eastAsia="仿宋"/>
                <w:sz w:val="24"/>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培训通过率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6、民宗政务管理</w:t>
            </w:r>
          </w:p>
        </w:tc>
        <w:tc>
          <w:tcPr>
            <w:tcW w:w="1276" w:type="dxa"/>
            <w:vMerge w:val="restart"/>
            <w:vAlign w:val="center"/>
          </w:tcPr>
          <w:p>
            <w:pPr>
              <w:spacing w:line="300" w:lineRule="exact"/>
              <w:jc w:val="left"/>
              <w:rPr>
                <w:rFonts w:ascii="仿宋" w:hAnsi="仿宋" w:eastAsia="仿宋"/>
                <w:sz w:val="24"/>
              </w:rPr>
            </w:pPr>
            <w:r>
              <w:rPr>
                <w:rFonts w:ascii="仿宋" w:hAnsi="仿宋" w:eastAsia="仿宋"/>
                <w:sz w:val="24"/>
              </w:rPr>
              <w:t>3.00</w:t>
            </w:r>
          </w:p>
        </w:tc>
        <w:tc>
          <w:tcPr>
            <w:tcW w:w="2976" w:type="dxa"/>
            <w:vMerge w:val="restart"/>
            <w:vAlign w:val="center"/>
          </w:tcPr>
          <w:p>
            <w:pPr>
              <w:spacing w:line="300" w:lineRule="exact"/>
              <w:jc w:val="left"/>
              <w:rPr>
                <w:rFonts w:ascii="????_GBK" w:eastAsia="Times New Roman"/>
              </w:rPr>
            </w:pPr>
            <w:r>
              <w:rPr>
                <w:rFonts w:ascii="????_GBK" w:eastAsia="Times New Roman"/>
              </w:rPr>
              <w:t>开展民族宗教政策和法制宣传教育工作，协助处理民族宗教方面的维稳问题促进民族宗教团结、稳定，帮助宗教团体解决办公用房，推进县宗教团体业务用房建设，妥善处置宗教突发事件、维护宗教界和谐稳定。</w:t>
            </w:r>
          </w:p>
        </w:tc>
        <w:tc>
          <w:tcPr>
            <w:tcW w:w="2976" w:type="dxa"/>
            <w:vMerge w:val="restart"/>
            <w:vAlign w:val="center"/>
          </w:tcPr>
          <w:p>
            <w:pPr>
              <w:spacing w:line="300" w:lineRule="exact"/>
              <w:jc w:val="left"/>
              <w:rPr>
                <w:rFonts w:ascii="????_GBK" w:eastAsia="Times New Roman"/>
              </w:rPr>
            </w:pPr>
            <w:r>
              <w:rPr>
                <w:rFonts w:ascii="????_GBK" w:eastAsia="Times New Roman"/>
              </w:rPr>
              <w:t>保障机关正常运转</w:t>
            </w:r>
          </w:p>
        </w:tc>
        <w:tc>
          <w:tcPr>
            <w:tcW w:w="1417" w:type="dxa"/>
            <w:vAlign w:val="center"/>
          </w:tcPr>
          <w:p>
            <w:pPr>
              <w:spacing w:line="300" w:lineRule="exact"/>
              <w:jc w:val="left"/>
              <w:rPr>
                <w:rFonts w:ascii="????_GBK" w:eastAsia="Times New Roman"/>
              </w:rPr>
            </w:pPr>
            <w:r>
              <w:rPr>
                <w:rFonts w:ascii="????_GBK" w:eastAsia="Times New Roman"/>
              </w:rPr>
              <w:t>维稳问题解决率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综合事务工作完成率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bl>
    <w:p>
      <w:pPr>
        <w:pStyle w:val="4"/>
        <w:shd w:val="clear" w:color="auto" w:fill="FFFFFF"/>
        <w:spacing w:line="555" w:lineRule="atLeast"/>
        <w:ind w:firstLine="640" w:firstLineChars="200"/>
        <w:rPr>
          <w:rFonts w:ascii="??_GB2312" w:hAnsi="??_GB2312" w:eastAsia="Times New Roman" w:cs="??_GB2312"/>
          <w:color w:val="333333"/>
          <w:sz w:val="32"/>
          <w:szCs w:val="32"/>
        </w:rPr>
      </w:pPr>
      <w:r>
        <w:rPr>
          <w:rFonts w:hint="eastAsia" w:ascii="宋体" w:hAnsi="宋体" w:cs="宋体"/>
          <w:sz w:val="32"/>
          <w:szCs w:val="32"/>
        </w:rPr>
        <w:t>今年以来，在县委、县政府的坚强领导下，</w:t>
      </w:r>
      <w:r>
        <w:rPr>
          <w:rFonts w:hint="eastAsia" w:ascii="宋体" w:hAnsi="宋体" w:cs="宋体"/>
          <w:color w:val="333333"/>
          <w:sz w:val="32"/>
          <w:szCs w:val="32"/>
          <w:shd w:val="clear" w:color="auto" w:fill="FFFFFF"/>
        </w:rPr>
        <w:t>大城县民宗局</w:t>
      </w:r>
      <w:r>
        <w:rPr>
          <w:rFonts w:hint="eastAsia" w:ascii="宋体" w:hAnsi="宋体" w:cs="宋体"/>
          <w:sz w:val="32"/>
          <w:szCs w:val="32"/>
        </w:rPr>
        <w:t>坚持以习近平新时代中国特色社会主义思想为指导，</w:t>
      </w:r>
      <w:r>
        <w:rPr>
          <w:rFonts w:hint="eastAsia" w:ascii="宋体" w:hAnsi="宋体" w:cs="宋体"/>
          <w:color w:val="444444"/>
          <w:sz w:val="32"/>
          <w:szCs w:val="32"/>
        </w:rPr>
        <w:t>深入学习贯彻党的十九大精神，全面落实党的民族宗教方针政策，</w:t>
      </w:r>
      <w:r>
        <w:rPr>
          <w:rFonts w:hint="eastAsia" w:ascii="宋体" w:hAnsi="宋体" w:cs="宋体"/>
          <w:color w:val="333333"/>
          <w:sz w:val="32"/>
          <w:szCs w:val="32"/>
          <w:shd w:val="clear" w:color="auto" w:fill="FFFFFF"/>
        </w:rPr>
        <w:t>着力推进民族团结进步，着力提高依法管理民族宗教能力，着力维护宗教领域和谐稳定。</w:t>
      </w:r>
    </w:p>
    <w:p>
      <w:pPr>
        <w:pStyle w:val="12"/>
        <w:spacing w:line="560" w:lineRule="exact"/>
        <w:ind w:firstLine="642"/>
        <w:rPr>
          <w:rFonts w:ascii="??_GB2312" w:hAnsi="??_GB2312" w:eastAsia="Times New Roman" w:cs="??_GB2312"/>
          <w:sz w:val="32"/>
          <w:szCs w:val="32"/>
        </w:rPr>
      </w:pPr>
      <w:r>
        <w:rPr>
          <w:rFonts w:hint="eastAsia" w:ascii="宋体" w:hAnsi="宋体" w:cs="宋体"/>
          <w:b/>
          <w:bCs/>
          <w:sz w:val="32"/>
          <w:szCs w:val="32"/>
        </w:rPr>
        <w:t>一、认真落实中央巡视整改工作，开展宗教工作自查。</w:t>
      </w:r>
      <w:r>
        <w:rPr>
          <w:rFonts w:hint="eastAsia" w:ascii="宋体" w:hAnsi="宋体" w:cs="宋体"/>
          <w:sz w:val="32"/>
          <w:szCs w:val="32"/>
        </w:rPr>
        <w:t>自查过程中发现社会公共场所非法传教处</w:t>
      </w:r>
      <w:r>
        <w:rPr>
          <w:rFonts w:ascii="??_GB2312" w:hAnsi="??_GB2312" w:eastAsia="Times New Roman" w:cs="??_GB2312"/>
          <w:sz w:val="32"/>
          <w:szCs w:val="32"/>
        </w:rPr>
        <w:t>2</w:t>
      </w:r>
      <w:r>
        <w:rPr>
          <w:rFonts w:hint="eastAsia" w:ascii="宋体" w:hAnsi="宋体" w:cs="宋体"/>
          <w:sz w:val="32"/>
          <w:szCs w:val="32"/>
        </w:rPr>
        <w:t>处：大建涂料佛教居士林、平舒市场天主教聚会点，没有履行法律程序，已责令摘牌、清理整顿，红木城露天佛教造像，已责成红木城管委会进行了调查，拿出处理意见</w:t>
      </w:r>
      <w:r>
        <w:rPr>
          <w:rFonts w:ascii="??_GB2312" w:hAnsi="??_GB2312" w:eastAsia="Times New Roman" w:cs="??_GB2312"/>
          <w:sz w:val="32"/>
          <w:szCs w:val="32"/>
        </w:rPr>
        <w:t>,</w:t>
      </w:r>
      <w:r>
        <w:rPr>
          <w:rFonts w:hint="eastAsia" w:ascii="宋体" w:hAnsi="宋体" w:cs="宋体"/>
          <w:sz w:val="32"/>
          <w:szCs w:val="32"/>
        </w:rPr>
        <w:t>基督教私设聚会点臧屯乡骆贾村和留各庄镇西留各庄村</w:t>
      </w:r>
      <w:r>
        <w:rPr>
          <w:rFonts w:ascii="??_GB2312" w:hAnsi="??_GB2312" w:eastAsia="Times New Roman" w:cs="??_GB2312"/>
          <w:sz w:val="32"/>
          <w:szCs w:val="32"/>
        </w:rPr>
        <w:t>2</w:t>
      </w:r>
      <w:r>
        <w:rPr>
          <w:rFonts w:hint="eastAsia" w:ascii="宋体" w:hAnsi="宋体" w:cs="宋体"/>
          <w:sz w:val="32"/>
          <w:szCs w:val="32"/>
        </w:rPr>
        <w:t>处，已将聚会点取缔，清除了宣传材料目及标语。</w:t>
      </w:r>
    </w:p>
    <w:p>
      <w:pPr>
        <w:ind w:firstLine="643" w:firstLineChars="200"/>
        <w:rPr>
          <w:rFonts w:ascii="??_GB2312" w:hAnsi="??_GB2312" w:eastAsia="Times New Roman" w:cs="??_GB2312"/>
          <w:sz w:val="32"/>
          <w:szCs w:val="32"/>
        </w:rPr>
      </w:pPr>
      <w:r>
        <w:rPr>
          <w:rFonts w:hint="eastAsia" w:ascii="宋体" w:hAnsi="宋体" w:cs="宋体"/>
          <w:b/>
          <w:bCs/>
          <w:sz w:val="32"/>
          <w:szCs w:val="32"/>
        </w:rPr>
        <w:t>二、重学习、强管理，增素质。</w:t>
      </w:r>
      <w:r>
        <w:rPr>
          <w:rFonts w:hint="eastAsia" w:ascii="宋体" w:hAnsi="宋体" w:cs="宋体"/>
          <w:sz w:val="32"/>
          <w:szCs w:val="32"/>
        </w:rPr>
        <w:t>我局加强局班子和机关队伍建设，接连召开党组会、局长办公会、机关全体大会，建立健全机关各项制度，严格按照党风廉政建设要求，加强对习近平总书记系列重要讲话精神</w:t>
      </w:r>
      <w:bookmarkStart w:id="1" w:name="_GoBack"/>
      <w:bookmarkEnd w:id="1"/>
      <w:r>
        <w:rPr>
          <w:rFonts w:hint="eastAsia" w:ascii="宋体" w:hAnsi="宋体" w:cs="宋体"/>
          <w:sz w:val="32"/>
          <w:szCs w:val="32"/>
        </w:rPr>
        <w:t>、党章党规、《宪法》和新修订的《宗教事务条例》的学习，进一步提高自身素质，规范个人行为规范，努力造就一支信念坚定、为民服务、清正廉洁的民族宗教工作干部队伍。</w:t>
      </w:r>
    </w:p>
    <w:p>
      <w:pPr>
        <w:pStyle w:val="4"/>
        <w:shd w:val="clear" w:color="auto" w:fill="FFFFFF"/>
        <w:spacing w:line="315" w:lineRule="atLeast"/>
        <w:ind w:firstLine="643" w:firstLineChars="200"/>
        <w:rPr>
          <w:rFonts w:ascii="??_GB2312" w:hAnsi="??_GB2312" w:eastAsia="Times New Roman" w:cs="??_GB2312"/>
          <w:b/>
          <w:bCs/>
          <w:sz w:val="32"/>
          <w:szCs w:val="32"/>
        </w:rPr>
      </w:pPr>
      <w:r>
        <w:rPr>
          <w:rFonts w:hint="eastAsia" w:ascii="宋体" w:hAnsi="宋体" w:cs="宋体"/>
          <w:b/>
          <w:bCs/>
          <w:sz w:val="32"/>
          <w:szCs w:val="32"/>
        </w:rPr>
        <w:t>三、加强正面引导，坚持宗教中国化方向，依法管理宗教事务。</w:t>
      </w:r>
    </w:p>
    <w:p>
      <w:pPr>
        <w:pStyle w:val="4"/>
        <w:shd w:val="clear" w:color="auto" w:fill="FFFFFF"/>
        <w:spacing w:line="315" w:lineRule="atLeast"/>
        <w:ind w:firstLine="640" w:firstLineChars="200"/>
        <w:rPr>
          <w:rFonts w:ascii="??_GB2312" w:hAnsi="??_GB2312" w:eastAsia="Times New Roman" w:cs="??_GB2312"/>
          <w:sz w:val="32"/>
          <w:szCs w:val="32"/>
        </w:rPr>
      </w:pPr>
      <w:r>
        <w:rPr>
          <w:rFonts w:ascii="??_GB2312" w:hAnsi="??_GB2312" w:eastAsia="Times New Roman" w:cs="??_GB2312"/>
          <w:b/>
          <w:bCs/>
          <w:sz w:val="32"/>
          <w:szCs w:val="32"/>
        </w:rPr>
        <w:t>1</w:t>
      </w:r>
      <w:r>
        <w:rPr>
          <w:rFonts w:hint="eastAsia" w:ascii="宋体" w:hAnsi="宋体" w:cs="宋体"/>
          <w:b/>
          <w:bCs/>
          <w:sz w:val="32"/>
          <w:szCs w:val="32"/>
        </w:rPr>
        <w:t>、实行宗教工作例会制度。</w:t>
      </w:r>
      <w:r>
        <w:rPr>
          <w:rFonts w:hint="eastAsia" w:ascii="宋体" w:hAnsi="宋体" w:cs="宋体"/>
          <w:sz w:val="32"/>
          <w:szCs w:val="32"/>
        </w:rPr>
        <w:t>今年以来充分利用</w:t>
      </w:r>
      <w:r>
        <w:rPr>
          <w:rFonts w:ascii="??_GB2312" w:hAnsi="??_GB2312" w:eastAsia="Times New Roman" w:cs="??_GB2312"/>
          <w:sz w:val="32"/>
          <w:szCs w:val="32"/>
        </w:rPr>
        <w:t>“</w:t>
      </w:r>
      <w:r>
        <w:rPr>
          <w:rFonts w:hint="eastAsia" w:ascii="宋体" w:hAnsi="宋体" w:cs="宋体"/>
          <w:sz w:val="32"/>
          <w:szCs w:val="32"/>
        </w:rPr>
        <w:t>季度上站日</w:t>
      </w:r>
      <w:r>
        <w:rPr>
          <w:rFonts w:ascii="??_GB2312" w:hAnsi="??_GB2312" w:eastAsia="Times New Roman" w:cs="??_GB2312"/>
          <w:sz w:val="32"/>
          <w:szCs w:val="32"/>
        </w:rPr>
        <w:t>”</w:t>
      </w:r>
      <w:r>
        <w:rPr>
          <w:rFonts w:hint="eastAsia" w:ascii="宋体" w:hAnsi="宋体" w:cs="宋体"/>
          <w:sz w:val="32"/>
          <w:szCs w:val="32"/>
        </w:rPr>
        <w:t>，对我县宗教领域代表人物、各场所负责人和教职人员，通过以会带训的方式，</w:t>
      </w:r>
      <w:r>
        <w:rPr>
          <w:rFonts w:hint="eastAsia" w:ascii="宋体" w:hAnsi="宋体" w:cs="宋体"/>
          <w:color w:val="000000"/>
          <w:sz w:val="32"/>
          <w:szCs w:val="32"/>
          <w:shd w:val="clear" w:color="auto" w:fill="FFFFFF"/>
        </w:rPr>
        <w:t>引导宗教界人士</w:t>
      </w:r>
      <w:r>
        <w:rPr>
          <w:rFonts w:ascii="??_GB2312" w:hAnsi="??_GB2312" w:eastAsia="Times New Roman" w:cs="??_GB2312"/>
          <w:color w:val="000000"/>
          <w:sz w:val="32"/>
          <w:szCs w:val="32"/>
          <w:shd w:val="clear" w:color="auto" w:fill="FFFFFF"/>
        </w:rPr>
        <w:t> </w:t>
      </w:r>
      <w:r>
        <w:rPr>
          <w:rFonts w:hint="eastAsia" w:ascii="宋体" w:hAnsi="宋体" w:cs="宋体"/>
          <w:color w:val="000000"/>
          <w:sz w:val="32"/>
          <w:szCs w:val="32"/>
          <w:shd w:val="clear" w:color="auto" w:fill="FFFFFF"/>
        </w:rPr>
        <w:t>深刻领会习近平总书记关于加强法治建设的重要论述和关于宗教问题的新思想、新观点、新要求，深刻认识全面推进依法治国的重大意义，进一步增强宪法意识、法律意识，自觉在法律、法规和政策的范围内开展宗教</w:t>
      </w:r>
      <w:r>
        <w:rPr>
          <w:rFonts w:hint="eastAsia" w:ascii="宋体" w:hAnsi="宋体" w:cs="宋体"/>
          <w:color w:val="000000"/>
          <w:spacing w:val="15"/>
          <w:sz w:val="32"/>
          <w:szCs w:val="32"/>
          <w:shd w:val="clear" w:color="auto" w:fill="FFFFFF"/>
        </w:rPr>
        <w:t>活动</w:t>
      </w:r>
      <w:r>
        <w:rPr>
          <w:rFonts w:hint="eastAsia" w:ascii="宋体" w:hAnsi="宋体" w:cs="宋体"/>
          <w:sz w:val="32"/>
          <w:szCs w:val="32"/>
        </w:rPr>
        <w:t>，</w:t>
      </w:r>
      <w:r>
        <w:rPr>
          <w:rFonts w:hint="eastAsia" w:ascii="宋体" w:hAnsi="宋体" w:cs="宋体"/>
          <w:color w:val="333333"/>
          <w:sz w:val="32"/>
          <w:szCs w:val="32"/>
          <w:shd w:val="clear" w:color="auto" w:fill="FFFFFF"/>
        </w:rPr>
        <w:t>教育广大宗教界人士爱国爱教，遵纪守法，模范执行宗教政策与法规，激励他们不断加强思想建设，逐步树立大局意识、责任意识、努力学习，不断进取，为维护宗教和睦、社会和谐和促进经济社会发展作贡献</w:t>
      </w:r>
      <w:r>
        <w:rPr>
          <w:rFonts w:hint="eastAsia" w:ascii="宋体" w:hAnsi="宋体" w:cs="宋体"/>
          <w:sz w:val="32"/>
          <w:szCs w:val="32"/>
        </w:rPr>
        <w:t>。</w:t>
      </w:r>
    </w:p>
    <w:p>
      <w:pPr>
        <w:ind w:firstLine="640" w:firstLineChars="200"/>
        <w:rPr>
          <w:rFonts w:ascii="??_GB2312" w:hAnsi="??_GB2312" w:eastAsia="Times New Roman" w:cs="??_GB2312"/>
          <w:sz w:val="32"/>
          <w:szCs w:val="32"/>
        </w:rPr>
      </w:pPr>
      <w:r>
        <w:rPr>
          <w:rFonts w:ascii="??_GB2312" w:hAnsi="??_GB2312" w:eastAsia="Times New Roman" w:cs="??_GB2312"/>
          <w:b/>
          <w:bCs/>
          <w:sz w:val="32"/>
          <w:szCs w:val="32"/>
        </w:rPr>
        <w:t>2</w:t>
      </w:r>
      <w:r>
        <w:rPr>
          <w:rFonts w:hint="eastAsia" w:ascii="宋体" w:hAnsi="宋体" w:cs="宋体"/>
          <w:b/>
          <w:bCs/>
          <w:sz w:val="32"/>
          <w:szCs w:val="32"/>
        </w:rPr>
        <w:t>、积极引导宗教坚持中国化方向。</w:t>
      </w:r>
      <w:r>
        <w:rPr>
          <w:rFonts w:hint="eastAsia" w:ascii="仿宋" w:hAnsi="仿宋" w:eastAsia="仿宋" w:cs="??_GB2312"/>
          <w:color w:val="4D4F53"/>
          <w:spacing w:val="15"/>
          <w:sz w:val="32"/>
          <w:szCs w:val="32"/>
          <w:shd w:val="clear" w:color="auto" w:fill="FFFFFF"/>
        </w:rPr>
        <w:t>深入开展宗教场所“双创四进”活动，（即创建和谐寺观教堂，创建先进宗教协会，扎实推进习近平新时代中国特色社会主义思想进寺观教堂、宪法进寺观教堂、国旗进寺观教堂、社会主义核心价值观进寺观教堂活动）。</w:t>
      </w:r>
      <w:r>
        <w:rPr>
          <w:rFonts w:hint="eastAsia" w:ascii="仿宋" w:hAnsi="仿宋" w:eastAsia="仿宋" w:cs="??_GB2312"/>
          <w:sz w:val="32"/>
          <w:szCs w:val="32"/>
        </w:rPr>
        <w:t>今年以来县民宗局向上级争取资金</w:t>
      </w:r>
      <w:r>
        <w:rPr>
          <w:rFonts w:ascii="仿宋" w:hAnsi="仿宋" w:eastAsia="仿宋" w:cs="??_GB2312"/>
          <w:sz w:val="32"/>
          <w:szCs w:val="32"/>
        </w:rPr>
        <w:t>7</w:t>
      </w:r>
      <w:r>
        <w:rPr>
          <w:rFonts w:hint="eastAsia" w:ascii="仿宋" w:hAnsi="仿宋" w:eastAsia="仿宋" w:cs="??_GB2312"/>
          <w:sz w:val="32"/>
          <w:szCs w:val="32"/>
        </w:rPr>
        <w:t>万元，为每个场所安装旗杆、悬挂国旗并发放爱国爱教法制宣传牌，</w:t>
      </w:r>
      <w:r>
        <w:rPr>
          <w:rFonts w:ascii="仿宋" w:hAnsi="仿宋" w:eastAsia="仿宋" w:cs="??_GB2312"/>
          <w:color w:val="000000"/>
          <w:sz w:val="32"/>
          <w:szCs w:val="32"/>
        </w:rPr>
        <w:t>2018</w:t>
      </w:r>
      <w:r>
        <w:rPr>
          <w:rFonts w:hint="eastAsia" w:ascii="仿宋" w:hAnsi="仿宋" w:eastAsia="仿宋" w:cs="??_GB2312"/>
          <w:color w:val="000000"/>
          <w:sz w:val="32"/>
          <w:szCs w:val="32"/>
        </w:rPr>
        <w:t>年</w:t>
      </w:r>
      <w:r>
        <w:rPr>
          <w:rFonts w:ascii="仿宋" w:hAnsi="仿宋" w:eastAsia="仿宋" w:cs="??_GB2312"/>
          <w:color w:val="000000"/>
          <w:sz w:val="32"/>
          <w:szCs w:val="32"/>
        </w:rPr>
        <w:t>10</w:t>
      </w:r>
      <w:r>
        <w:rPr>
          <w:rFonts w:hint="eastAsia" w:ascii="仿宋" w:hAnsi="仿宋" w:eastAsia="仿宋" w:cs="??_GB2312"/>
          <w:color w:val="000000"/>
          <w:sz w:val="32"/>
          <w:szCs w:val="32"/>
        </w:rPr>
        <w:t>月</w:t>
      </w:r>
      <w:r>
        <w:rPr>
          <w:rFonts w:ascii="仿宋" w:hAnsi="仿宋" w:eastAsia="仿宋" w:cs="??_GB2312"/>
          <w:color w:val="000000"/>
          <w:sz w:val="32"/>
          <w:szCs w:val="32"/>
        </w:rPr>
        <w:t>1</w:t>
      </w:r>
      <w:r>
        <w:rPr>
          <w:rFonts w:hint="eastAsia" w:ascii="仿宋" w:hAnsi="仿宋" w:eastAsia="仿宋" w:cs="??_GB2312"/>
          <w:color w:val="000000"/>
          <w:sz w:val="32"/>
          <w:szCs w:val="32"/>
        </w:rPr>
        <w:t>日，大城县崇福寺、佑民宫、玉皇阁、泰山娘娘行宫及各天主教堂纷纷举行升国旗仪式。通过此项活动，进一步增强教职人员和广大信教群众的爱国爱教意识，为维护宗教和顺、社会稳定贡献力量</w:t>
      </w:r>
      <w:r>
        <w:rPr>
          <w:rFonts w:ascii="仿宋" w:hAnsi="仿宋" w:eastAsia="仿宋" w:cs="??_GB2312"/>
          <w:sz w:val="32"/>
          <w:szCs w:val="32"/>
        </w:rPr>
        <w:t>,</w:t>
      </w:r>
      <w:r>
        <w:rPr>
          <w:rFonts w:hint="eastAsia" w:ascii="仿宋" w:hAnsi="仿宋" w:eastAsia="仿宋" w:cs="??_GB2312"/>
          <w:sz w:val="32"/>
          <w:szCs w:val="32"/>
        </w:rPr>
        <w:t>积极引导宗教坚持中国化方向。</w:t>
      </w:r>
      <w:r>
        <w:rPr>
          <w:rFonts w:ascii="仿宋" w:hAnsi="仿宋" w:eastAsia="仿宋" w:cs="??_GB2312"/>
          <w:sz w:val="32"/>
          <w:szCs w:val="32"/>
        </w:rPr>
        <w:t xml:space="preserve">           </w:t>
      </w:r>
      <w:r>
        <w:rPr>
          <w:rFonts w:ascii="??_GB2312" w:hAnsi="??_GB2312" w:eastAsia="Times New Roman" w:cs="??_GB2312"/>
          <w:sz w:val="32"/>
          <w:szCs w:val="32"/>
        </w:rPr>
        <w:t xml:space="preserve">                   </w:t>
      </w:r>
      <w:r>
        <w:rPr>
          <w:rFonts w:ascii="??_GB2312" w:hAnsi="??_GB2312" w:eastAsia="Times New Roman" w:cs="??_GB2312"/>
          <w:b/>
          <w:bCs/>
          <w:sz w:val="32"/>
          <w:szCs w:val="32"/>
        </w:rPr>
        <w:t xml:space="preserve">  </w:t>
      </w:r>
    </w:p>
    <w:p>
      <w:pPr>
        <w:ind w:firstLine="640" w:firstLineChars="200"/>
        <w:rPr>
          <w:rFonts w:ascii="??_GB2312" w:hAnsi="??_GB2312" w:eastAsia="Times New Roman" w:cs="??_GB2312"/>
          <w:b/>
          <w:bCs/>
          <w:color w:val="000000"/>
          <w:sz w:val="32"/>
          <w:szCs w:val="32"/>
          <w:shd w:val="clear" w:color="auto" w:fill="FFFFFF"/>
        </w:rPr>
      </w:pPr>
      <w:r>
        <w:rPr>
          <w:rFonts w:ascii="??_GB2312" w:hAnsi="??_GB2312" w:eastAsia="Times New Roman" w:cs="??_GB2312"/>
          <w:b/>
          <w:color w:val="000000"/>
          <w:sz w:val="32"/>
          <w:szCs w:val="32"/>
          <w:shd w:val="clear" w:color="auto" w:fill="FFFFFF"/>
        </w:rPr>
        <w:t>3</w:t>
      </w:r>
      <w:r>
        <w:rPr>
          <w:rFonts w:hint="eastAsia" w:ascii="宋体" w:hAnsi="宋体" w:cs="宋体"/>
          <w:b/>
          <w:color w:val="000000"/>
          <w:sz w:val="32"/>
          <w:szCs w:val="32"/>
          <w:shd w:val="clear" w:color="auto" w:fill="FFFFFF"/>
        </w:rPr>
        <w:t>、强化工作措施，深入推进和谐寺观教堂创建活动。</w:t>
      </w:r>
      <w:r>
        <w:rPr>
          <w:rFonts w:hint="eastAsia" w:ascii="宋体" w:hAnsi="宋体" w:cs="宋体"/>
          <w:color w:val="000000"/>
          <w:sz w:val="32"/>
          <w:szCs w:val="32"/>
          <w:shd w:val="clear" w:color="auto" w:fill="FFFFFF"/>
        </w:rPr>
        <w:t>认真做好全省宗教工作基础数据库信息录入工作，</w:t>
      </w:r>
      <w:r>
        <w:rPr>
          <w:rFonts w:ascii="??_GB2312" w:hAnsi="??_GB2312" w:eastAsia="Times New Roman" w:cs="??_GB2312"/>
          <w:sz w:val="32"/>
          <w:szCs w:val="32"/>
        </w:rPr>
        <w:t>5</w:t>
      </w:r>
      <w:r>
        <w:rPr>
          <w:rFonts w:hint="eastAsia" w:ascii="宋体" w:hAnsi="宋体" w:cs="宋体"/>
          <w:sz w:val="32"/>
          <w:szCs w:val="32"/>
        </w:rPr>
        <w:t>月份，县民宗局开展宗教基础信息大排查活动，成立督导组深入全县</w:t>
      </w:r>
      <w:r>
        <w:rPr>
          <w:rFonts w:ascii="??_GB2312" w:hAnsi="??_GB2312" w:eastAsia="Times New Roman" w:cs="??_GB2312"/>
          <w:sz w:val="32"/>
          <w:szCs w:val="32"/>
        </w:rPr>
        <w:t>394</w:t>
      </w:r>
      <w:r>
        <w:rPr>
          <w:rFonts w:hint="eastAsia" w:ascii="宋体" w:hAnsi="宋体" w:cs="宋体"/>
          <w:sz w:val="32"/>
          <w:szCs w:val="32"/>
        </w:rPr>
        <w:t>个村街，收集第一手资料，对我县宗教领域教职人员基础备案信息、五大宗教信教群众数据统计及宗教活动场所基础信息采集等数据进行大统计，全面摸清我县宗教领域基础信息，根据上级文件精神，为我县</w:t>
      </w:r>
      <w:r>
        <w:rPr>
          <w:rFonts w:ascii="??_GB2312" w:hAnsi="??_GB2312" w:eastAsia="Times New Roman" w:cs="??_GB2312"/>
          <w:sz w:val="32"/>
          <w:szCs w:val="32"/>
        </w:rPr>
        <w:t>21</w:t>
      </w:r>
      <w:r>
        <w:rPr>
          <w:rFonts w:hint="eastAsia" w:ascii="宋体" w:hAnsi="宋体" w:cs="宋体"/>
          <w:sz w:val="32"/>
          <w:szCs w:val="32"/>
        </w:rPr>
        <w:t>个宗教场所选派宗教工作指导员，在重点村街设立信息员。认真开展隐患大排查</w:t>
      </w:r>
      <w:r>
        <w:rPr>
          <w:rFonts w:ascii="??_GB2312" w:hAnsi="??_GB2312" w:eastAsia="Times New Roman" w:cs="??_GB2312"/>
          <w:sz w:val="32"/>
          <w:szCs w:val="32"/>
        </w:rPr>
        <w:t>“</w:t>
      </w:r>
      <w:r>
        <w:rPr>
          <w:rFonts w:hint="eastAsia" w:ascii="宋体" w:hAnsi="宋体" w:cs="宋体"/>
          <w:sz w:val="32"/>
          <w:szCs w:val="32"/>
        </w:rPr>
        <w:t>百日攻坚</w:t>
      </w:r>
      <w:r>
        <w:rPr>
          <w:rFonts w:ascii="??_GB2312" w:hAnsi="??_GB2312" w:eastAsia="Times New Roman" w:cs="??_GB2312"/>
          <w:sz w:val="32"/>
          <w:szCs w:val="32"/>
        </w:rPr>
        <w:t>”</w:t>
      </w:r>
      <w:r>
        <w:rPr>
          <w:rFonts w:hint="eastAsia" w:ascii="宋体" w:hAnsi="宋体" w:cs="宋体"/>
          <w:sz w:val="32"/>
          <w:szCs w:val="32"/>
        </w:rPr>
        <w:t>行动，对宗教场所房屋、水电、消防及宗教场所活动人员安全隐患排查工作，</w:t>
      </w:r>
      <w:r>
        <w:rPr>
          <w:rFonts w:hint="eastAsia" w:ascii="宋体" w:hAnsi="宋体" w:cs="宋体"/>
          <w:color w:val="000000"/>
          <w:sz w:val="32"/>
          <w:szCs w:val="32"/>
          <w:shd w:val="clear" w:color="auto" w:fill="FFFFFF"/>
        </w:rPr>
        <w:t>要求各宗教场所设立安全工作组，指定专人负责，县民宗局成立督查组，深入各宗教场所开展安全政策宣讲、检查、和督导，对发现的安全隐患必须整改到位，确保信教群众生命财产安全。把好宗教节日和大型宗教活动审批关，推动宗教活动场所严格依法依规办事，进一步促进了宗教活动场所的管理规范。通过开展和谐寺观教堂创建活动，不断提升了宗教活动场所规范化、制度化、常态化管理水平。</w:t>
      </w:r>
    </w:p>
    <w:p>
      <w:pPr>
        <w:ind w:firstLine="640" w:firstLineChars="200"/>
        <w:rPr>
          <w:rFonts w:ascii="??_GB2312" w:hAnsi="??_GB2312" w:cs="??_GB2312"/>
          <w:sz w:val="32"/>
          <w:szCs w:val="32"/>
        </w:rPr>
      </w:pPr>
      <w:r>
        <w:rPr>
          <w:rFonts w:ascii="??_GB2312" w:hAnsi="??_GB2312" w:eastAsia="Times New Roman" w:cs="??_GB2312"/>
          <w:b/>
          <w:bCs/>
          <w:sz w:val="32"/>
          <w:szCs w:val="32"/>
        </w:rPr>
        <w:t>4</w:t>
      </w:r>
      <w:r>
        <w:rPr>
          <w:rFonts w:hint="eastAsia" w:ascii="宋体" w:hAnsi="宋体" w:cs="宋体"/>
          <w:b/>
          <w:bCs/>
          <w:sz w:val="32"/>
          <w:szCs w:val="32"/>
        </w:rPr>
        <w:t>、加强维稳工作，全力维护宗教领域和谐稳定。</w:t>
      </w:r>
      <w:r>
        <w:rPr>
          <w:rFonts w:ascii="??_GB2312" w:hAnsi="??_GB2312" w:eastAsia="Times New Roman" w:cs="??_GB2312"/>
          <w:b/>
          <w:bCs/>
          <w:sz w:val="32"/>
          <w:szCs w:val="32"/>
        </w:rPr>
        <w:t> </w:t>
      </w:r>
      <w:r>
        <w:rPr>
          <w:rFonts w:hint="eastAsia" w:ascii="宋体" w:hAnsi="宋体" w:cs="宋体"/>
          <w:b/>
          <w:bCs/>
          <w:sz w:val="32"/>
          <w:szCs w:val="32"/>
        </w:rPr>
        <w:t>一是认真开展矛盾纠纷排查。</w:t>
      </w:r>
      <w:r>
        <w:rPr>
          <w:rFonts w:hint="eastAsia" w:ascii="宋体" w:hAnsi="宋体" w:cs="宋体"/>
          <w:sz w:val="32"/>
          <w:szCs w:val="32"/>
        </w:rPr>
        <w:t>制定印发了《做好民族宗教领域安全维稳工作的通知》，严格落实矛盾纠纷月排查、零报告制度。二是注重大型宗教活动安全管理。重点对崇福寺、碧霞宫、各天主教堂举办大型宗教活动时，积极组织公安、交通、交警、消防、食药、文化、工商等有关部门维护活动秩序，加强安全管理，确保了宗教活动的正常开展。三是切实加强网络宗教管理。按照中央提出的互联网宗教</w:t>
      </w:r>
      <w:r>
        <w:rPr>
          <w:rFonts w:ascii="??_GB2312" w:hAnsi="??_GB2312" w:eastAsia="Times New Roman" w:cs="??_GB2312"/>
          <w:sz w:val="32"/>
          <w:szCs w:val="32"/>
        </w:rPr>
        <w:t>“</w:t>
      </w:r>
      <w:r>
        <w:rPr>
          <w:rFonts w:hint="eastAsia" w:ascii="宋体" w:hAnsi="宋体" w:cs="宋体"/>
          <w:sz w:val="32"/>
          <w:szCs w:val="32"/>
        </w:rPr>
        <w:t>七个不得</w:t>
      </w:r>
      <w:r>
        <w:rPr>
          <w:rFonts w:ascii="??_GB2312" w:hAnsi="??_GB2312" w:eastAsia="Times New Roman" w:cs="??_GB2312"/>
          <w:sz w:val="32"/>
          <w:szCs w:val="32"/>
        </w:rPr>
        <w:t>”</w:t>
      </w:r>
      <w:r>
        <w:rPr>
          <w:rFonts w:hint="eastAsia" w:ascii="宋体" w:hAnsi="宋体" w:cs="宋体"/>
          <w:sz w:val="32"/>
          <w:szCs w:val="32"/>
        </w:rPr>
        <w:t>的要求，加强对本县宗教类网站的实名备案登记，加强宗教类网站管理人员和从业人员联系教育，改进对微信群、</w:t>
      </w:r>
      <w:r>
        <w:rPr>
          <w:rFonts w:ascii="??_GB2312" w:hAnsi="??_GB2312" w:eastAsia="Times New Roman" w:cs="??_GB2312"/>
          <w:sz w:val="32"/>
          <w:szCs w:val="32"/>
        </w:rPr>
        <w:t>QQ</w:t>
      </w:r>
      <w:r>
        <w:rPr>
          <w:rFonts w:hint="eastAsia" w:ascii="宋体" w:hAnsi="宋体" w:cs="宋体"/>
          <w:sz w:val="32"/>
          <w:szCs w:val="32"/>
        </w:rPr>
        <w:t>群的引导管理，扎实推进了网络舆情源头治理。</w:t>
      </w:r>
      <w:r>
        <w:rPr>
          <w:rFonts w:ascii="??_GB2312" w:hAnsi="??_GB2312" w:eastAsia="Times New Roman" w:cs="??_GB2312"/>
          <w:sz w:val="32"/>
          <w:szCs w:val="32"/>
        </w:rPr>
        <w:t xml:space="preserve"> </w:t>
      </w:r>
    </w:p>
    <w:p>
      <w:pPr>
        <w:ind w:firstLine="640" w:firstLineChars="200"/>
        <w:rPr>
          <w:rFonts w:ascii="??_GB2312" w:hAnsi="??_GB2312" w:cs="??_GB2312"/>
          <w:sz w:val="32"/>
          <w:szCs w:val="32"/>
        </w:rPr>
      </w:pPr>
      <w:r>
        <w:rPr>
          <w:rFonts w:ascii="??_GB2312" w:hAnsi="??_GB2312" w:cs="??_GB2312"/>
          <w:sz w:val="32"/>
          <w:szCs w:val="32"/>
        </w:rPr>
        <w:t>5</w:t>
      </w:r>
      <w:r>
        <w:rPr>
          <w:rFonts w:hint="eastAsia" w:ascii="??_GB2312" w:hAnsi="??_GB2312" w:cs="??_GB2312"/>
          <w:sz w:val="32"/>
          <w:szCs w:val="32"/>
        </w:rPr>
        <w:t>、对</w:t>
      </w:r>
      <w:r>
        <w:rPr>
          <w:rFonts w:ascii="??_GB2312" w:hAnsi="??_GB2312" w:cs="??_GB2312"/>
          <w:sz w:val="32"/>
          <w:szCs w:val="32"/>
        </w:rPr>
        <w:t>2017</w:t>
      </w:r>
      <w:r>
        <w:rPr>
          <w:rFonts w:hint="eastAsia" w:ascii="??_GB2312" w:hAnsi="??_GB2312" w:cs="??_GB2312"/>
          <w:sz w:val="32"/>
          <w:szCs w:val="32"/>
        </w:rPr>
        <w:t>年我部门绩效预算执行情况全面开展了自评，自评结果为优秀</w:t>
      </w:r>
    </w:p>
    <w:p>
      <w:pPr>
        <w:widowControl/>
        <w:spacing w:line="584" w:lineRule="exact"/>
        <w:ind w:firstLine="640" w:firstLineChars="200"/>
        <w:jc w:val="left"/>
        <w:rPr>
          <w:rFonts w:ascii="??_GB2312" w:eastAsia="Times New Roman" w:cs="??_GB2312"/>
          <w:color w:val="484747"/>
          <w:sz w:val="32"/>
          <w:szCs w:val="32"/>
        </w:rPr>
      </w:pPr>
      <w:r>
        <w:rPr>
          <w:rFonts w:ascii="??_GB2312" w:eastAsia="Times New Roman" w:cs="??_GB2312"/>
          <w:color w:val="484747"/>
          <w:sz w:val="32"/>
          <w:szCs w:val="32"/>
        </w:rPr>
        <w:t>（七）其他重要事项说明</w:t>
      </w:r>
    </w:p>
    <w:p>
      <w:pPr>
        <w:widowControl/>
        <w:spacing w:line="584" w:lineRule="exact"/>
        <w:ind w:firstLine="640" w:firstLineChars="200"/>
        <w:jc w:val="left"/>
      </w:pPr>
      <w:r>
        <w:rPr>
          <w:rFonts w:ascii="??_GB2312" w:eastAsia="Times New Roman" w:cs="??_GB2312"/>
          <w:color w:val="484747"/>
          <w:sz w:val="32"/>
          <w:szCs w:val="32"/>
        </w:rPr>
        <w:t>1.机关运行经费支出情况的说明</w:t>
      </w:r>
    </w:p>
    <w:p>
      <w:pPr>
        <w:widowControl/>
        <w:spacing w:line="584" w:lineRule="exact"/>
        <w:ind w:firstLine="640" w:firstLineChars="200"/>
        <w:jc w:val="left"/>
      </w:pPr>
      <w:r>
        <w:rPr>
          <w:rFonts w:eastAsia="Times New Roman"/>
          <w:color w:val="484747"/>
          <w:sz w:val="32"/>
          <w:szCs w:val="32"/>
        </w:rPr>
        <w:t>2017</w:t>
      </w:r>
      <w:r>
        <w:rPr>
          <w:rFonts w:hint="eastAsia" w:ascii="宋体" w:hAnsi="宋体" w:cs="宋体"/>
          <w:color w:val="484747"/>
          <w:sz w:val="32"/>
          <w:szCs w:val="32"/>
        </w:rPr>
        <w:t>年度部门机关运行经费支出</w:t>
      </w:r>
      <w:r>
        <w:rPr>
          <w:rFonts w:eastAsia="Times New Roman"/>
          <w:color w:val="484747"/>
          <w:sz w:val="32"/>
          <w:szCs w:val="32"/>
        </w:rPr>
        <w:t>5.6</w:t>
      </w:r>
      <w:r>
        <w:rPr>
          <w:rFonts w:hint="eastAsia" w:ascii="宋体" w:hAnsi="宋体" w:cs="宋体"/>
          <w:color w:val="484747"/>
          <w:sz w:val="32"/>
          <w:szCs w:val="32"/>
        </w:rPr>
        <w:t>万元，比预算无增减变化，比</w:t>
      </w:r>
      <w:r>
        <w:rPr>
          <w:rFonts w:eastAsia="Times New Roman"/>
          <w:color w:val="484747"/>
          <w:sz w:val="32"/>
          <w:szCs w:val="32"/>
        </w:rPr>
        <w:t>2016</w:t>
      </w:r>
      <w:r>
        <w:rPr>
          <w:rFonts w:hint="eastAsia" w:ascii="宋体" w:hAnsi="宋体" w:cs="宋体"/>
          <w:color w:val="484747"/>
          <w:sz w:val="32"/>
          <w:szCs w:val="32"/>
        </w:rPr>
        <w:t>年增加</w:t>
      </w:r>
      <w:r>
        <w:rPr>
          <w:rFonts w:eastAsia="Times New Roman"/>
          <w:color w:val="484747"/>
          <w:sz w:val="32"/>
          <w:szCs w:val="32"/>
        </w:rPr>
        <w:t>0.35</w:t>
      </w:r>
      <w:r>
        <w:rPr>
          <w:rFonts w:hint="eastAsia" w:ascii="宋体" w:hAnsi="宋体" w:cs="宋体"/>
          <w:color w:val="484747"/>
          <w:sz w:val="32"/>
          <w:szCs w:val="32"/>
        </w:rPr>
        <w:t>万元，原因是人员调动。</w:t>
      </w:r>
    </w:p>
    <w:p>
      <w:pPr>
        <w:widowControl/>
        <w:adjustRightInd w:val="0"/>
        <w:spacing w:line="584" w:lineRule="exact"/>
        <w:ind w:firstLine="640" w:firstLineChars="200"/>
        <w:jc w:val="left"/>
      </w:pPr>
      <w:r>
        <w:rPr>
          <w:rFonts w:ascii="??_GB2312" w:eastAsia="Times New Roman" w:cs="??_GB2312"/>
          <w:color w:val="484747"/>
          <w:sz w:val="32"/>
          <w:szCs w:val="32"/>
        </w:rPr>
        <w:t>2.</w:t>
      </w:r>
      <w:r>
        <w:rPr>
          <w:rFonts w:ascii="??_GB2312" w:eastAsia="Times New Roman" w:cs="??_GB2312"/>
          <w:color w:val="333333"/>
          <w:kern w:val="0"/>
          <w:sz w:val="32"/>
          <w:szCs w:val="32"/>
          <w:shd w:val="clear" w:color="auto" w:fill="FFFFFF"/>
        </w:rPr>
        <w:t>政府采购决算情况</w:t>
      </w:r>
    </w:p>
    <w:p>
      <w:pPr>
        <w:widowControl/>
        <w:spacing w:line="584" w:lineRule="exact"/>
        <w:ind w:firstLine="640" w:firstLineChars="200"/>
        <w:jc w:val="left"/>
      </w:pPr>
      <w:r>
        <w:rPr>
          <w:rFonts w:ascii="??_GB2312" w:eastAsia="Times New Roman" w:cs="??_GB2312"/>
          <w:color w:val="484747"/>
          <w:sz w:val="32"/>
          <w:szCs w:val="32"/>
        </w:rPr>
        <w:t xml:space="preserve"> 2017年无政府采购。</w:t>
      </w:r>
    </w:p>
    <w:p>
      <w:pPr>
        <w:widowControl/>
        <w:spacing w:line="584" w:lineRule="exact"/>
        <w:ind w:firstLine="640" w:firstLineChars="200"/>
        <w:jc w:val="left"/>
      </w:pPr>
      <w:r>
        <w:rPr>
          <w:rFonts w:eastAsia="Times New Roman"/>
          <w:color w:val="484747"/>
          <w:sz w:val="32"/>
          <w:szCs w:val="32"/>
        </w:rPr>
        <w:t>3.</w:t>
      </w:r>
      <w:r>
        <w:rPr>
          <w:rFonts w:hint="eastAsia" w:ascii="宋体" w:hAnsi="宋体" w:cs="宋体"/>
          <w:color w:val="484747"/>
          <w:sz w:val="32"/>
          <w:szCs w:val="32"/>
        </w:rPr>
        <w:t>国有资产占用情况</w:t>
      </w:r>
    </w:p>
    <w:p>
      <w:pPr>
        <w:widowControl/>
        <w:spacing w:line="420" w:lineRule="atLeast"/>
        <w:ind w:firstLine="640" w:firstLineChars="200"/>
        <w:jc w:val="left"/>
      </w:pPr>
      <w:r>
        <w:rPr>
          <w:rFonts w:ascii="??_GB2312" w:hAnsi="宋体" w:eastAsia="Times New Roman"/>
          <w:color w:val="484747"/>
          <w:sz w:val="32"/>
          <w:szCs w:val="32"/>
        </w:rPr>
        <w:t>民宗局2017年末固定资产金额为16.5518万元，</w:t>
      </w:r>
      <w:r>
        <w:rPr>
          <w:rFonts w:hint="eastAsia" w:ascii="??_GB2312" w:hAnsi="宋体"/>
          <w:color w:val="484747"/>
          <w:sz w:val="32"/>
          <w:szCs w:val="32"/>
        </w:rPr>
        <w:t>与</w:t>
      </w:r>
      <w:r>
        <w:rPr>
          <w:rFonts w:ascii="??_GB2312" w:hAnsi="宋体"/>
          <w:color w:val="484747"/>
          <w:sz w:val="32"/>
          <w:szCs w:val="32"/>
        </w:rPr>
        <w:t>2016</w:t>
      </w:r>
      <w:r>
        <w:rPr>
          <w:rFonts w:hint="eastAsia" w:ascii="??_GB2312" w:hAnsi="宋体"/>
          <w:color w:val="484747"/>
          <w:sz w:val="32"/>
          <w:szCs w:val="32"/>
        </w:rPr>
        <w:t>年无变化。</w:t>
      </w:r>
      <w:r>
        <w:rPr>
          <w:rFonts w:ascii="??_GB2312" w:hAnsi="宋体" w:eastAsia="Times New Roman"/>
          <w:color w:val="484747"/>
          <w:sz w:val="32"/>
          <w:szCs w:val="32"/>
        </w:rPr>
        <w:t>详见下表。</w:t>
      </w:r>
    </w:p>
    <w:tbl>
      <w:tblPr>
        <w:tblStyle w:val="5"/>
        <w:tblW w:w="13818" w:type="dxa"/>
        <w:tblInd w:w="93" w:type="dxa"/>
        <w:tblLayout w:type="fixed"/>
        <w:tblCellMar>
          <w:top w:w="0" w:type="dxa"/>
          <w:left w:w="108" w:type="dxa"/>
          <w:bottom w:w="0" w:type="dxa"/>
          <w:right w:w="108" w:type="dxa"/>
        </w:tblCellMar>
      </w:tblPr>
      <w:tblGrid>
        <w:gridCol w:w="7043"/>
        <w:gridCol w:w="1873"/>
        <w:gridCol w:w="4902"/>
      </w:tblGrid>
      <w:tr>
        <w:tblPrEx>
          <w:tblCellMar>
            <w:top w:w="0" w:type="dxa"/>
            <w:left w:w="108" w:type="dxa"/>
            <w:bottom w:w="0" w:type="dxa"/>
            <w:right w:w="108" w:type="dxa"/>
          </w:tblCellMar>
        </w:tblPrEx>
        <w:trPr>
          <w:trHeight w:val="624" w:hRule="atLeast"/>
        </w:trPr>
        <w:tc>
          <w:tcPr>
            <w:tcW w:w="13817" w:type="dxa"/>
            <w:gridSpan w:val="3"/>
            <w:tcBorders>
              <w:top w:val="nil"/>
              <w:left w:val="nil"/>
              <w:bottom w:val="nil"/>
              <w:right w:val="nil"/>
            </w:tcBorders>
            <w:vAlign w:val="center"/>
          </w:tcPr>
          <w:p>
            <w:pPr>
              <w:widowControl/>
              <w:jc w:val="center"/>
            </w:pPr>
            <w:r>
              <w:rPr>
                <w:rFonts w:hint="eastAsia" w:ascii="宋体" w:hAnsi="宋体" w:cs="宋体"/>
                <w:b/>
                <w:kern w:val="0"/>
                <w:sz w:val="32"/>
                <w:szCs w:val="32"/>
              </w:rPr>
              <w:t>大城县民族宗教事务局固定资产占用情况表</w:t>
            </w:r>
          </w:p>
        </w:tc>
      </w:tr>
      <w:tr>
        <w:tblPrEx>
          <w:tblCellMar>
            <w:top w:w="0" w:type="dxa"/>
            <w:left w:w="108" w:type="dxa"/>
            <w:bottom w:w="0" w:type="dxa"/>
            <w:right w:w="108" w:type="dxa"/>
          </w:tblCellMar>
        </w:tblPrEx>
        <w:trPr>
          <w:trHeight w:val="624" w:hRule="atLeast"/>
        </w:trPr>
        <w:tc>
          <w:tcPr>
            <w:tcW w:w="8915" w:type="dxa"/>
            <w:gridSpan w:val="2"/>
            <w:tcBorders>
              <w:top w:val="nil"/>
              <w:left w:val="nil"/>
              <w:bottom w:val="nil"/>
              <w:right w:val="nil"/>
            </w:tcBorders>
            <w:vAlign w:val="center"/>
          </w:tcPr>
          <w:p>
            <w:pPr>
              <w:widowControl/>
              <w:jc w:val="left"/>
            </w:pPr>
            <w:r>
              <w:rPr>
                <w:rFonts w:hint="eastAsia" w:ascii="宋体" w:hAnsi="宋体" w:cs="宋体"/>
                <w:kern w:val="0"/>
                <w:sz w:val="22"/>
                <w:szCs w:val="22"/>
              </w:rPr>
              <w:t>编制部门：大城县民族宗教事务局</w:t>
            </w:r>
          </w:p>
        </w:tc>
        <w:tc>
          <w:tcPr>
            <w:tcW w:w="4902" w:type="dxa"/>
            <w:tcBorders>
              <w:top w:val="nil"/>
              <w:left w:val="nil"/>
              <w:bottom w:val="nil"/>
              <w:right w:val="nil"/>
            </w:tcBorders>
            <w:vAlign w:val="center"/>
          </w:tcPr>
          <w:p>
            <w:pPr>
              <w:widowControl/>
              <w:jc w:val="left"/>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624" w:hRule="atLeast"/>
        </w:trPr>
        <w:tc>
          <w:tcPr>
            <w:tcW w:w="7043"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b/>
                <w:kern w:val="0"/>
                <w:sz w:val="22"/>
                <w:szCs w:val="22"/>
              </w:rPr>
              <w:t>项</w:t>
            </w:r>
            <w:r>
              <w:rPr>
                <w:rFonts w:ascii="宋体" w:hAnsi="宋体" w:cs="宋体"/>
                <w:b/>
                <w:kern w:val="0"/>
                <w:sz w:val="22"/>
                <w:szCs w:val="22"/>
              </w:rPr>
              <w:t xml:space="preserve">   </w:t>
            </w:r>
            <w:r>
              <w:rPr>
                <w:rFonts w:hint="eastAsia" w:ascii="宋体" w:hAnsi="宋体" w:cs="宋体"/>
                <w:b/>
                <w:kern w:val="0"/>
                <w:sz w:val="22"/>
                <w:szCs w:val="22"/>
              </w:rPr>
              <w:t>目</w:t>
            </w:r>
          </w:p>
        </w:tc>
        <w:tc>
          <w:tcPr>
            <w:tcW w:w="1873"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cs="宋体"/>
                <w:b/>
                <w:kern w:val="0"/>
                <w:sz w:val="22"/>
                <w:szCs w:val="22"/>
              </w:rPr>
              <w:t>数量</w:t>
            </w:r>
          </w:p>
        </w:tc>
        <w:tc>
          <w:tcPr>
            <w:tcW w:w="4902" w:type="dxa"/>
            <w:tcBorders>
              <w:top w:val="single" w:color="auto" w:sz="4" w:space="0"/>
              <w:left w:val="nil"/>
              <w:bottom w:val="single" w:color="auto" w:sz="4" w:space="0"/>
              <w:right w:val="single" w:color="auto" w:sz="4" w:space="0"/>
            </w:tcBorders>
            <w:vAlign w:val="center"/>
          </w:tcPr>
          <w:p>
            <w:pPr>
              <w:widowControl/>
              <w:jc w:val="center"/>
            </w:pPr>
            <w:r>
              <w:rPr>
                <w:rFonts w:hint="eastAsia" w:ascii="宋体" w:hAnsi="宋体" w:cs="宋体"/>
                <w:b/>
                <w:kern w:val="0"/>
                <w:sz w:val="22"/>
                <w:szCs w:val="22"/>
              </w:rPr>
              <w:t>价值（金额单位：万元）</w:t>
            </w:r>
          </w:p>
        </w:tc>
      </w:tr>
      <w:tr>
        <w:tblPrEx>
          <w:tblCellMar>
            <w:top w:w="0" w:type="dxa"/>
            <w:left w:w="108" w:type="dxa"/>
            <w:bottom w:w="0" w:type="dxa"/>
            <w:right w:w="108" w:type="dxa"/>
          </w:tblCellMar>
        </w:tblPrEx>
        <w:trPr>
          <w:trHeight w:val="371" w:hRule="atLeast"/>
        </w:trPr>
        <w:tc>
          <w:tcPr>
            <w:tcW w:w="7043" w:type="dxa"/>
            <w:tcBorders>
              <w:top w:val="nil"/>
              <w:left w:val="single" w:color="auto" w:sz="4" w:space="0"/>
              <w:bottom w:val="single" w:color="auto" w:sz="4" w:space="0"/>
              <w:right w:val="single" w:color="auto" w:sz="4" w:space="0"/>
            </w:tcBorders>
            <w:vAlign w:val="center"/>
          </w:tcPr>
          <w:p>
            <w:pPr>
              <w:widowControl/>
              <w:jc w:val="center"/>
            </w:pPr>
            <w:r>
              <w:rPr>
                <w:rFonts w:hint="eastAsia" w:ascii="宋体" w:hAnsi="宋体" w:cs="宋体"/>
                <w:kern w:val="0"/>
                <w:sz w:val="22"/>
                <w:szCs w:val="22"/>
              </w:rPr>
              <w:t>资产总额</w:t>
            </w:r>
          </w:p>
        </w:tc>
        <w:tc>
          <w:tcPr>
            <w:tcW w:w="1873"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c>
          <w:tcPr>
            <w:tcW w:w="4902" w:type="dxa"/>
            <w:tcBorders>
              <w:top w:val="nil"/>
              <w:left w:val="nil"/>
              <w:bottom w:val="single" w:color="auto" w:sz="4" w:space="0"/>
              <w:right w:val="single" w:color="auto" w:sz="4" w:space="0"/>
            </w:tcBorders>
            <w:vAlign w:val="center"/>
          </w:tcPr>
          <w:p>
            <w:pPr>
              <w:widowControl/>
              <w:jc w:val="center"/>
            </w:pPr>
            <w:r>
              <w:rPr>
                <w:rFonts w:ascii="宋体" w:hAnsi="宋体" w:cs="宋体"/>
                <w:kern w:val="0"/>
                <w:sz w:val="22"/>
                <w:szCs w:val="22"/>
              </w:rPr>
              <w:t>16.5518</w:t>
            </w:r>
          </w:p>
        </w:tc>
      </w:tr>
      <w:tr>
        <w:tblPrEx>
          <w:tblCellMar>
            <w:top w:w="0" w:type="dxa"/>
            <w:left w:w="108" w:type="dxa"/>
            <w:bottom w:w="0" w:type="dxa"/>
            <w:right w:w="108" w:type="dxa"/>
          </w:tblCellMar>
        </w:tblPrEx>
        <w:trPr>
          <w:trHeight w:val="420" w:hRule="atLeast"/>
        </w:trPr>
        <w:tc>
          <w:tcPr>
            <w:tcW w:w="7043" w:type="dxa"/>
            <w:tcBorders>
              <w:top w:val="nil"/>
              <w:left w:val="single" w:color="auto" w:sz="4" w:space="0"/>
              <w:bottom w:val="single" w:color="auto" w:sz="4" w:space="0"/>
              <w:right w:val="single" w:color="auto" w:sz="4" w:space="0"/>
            </w:tcBorders>
            <w:vAlign w:val="center"/>
          </w:tcPr>
          <w:p>
            <w:pPr>
              <w:widowControl/>
              <w:jc w:val="left"/>
            </w:pPr>
            <w:r>
              <w:rPr>
                <w:rFonts w:ascii="宋体" w:hAnsi="宋体" w:cs="宋体"/>
                <w:kern w:val="0"/>
                <w:sz w:val="22"/>
                <w:szCs w:val="22"/>
              </w:rPr>
              <w:t>1</w:t>
            </w:r>
            <w:r>
              <w:rPr>
                <w:rFonts w:hint="eastAsia" w:ascii="宋体" w:hAnsi="宋体" w:cs="宋体"/>
                <w:kern w:val="0"/>
                <w:sz w:val="22"/>
                <w:szCs w:val="22"/>
              </w:rPr>
              <w:t>、房屋（平方米）</w:t>
            </w:r>
          </w:p>
        </w:tc>
        <w:tc>
          <w:tcPr>
            <w:tcW w:w="1873"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c>
          <w:tcPr>
            <w:tcW w:w="4902"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r>
      <w:tr>
        <w:tblPrEx>
          <w:tblCellMar>
            <w:top w:w="0" w:type="dxa"/>
            <w:left w:w="108" w:type="dxa"/>
            <w:bottom w:w="0" w:type="dxa"/>
            <w:right w:w="108" w:type="dxa"/>
          </w:tblCellMar>
        </w:tblPrEx>
        <w:trPr>
          <w:trHeight w:val="411" w:hRule="atLeast"/>
        </w:trPr>
        <w:tc>
          <w:tcPr>
            <w:tcW w:w="7043" w:type="dxa"/>
            <w:tcBorders>
              <w:top w:val="nil"/>
              <w:left w:val="single" w:color="auto" w:sz="4" w:space="0"/>
              <w:bottom w:val="single" w:color="auto" w:sz="4" w:space="0"/>
              <w:right w:val="single" w:color="auto" w:sz="4" w:space="0"/>
            </w:tcBorders>
            <w:vAlign w:val="center"/>
          </w:tcPr>
          <w:p>
            <w:pPr>
              <w:widowControl/>
              <w:jc w:val="left"/>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1873"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c>
          <w:tcPr>
            <w:tcW w:w="4902"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r>
      <w:tr>
        <w:tblPrEx>
          <w:tblCellMar>
            <w:top w:w="0" w:type="dxa"/>
            <w:left w:w="108" w:type="dxa"/>
            <w:bottom w:w="0" w:type="dxa"/>
            <w:right w:w="108" w:type="dxa"/>
          </w:tblCellMar>
        </w:tblPrEx>
        <w:trPr>
          <w:trHeight w:val="417" w:hRule="atLeast"/>
        </w:trPr>
        <w:tc>
          <w:tcPr>
            <w:tcW w:w="7043" w:type="dxa"/>
            <w:tcBorders>
              <w:top w:val="nil"/>
              <w:left w:val="single" w:color="auto" w:sz="4" w:space="0"/>
              <w:bottom w:val="single" w:color="auto" w:sz="4" w:space="0"/>
              <w:right w:val="single" w:color="auto" w:sz="4" w:space="0"/>
            </w:tcBorders>
            <w:vAlign w:val="center"/>
          </w:tcPr>
          <w:p>
            <w:pPr>
              <w:widowControl/>
              <w:jc w:val="left"/>
            </w:pPr>
            <w:r>
              <w:rPr>
                <w:rFonts w:ascii="宋体" w:hAnsi="宋体" w:cs="宋体"/>
                <w:kern w:val="0"/>
                <w:sz w:val="22"/>
                <w:szCs w:val="22"/>
              </w:rPr>
              <w:t>2</w:t>
            </w:r>
            <w:r>
              <w:rPr>
                <w:rFonts w:hint="eastAsia" w:ascii="宋体" w:hAnsi="宋体" w:cs="宋体"/>
                <w:kern w:val="0"/>
                <w:sz w:val="22"/>
                <w:szCs w:val="22"/>
              </w:rPr>
              <w:t>、车辆（台、辆）</w:t>
            </w:r>
          </w:p>
        </w:tc>
        <w:tc>
          <w:tcPr>
            <w:tcW w:w="1873"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r>
              <w:rPr>
                <w:rFonts w:ascii="宋体" w:hAnsi="宋体" w:cs="宋体"/>
                <w:kern w:val="0"/>
                <w:sz w:val="22"/>
                <w:szCs w:val="22"/>
              </w:rPr>
              <w:t>1</w:t>
            </w:r>
          </w:p>
        </w:tc>
        <w:tc>
          <w:tcPr>
            <w:tcW w:w="4902" w:type="dxa"/>
            <w:tcBorders>
              <w:top w:val="nil"/>
              <w:left w:val="nil"/>
              <w:bottom w:val="single" w:color="auto" w:sz="4" w:space="0"/>
              <w:right w:val="single" w:color="auto" w:sz="4" w:space="0"/>
            </w:tcBorders>
            <w:vAlign w:val="center"/>
          </w:tcPr>
          <w:p>
            <w:pPr>
              <w:widowControl/>
              <w:jc w:val="center"/>
            </w:pPr>
            <w:r>
              <w:rPr>
                <w:rFonts w:ascii="宋体" w:hAnsi="宋体" w:cs="宋体"/>
                <w:kern w:val="0"/>
                <w:sz w:val="22"/>
                <w:szCs w:val="22"/>
              </w:rPr>
              <w:t>6.28</w:t>
            </w:r>
          </w:p>
        </w:tc>
      </w:tr>
      <w:tr>
        <w:tblPrEx>
          <w:tblCellMar>
            <w:top w:w="0" w:type="dxa"/>
            <w:left w:w="108" w:type="dxa"/>
            <w:bottom w:w="0" w:type="dxa"/>
            <w:right w:w="108" w:type="dxa"/>
          </w:tblCellMar>
        </w:tblPrEx>
        <w:trPr>
          <w:trHeight w:val="423" w:hRule="atLeast"/>
        </w:trPr>
        <w:tc>
          <w:tcPr>
            <w:tcW w:w="7043" w:type="dxa"/>
            <w:tcBorders>
              <w:top w:val="nil"/>
              <w:left w:val="single" w:color="auto" w:sz="4" w:space="0"/>
              <w:bottom w:val="single" w:color="auto" w:sz="4" w:space="0"/>
              <w:right w:val="single" w:color="auto" w:sz="4" w:space="0"/>
            </w:tcBorders>
            <w:vAlign w:val="center"/>
          </w:tcPr>
          <w:p>
            <w:pPr>
              <w:widowControl/>
              <w:jc w:val="left"/>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1873"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c>
          <w:tcPr>
            <w:tcW w:w="4902"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r>
      <w:tr>
        <w:tblPrEx>
          <w:tblCellMar>
            <w:top w:w="0" w:type="dxa"/>
            <w:left w:w="108" w:type="dxa"/>
            <w:bottom w:w="0" w:type="dxa"/>
            <w:right w:w="108" w:type="dxa"/>
          </w:tblCellMar>
        </w:tblPrEx>
        <w:trPr>
          <w:trHeight w:val="274" w:hRule="atLeast"/>
        </w:trPr>
        <w:tc>
          <w:tcPr>
            <w:tcW w:w="7043" w:type="dxa"/>
            <w:tcBorders>
              <w:top w:val="nil"/>
              <w:left w:val="single" w:color="auto" w:sz="4" w:space="0"/>
              <w:bottom w:val="single" w:color="auto" w:sz="4" w:space="0"/>
              <w:right w:val="single" w:color="auto" w:sz="4" w:space="0"/>
            </w:tcBorders>
            <w:vAlign w:val="center"/>
          </w:tcPr>
          <w:p>
            <w:pPr>
              <w:widowControl/>
              <w:jc w:val="left"/>
            </w:pPr>
            <w:r>
              <w:rPr>
                <w:rFonts w:ascii="宋体" w:hAnsi="宋体" w:cs="宋体"/>
                <w:kern w:val="0"/>
                <w:sz w:val="22"/>
                <w:szCs w:val="22"/>
              </w:rPr>
              <w:t>4</w:t>
            </w:r>
            <w:r>
              <w:rPr>
                <w:rFonts w:hint="eastAsia" w:ascii="宋体" w:hAnsi="宋体" w:cs="宋体"/>
                <w:kern w:val="0"/>
                <w:sz w:val="22"/>
                <w:szCs w:val="22"/>
              </w:rPr>
              <w:t>、其他固定资产</w:t>
            </w:r>
          </w:p>
        </w:tc>
        <w:tc>
          <w:tcPr>
            <w:tcW w:w="1873" w:type="dxa"/>
            <w:tcBorders>
              <w:top w:val="nil"/>
              <w:left w:val="nil"/>
              <w:bottom w:val="single" w:color="auto" w:sz="4" w:space="0"/>
              <w:right w:val="single" w:color="auto" w:sz="4" w:space="0"/>
            </w:tcBorders>
            <w:vAlign w:val="center"/>
          </w:tcPr>
          <w:p>
            <w:pPr>
              <w:widowControl/>
              <w:jc w:val="center"/>
            </w:pPr>
            <w:r>
              <w:rPr>
                <w:rFonts w:ascii="宋体" w:cs="宋体"/>
                <w:kern w:val="0"/>
                <w:sz w:val="22"/>
                <w:szCs w:val="22"/>
              </w:rPr>
              <w:t> </w:t>
            </w:r>
          </w:p>
        </w:tc>
        <w:tc>
          <w:tcPr>
            <w:tcW w:w="4902" w:type="dxa"/>
            <w:tcBorders>
              <w:top w:val="nil"/>
              <w:left w:val="nil"/>
              <w:bottom w:val="single" w:color="auto" w:sz="4" w:space="0"/>
              <w:right w:val="single" w:color="auto" w:sz="4" w:space="0"/>
            </w:tcBorders>
            <w:vAlign w:val="center"/>
          </w:tcPr>
          <w:p>
            <w:pPr>
              <w:widowControl/>
              <w:jc w:val="center"/>
            </w:pPr>
            <w:r>
              <w:rPr>
                <w:rFonts w:ascii="宋体" w:hAnsi="宋体" w:cs="宋体"/>
                <w:kern w:val="0"/>
                <w:sz w:val="22"/>
                <w:szCs w:val="22"/>
              </w:rPr>
              <w:t>10.2718</w:t>
            </w:r>
          </w:p>
        </w:tc>
      </w:tr>
    </w:tbl>
    <w:p>
      <w:pPr>
        <w:widowControl/>
        <w:spacing w:line="420" w:lineRule="atLeast"/>
        <w:ind w:firstLine="320" w:firstLineChars="100"/>
        <w:jc w:val="left"/>
        <w:rPr>
          <w:rFonts w:ascii="??_GB2312" w:eastAsia="Times New Roman" w:cs="??_GB2312"/>
          <w:color w:val="484747"/>
          <w:sz w:val="32"/>
          <w:szCs w:val="32"/>
        </w:rPr>
      </w:pPr>
    </w:p>
    <w:p>
      <w:pPr>
        <w:widowControl/>
        <w:spacing w:line="420" w:lineRule="atLeast"/>
        <w:ind w:firstLine="320" w:firstLineChars="100"/>
        <w:jc w:val="left"/>
      </w:pPr>
      <w:r>
        <w:rPr>
          <w:rFonts w:ascii="??_GB2312" w:eastAsia="Times New Roman" w:cs="??_GB2312"/>
          <w:color w:val="484747"/>
          <w:sz w:val="32"/>
          <w:szCs w:val="32"/>
        </w:rPr>
        <w:t>4.其他需要说明的情况</w:t>
      </w:r>
    </w:p>
    <w:p>
      <w:pPr>
        <w:widowControl/>
        <w:spacing w:line="420" w:lineRule="atLeast"/>
        <w:ind w:firstLine="640" w:firstLineChars="200"/>
        <w:jc w:val="left"/>
      </w:pPr>
      <w:r>
        <w:rPr>
          <w:rFonts w:ascii="??_GB2312" w:hAnsi="宋体" w:eastAsia="Times New Roman"/>
          <w:color w:val="484747"/>
          <w:sz w:val="32"/>
          <w:szCs w:val="32"/>
        </w:rPr>
        <w:t xml:space="preserve"> </w:t>
      </w:r>
      <w:r>
        <w:rPr>
          <w:rFonts w:ascii="??_GB2312" w:eastAsia="Times New Roman" w:cs="??_GB2312"/>
          <w:color w:val="484747"/>
          <w:sz w:val="32"/>
          <w:szCs w:val="32"/>
        </w:rPr>
        <w:t>本单位没有其他需要说明的事项。</w:t>
      </w:r>
    </w:p>
    <w:p>
      <w:pPr>
        <w:widowControl/>
        <w:spacing w:line="584" w:lineRule="exact"/>
        <w:ind w:firstLine="640" w:firstLineChars="200"/>
        <w:jc w:val="left"/>
      </w:pPr>
      <w:r>
        <w:rPr>
          <w:rFonts w:hint="eastAsia" w:eastAsia="黑体"/>
          <w:color w:val="484747"/>
          <w:sz w:val="32"/>
          <w:szCs w:val="32"/>
        </w:rPr>
        <w:t>四、</w:t>
      </w:r>
      <w:r>
        <w:rPr>
          <w:rFonts w:hint="eastAsia" w:ascii="黑体" w:hAnsi="宋体" w:eastAsia="黑体" w:cs="黑体"/>
          <w:color w:val="484747"/>
          <w:sz w:val="32"/>
          <w:szCs w:val="32"/>
        </w:rPr>
        <w:t>名词解释</w:t>
      </w:r>
    </w:p>
    <w:p>
      <w:pPr>
        <w:widowControl/>
        <w:spacing w:line="420" w:lineRule="atLeast"/>
        <w:ind w:firstLine="640" w:firstLineChars="200"/>
        <w:jc w:val="left"/>
      </w:pPr>
      <w:r>
        <w:rPr>
          <w:rFonts w:ascii="??_GB2312" w:eastAsia="Times New Roman" w:cs="??_GB2312"/>
          <w:color w:val="484747"/>
          <w:sz w:val="32"/>
          <w:szCs w:val="32"/>
        </w:rPr>
        <w:t>1、一般公共预算拨款收入:县级财政当年拨付的资金。</w:t>
      </w:r>
    </w:p>
    <w:p>
      <w:pPr>
        <w:widowControl/>
        <w:spacing w:line="420" w:lineRule="atLeast"/>
        <w:ind w:firstLine="640" w:firstLineChars="200"/>
        <w:jc w:val="left"/>
      </w:pPr>
      <w:r>
        <w:rPr>
          <w:rFonts w:ascii="??_GB2312" w:eastAsia="Times New Roman" w:cs="??_GB2312"/>
          <w:color w:val="484747"/>
          <w:sz w:val="32"/>
          <w:szCs w:val="32"/>
        </w:rPr>
        <w:t>2、基本支出：为保障机构正常运转，完成日常工作任务，而发生的人员支出和公用支出。</w:t>
      </w:r>
    </w:p>
    <w:p>
      <w:pPr>
        <w:widowControl/>
        <w:spacing w:line="420" w:lineRule="atLeast"/>
        <w:ind w:firstLine="640" w:firstLineChars="200"/>
        <w:jc w:val="left"/>
      </w:pPr>
      <w:r>
        <w:rPr>
          <w:rFonts w:ascii="??_GB2312" w:eastAsia="Times New Roman" w:cs="??_GB2312"/>
          <w:color w:val="484747"/>
          <w:sz w:val="32"/>
          <w:szCs w:val="32"/>
        </w:rPr>
        <w:t>3、项目支出：是指在基本支出之外，为完成特定行政任务和事业发展目标，而发生的支出。</w:t>
      </w:r>
    </w:p>
    <w:p>
      <w:pPr>
        <w:widowControl/>
        <w:spacing w:line="420" w:lineRule="atLeast"/>
        <w:ind w:firstLine="640" w:firstLineChars="200"/>
        <w:jc w:val="left"/>
      </w:pPr>
      <w:r>
        <w:rPr>
          <w:rFonts w:ascii="??_GB2312" w:eastAsia="Times New Roman" w:cs="??_GB2312"/>
          <w:color w:val="484747"/>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widowControl/>
        <w:spacing w:line="420" w:lineRule="atLeast"/>
        <w:ind w:firstLine="640" w:firstLineChars="200"/>
        <w:jc w:val="left"/>
      </w:pPr>
      <w:r>
        <w:rPr>
          <w:rFonts w:ascii="??_GB2312" w:eastAsia="Times New Roman" w:cs="??_GB2312"/>
          <w:color w:val="484747"/>
          <w:sz w:val="32"/>
          <w:szCs w:val="32"/>
        </w:rPr>
        <w:t>5、“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2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_GB2312">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仿宋">
    <w:panose1 w:val="02010609060101010101"/>
    <w:charset w:val="86"/>
    <w:family w:val="modern"/>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CF"/>
    <w:rsid w:val="000173CF"/>
    <w:rsid w:val="000C542C"/>
    <w:rsid w:val="001302B3"/>
    <w:rsid w:val="00165A11"/>
    <w:rsid w:val="001D09D9"/>
    <w:rsid w:val="001D3109"/>
    <w:rsid w:val="00226A0A"/>
    <w:rsid w:val="002F1878"/>
    <w:rsid w:val="003007E1"/>
    <w:rsid w:val="00317E97"/>
    <w:rsid w:val="003E0CC4"/>
    <w:rsid w:val="004559B2"/>
    <w:rsid w:val="00480DD9"/>
    <w:rsid w:val="00606CCF"/>
    <w:rsid w:val="006E2E62"/>
    <w:rsid w:val="006F7F67"/>
    <w:rsid w:val="00730647"/>
    <w:rsid w:val="00730FA3"/>
    <w:rsid w:val="00753227"/>
    <w:rsid w:val="007D3D90"/>
    <w:rsid w:val="008276C5"/>
    <w:rsid w:val="00A111C6"/>
    <w:rsid w:val="00A626B1"/>
    <w:rsid w:val="00A70341"/>
    <w:rsid w:val="00B4692E"/>
    <w:rsid w:val="00B5579C"/>
    <w:rsid w:val="00C60802"/>
    <w:rsid w:val="00CF5E92"/>
    <w:rsid w:val="00D67223"/>
    <w:rsid w:val="00DC56FA"/>
    <w:rsid w:val="00E404EF"/>
    <w:rsid w:val="00E54BFC"/>
    <w:rsid w:val="00EA2452"/>
    <w:rsid w:val="00EC61CC"/>
    <w:rsid w:val="00F05862"/>
    <w:rsid w:val="02F45CCB"/>
    <w:rsid w:val="03FF239F"/>
    <w:rsid w:val="154F44EA"/>
    <w:rsid w:val="173268F9"/>
    <w:rsid w:val="1FEC6DEE"/>
    <w:rsid w:val="26D22661"/>
    <w:rsid w:val="286106E3"/>
    <w:rsid w:val="289344CC"/>
    <w:rsid w:val="296A00B5"/>
    <w:rsid w:val="2EFD3361"/>
    <w:rsid w:val="3C812472"/>
    <w:rsid w:val="3D5A29C4"/>
    <w:rsid w:val="44882114"/>
    <w:rsid w:val="461C7176"/>
    <w:rsid w:val="489F5C16"/>
    <w:rsid w:val="493E4FA7"/>
    <w:rsid w:val="4BFE5558"/>
    <w:rsid w:val="4D676489"/>
    <w:rsid w:val="539F4335"/>
    <w:rsid w:val="53B50516"/>
    <w:rsid w:val="5A5C35F7"/>
    <w:rsid w:val="5BD2255E"/>
    <w:rsid w:val="656C72A4"/>
    <w:rsid w:val="6C9B7DCD"/>
    <w:rsid w:val="6D0E4284"/>
    <w:rsid w:val="6F57624B"/>
    <w:rsid w:val="702005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kern w:val="0"/>
      <w:sz w:val="24"/>
    </w:rPr>
  </w:style>
  <w:style w:type="character" w:styleId="7">
    <w:name w:val="FollowedHyperlink"/>
    <w:basedOn w:val="6"/>
    <w:qFormat/>
    <w:uiPriority w:val="99"/>
    <w:rPr>
      <w:rFonts w:cs="Times New Roman"/>
      <w:color w:val="4E4D4D"/>
      <w:u w:val="none"/>
    </w:rPr>
  </w:style>
  <w:style w:type="character" w:styleId="8">
    <w:name w:val="Hyperlink"/>
    <w:basedOn w:val="6"/>
    <w:uiPriority w:val="99"/>
    <w:rPr>
      <w:rFonts w:cs="Times New Roman"/>
      <w:color w:val="4E4D4D"/>
      <w:u w:val="none"/>
    </w:rPr>
  </w:style>
  <w:style w:type="character" w:customStyle="1" w:styleId="9">
    <w:name w:val="Footer Char"/>
    <w:basedOn w:val="6"/>
    <w:link w:val="2"/>
    <w:qFormat/>
    <w:locked/>
    <w:uiPriority w:val="99"/>
    <w:rPr>
      <w:rFonts w:ascii="Calibri" w:hAnsi="Calibri" w:eastAsia="宋体" w:cs="Times New Roman"/>
      <w:kern w:val="2"/>
      <w:sz w:val="18"/>
      <w:szCs w:val="18"/>
    </w:rPr>
  </w:style>
  <w:style w:type="character" w:customStyle="1" w:styleId="10">
    <w:name w:val="Header Char"/>
    <w:basedOn w:val="6"/>
    <w:link w:val="3"/>
    <w:qFormat/>
    <w:locked/>
    <w:uiPriority w:val="99"/>
    <w:rPr>
      <w:rFonts w:ascii="Calibri" w:hAnsi="Calibri" w:eastAsia="宋体" w:cs="Times New Roman"/>
      <w:kern w:val="2"/>
      <w:sz w:val="18"/>
      <w:szCs w:val="18"/>
    </w:rPr>
  </w:style>
  <w:style w:type="paragraph" w:customStyle="1" w:styleId="11">
    <w:name w:val="正文 New New New New New New New New New"/>
    <w:basedOn w:val="1"/>
    <w:uiPriority w:val="99"/>
    <w:rPr>
      <w:rFonts w:ascii="Times New Roman" w:hAnsi="Times New Roman"/>
      <w:szCs w:val="21"/>
    </w:rPr>
  </w:style>
  <w:style w:type="paragraph" w:customStyle="1" w:styleId="12">
    <w:name w:val="p16"/>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14</Pages>
  <Words>880</Words>
  <Characters>5022</Characters>
  <Lines>0</Lines>
  <Paragraphs>0</Paragraphs>
  <TotalTime>1041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小千</cp:lastModifiedBy>
  <cp:lastPrinted>2018-11-06T08:29:00Z</cp:lastPrinted>
  <dcterms:modified xsi:type="dcterms:W3CDTF">2023-06-05T02:33:55Z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E2E0A9B36E0147939E2E86E7C4F5A25C</vt:lpwstr>
  </property>
</Properties>
</file>