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1200" w:lineRule="exact"/>
        <w:rPr>
          <w:rFonts w:ascii="仿宋" w:eastAsia="仿宋" w:cs="仿宋"/>
          <w:sz w:val="84"/>
          <w:szCs w:val="84"/>
        </w:rPr>
      </w:pPr>
    </w:p>
    <w:p>
      <w:pPr>
        <w:widowControl/>
        <w:spacing w:line="1200" w:lineRule="exact"/>
        <w:rPr>
          <w:rFonts w:ascii="仿宋" w:eastAsia="仿宋" w:cs="仿宋"/>
          <w:color w:val="000000"/>
          <w:sz w:val="96"/>
          <w:szCs w:val="96"/>
        </w:rPr>
      </w:pPr>
      <w:r>
        <w:rPr>
          <w:rFonts w:hint="eastAsia" w:ascii="仿宋" w:eastAsia="仿宋" w:cs="仿宋"/>
          <w:sz w:val="84"/>
          <w:szCs w:val="84"/>
        </w:rPr>
        <w:t>2018年度部门决算公开</w:t>
      </w:r>
    </w:p>
    <w:p>
      <w:pPr>
        <w:widowControl/>
        <w:rPr>
          <w:rFonts w:ascii="仿宋" w:eastAsia="仿宋" w:cs="仿宋"/>
          <w:color w:val="002060"/>
          <w:sz w:val="72"/>
          <w:szCs w:val="72"/>
        </w:rPr>
      </w:pPr>
    </w:p>
    <w:p>
      <w:pPr>
        <w:widowControl/>
        <w:rPr>
          <w:rFonts w:ascii="仿宋" w:eastAsia="仿宋" w:cs="仿宋"/>
          <w:b/>
          <w:sz w:val="72"/>
          <w:szCs w:val="72"/>
        </w:rPr>
      </w:pPr>
    </w:p>
    <w:p>
      <w:pPr>
        <w:widowControl/>
        <w:spacing w:after="0" w:line="240" w:lineRule="auto"/>
        <w:rPr>
          <w:rFonts w:ascii="仿宋" w:eastAsia="仿宋" w:cs="仿宋"/>
          <w:b/>
          <w:sz w:val="52"/>
          <w:szCs w:val="52"/>
        </w:rPr>
        <w:sectPr>
          <w:pgSz w:w="11906" w:h="16838"/>
          <w:pgMar w:top="2098" w:right="1474" w:bottom="1985" w:left="1588" w:header="851" w:footer="992" w:gutter="0"/>
          <w:cols w:space="720" w:num="1"/>
          <w:docGrid w:type="lines" w:linePitch="312" w:charSpace="0"/>
        </w:sectPr>
      </w:pPr>
      <w:r>
        <w:rPr>
          <w:rFonts w:hint="eastAsia" w:ascii="仿宋" w:eastAsia="仿宋" w:cs="仿宋"/>
          <w:b/>
          <w:sz w:val="52"/>
          <w:szCs w:val="52"/>
        </w:rPr>
        <w:t>中国共产党大城县纪律检查委员会</w:t>
      </w:r>
    </w:p>
    <w:p>
      <w:pPr>
        <w:spacing w:before="624" w:beforeLines="200" w:after="0" w:line="1000" w:lineRule="exact"/>
        <w:jc w:val="center"/>
        <w:rPr>
          <w:rFonts w:ascii="仿宋" w:eastAsia="仿宋" w:cs="仿宋"/>
          <w:sz w:val="48"/>
          <w:szCs w:val="48"/>
        </w:rPr>
      </w:pPr>
      <w:r>
        <w:rPr>
          <w:rFonts w:hint="eastAsia" w:ascii="仿宋" w:eastAsia="仿宋" w:cs="仿宋"/>
          <w:sz w:val="48"/>
          <w:szCs w:val="48"/>
        </w:rPr>
        <w:t>目    录</w:t>
      </w:r>
    </w:p>
    <w:p>
      <w:pPr>
        <w:widowControl/>
        <w:spacing w:line="580" w:lineRule="exact"/>
        <w:ind w:firstLine="640" w:firstLineChars="200"/>
        <w:rPr>
          <w:rFonts w:ascii="仿宋" w:eastAsia="仿宋" w:cs="仿宋"/>
          <w:sz w:val="32"/>
          <w:szCs w:val="32"/>
        </w:rPr>
      </w:pPr>
    </w:p>
    <w:p>
      <w:pPr>
        <w:widowControl/>
        <w:spacing w:line="580" w:lineRule="exact"/>
        <w:ind w:firstLine="640" w:firstLineChars="200"/>
        <w:rPr>
          <w:rFonts w:ascii="仿宋" w:eastAsia="仿宋" w:cs="仿宋"/>
          <w:sz w:val="24"/>
          <w:szCs w:val="32"/>
        </w:rPr>
      </w:pPr>
      <w:r>
        <w:rPr>
          <w:rFonts w:hint="eastAsia" w:ascii="仿宋" w:eastAsia="仿宋" w:cs="仿宋"/>
          <w:sz w:val="32"/>
          <w:szCs w:val="32"/>
        </w:rPr>
        <w:t>第一部分：部门概况</w:t>
      </w:r>
    </w:p>
    <w:p>
      <w:pPr>
        <w:widowControl/>
        <w:spacing w:line="580" w:lineRule="exact"/>
        <w:ind w:firstLine="1273" w:firstLineChars="398"/>
        <w:rPr>
          <w:rFonts w:ascii="仿宋" w:eastAsia="仿宋" w:cs="仿宋"/>
          <w:sz w:val="32"/>
          <w:szCs w:val="32"/>
        </w:rPr>
      </w:pPr>
      <w:r>
        <w:rPr>
          <w:rFonts w:hint="eastAsia" w:ascii="仿宋" w:eastAsia="仿宋" w:cs="仿宋"/>
          <w:sz w:val="32"/>
          <w:szCs w:val="32"/>
        </w:rPr>
        <w:t>一、部门职责</w:t>
      </w:r>
    </w:p>
    <w:p>
      <w:pPr>
        <w:widowControl/>
        <w:spacing w:line="580" w:lineRule="exact"/>
        <w:ind w:firstLine="1273" w:firstLineChars="398"/>
        <w:rPr>
          <w:rFonts w:ascii="仿宋" w:eastAsia="仿宋" w:cs="仿宋"/>
          <w:sz w:val="32"/>
          <w:szCs w:val="32"/>
        </w:rPr>
      </w:pPr>
      <w:r>
        <w:rPr>
          <w:rFonts w:hint="eastAsia" w:ascii="仿宋" w:eastAsia="仿宋" w:cs="仿宋"/>
          <w:sz w:val="32"/>
          <w:szCs w:val="32"/>
        </w:rPr>
        <w:t>二、机构设置</w:t>
      </w:r>
    </w:p>
    <w:p>
      <w:pPr>
        <w:widowControl/>
        <w:spacing w:line="580" w:lineRule="exact"/>
        <w:ind w:firstLine="640" w:firstLineChars="200"/>
        <w:rPr>
          <w:rFonts w:ascii="仿宋" w:eastAsia="仿宋" w:cs="仿宋"/>
          <w:sz w:val="20"/>
          <w:szCs w:val="32"/>
        </w:rPr>
      </w:pPr>
      <w:r>
        <w:rPr>
          <w:rFonts w:hint="eastAsia" w:ascii="仿宋" w:eastAsia="仿宋" w:cs="仿宋"/>
          <w:sz w:val="32"/>
          <w:szCs w:val="32"/>
        </w:rPr>
        <w:t>第二部分：2018年度部门决算报表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一、收入支出决算总表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二、收入决算表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三、支出决算表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四、财政拨款收入支出决算总表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五、一般公共预算财政拨款支出决算表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六、一般公共预算财政拨款基本支出决算表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七、一般公共预算财政拨款“三公”经费支出决算表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八、政府性基金预算财政拨款收入支出决算表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九、国有资本经营预算财政拨款支出决算表</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十、政府采购情况表</w:t>
      </w:r>
    </w:p>
    <w:p>
      <w:pPr>
        <w:widowControl/>
        <w:spacing w:line="580" w:lineRule="exact"/>
        <w:ind w:firstLine="640" w:firstLineChars="200"/>
        <w:rPr>
          <w:rFonts w:ascii="仿宋" w:eastAsia="仿宋" w:cs="仿宋"/>
          <w:sz w:val="32"/>
          <w:szCs w:val="32"/>
        </w:rPr>
      </w:pPr>
    </w:p>
    <w:p>
      <w:pPr>
        <w:widowControl/>
        <w:spacing w:line="580" w:lineRule="exact"/>
        <w:ind w:firstLine="640" w:firstLineChars="200"/>
        <w:rPr>
          <w:rFonts w:ascii="仿宋" w:eastAsia="仿宋" w:cs="仿宋"/>
          <w:sz w:val="32"/>
          <w:szCs w:val="32"/>
        </w:rPr>
      </w:pPr>
      <w:r>
        <w:rPr>
          <w:rFonts w:hint="eastAsia" w:ascii="仿宋" w:eastAsia="仿宋" w:cs="仿宋"/>
          <w:sz w:val="32"/>
          <w:szCs w:val="32"/>
        </w:rPr>
        <w:t>第三部分：中国共产党大城县纪律检查委员会2018年部门决算情况说明</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一、收入支出决算总体情况说明</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二、收入决算情况说明</w:t>
      </w:r>
    </w:p>
    <w:p>
      <w:pPr>
        <w:pStyle w:val="3"/>
        <w:ind w:firstLine="1280" w:firstLineChars="400"/>
        <w:rPr>
          <w:rFonts w:ascii="仿宋" w:eastAsia="仿宋" w:cs="仿宋"/>
          <w:b w:val="0"/>
          <w:bCs w:val="0"/>
        </w:rPr>
      </w:pPr>
      <w:r>
        <w:rPr>
          <w:rFonts w:hint="eastAsia" w:ascii="仿宋" w:eastAsia="仿宋" w:cs="仿宋"/>
          <w:b w:val="0"/>
          <w:bCs w:val="0"/>
        </w:rPr>
        <w:t>三、支出决算情况说明</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四、财政拨款收入支出决算情况说明</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五、一般公共预算财政拨款“三公”经费支出决算情况说明</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六、预算绩效情况说明</w:t>
      </w:r>
    </w:p>
    <w:p>
      <w:pPr>
        <w:widowControl/>
        <w:spacing w:line="580" w:lineRule="exact"/>
        <w:ind w:left="640" w:firstLine="640" w:firstLineChars="200"/>
        <w:rPr>
          <w:rFonts w:ascii="仿宋" w:eastAsia="仿宋" w:cs="仿宋"/>
          <w:sz w:val="32"/>
          <w:szCs w:val="32"/>
        </w:rPr>
      </w:pPr>
      <w:r>
        <w:rPr>
          <w:rFonts w:hint="eastAsia" w:ascii="仿宋" w:eastAsia="仿宋" w:cs="仿宋"/>
          <w:sz w:val="32"/>
          <w:szCs w:val="32"/>
        </w:rPr>
        <w:t>七、其他重要事项的说明</w:t>
      </w:r>
    </w:p>
    <w:p>
      <w:pPr>
        <w:widowControl/>
        <w:spacing w:line="580" w:lineRule="exact"/>
        <w:ind w:firstLine="640" w:firstLineChars="200"/>
        <w:rPr>
          <w:rFonts w:ascii="仿宋" w:eastAsia="仿宋" w:cs="仿宋"/>
          <w:sz w:val="32"/>
          <w:szCs w:val="32"/>
        </w:rPr>
      </w:pPr>
      <w:r>
        <w:rPr>
          <w:rFonts w:hint="eastAsia" w:ascii="仿宋" w:eastAsia="仿宋" w:cs="仿宋"/>
          <w:sz w:val="32"/>
          <w:szCs w:val="32"/>
        </w:rPr>
        <w:t>第四部分：名词解释</w:t>
      </w:r>
    </w:p>
    <w:p>
      <w:pPr>
        <w:widowControl/>
        <w:spacing w:line="580" w:lineRule="exact"/>
        <w:ind w:firstLine="640" w:firstLineChars="200"/>
        <w:rPr>
          <w:rFonts w:ascii="仿宋" w:eastAsia="仿宋" w:cs="仿宋"/>
          <w:sz w:val="32"/>
          <w:szCs w:val="32"/>
        </w:rPr>
      </w:pPr>
    </w:p>
    <w:p>
      <w:pPr>
        <w:widowControl/>
        <w:spacing w:line="580" w:lineRule="exact"/>
        <w:ind w:firstLine="640" w:firstLineChars="200"/>
        <w:rPr>
          <w:rFonts w:ascii="仿宋" w:eastAsia="仿宋" w:cs="仿宋"/>
          <w:sz w:val="32"/>
          <w:szCs w:val="32"/>
        </w:rPr>
      </w:pPr>
    </w:p>
    <w:p>
      <w:pPr>
        <w:widowControl/>
        <w:spacing w:line="580" w:lineRule="exact"/>
        <w:ind w:firstLine="640" w:firstLineChars="200"/>
        <w:rPr>
          <w:rFonts w:ascii="仿宋" w:eastAsia="仿宋" w:cs="仿宋"/>
          <w:sz w:val="32"/>
          <w:szCs w:val="32"/>
        </w:rPr>
      </w:pPr>
    </w:p>
    <w:p>
      <w:pPr>
        <w:widowControl/>
        <w:spacing w:line="580" w:lineRule="exact"/>
        <w:ind w:firstLine="640" w:firstLineChars="200"/>
        <w:rPr>
          <w:rFonts w:ascii="仿宋" w:eastAsia="仿宋" w:cs="仿宋"/>
          <w:sz w:val="32"/>
          <w:szCs w:val="32"/>
        </w:rPr>
      </w:pPr>
    </w:p>
    <w:p>
      <w:pPr>
        <w:rPr>
          <w:rFonts w:ascii="仿宋" w:eastAsia="仿宋" w:cs="仿宋"/>
        </w:rPr>
      </w:pPr>
      <w:r>
        <w:rPr>
          <w:rFonts w:hint="eastAsia" w:ascii="仿宋" w:eastAsia="仿宋" w:cs="仿宋"/>
        </w:rPr>
        <w:br w:type="page"/>
      </w:r>
    </w:p>
    <w:p>
      <w:pPr>
        <w:rPr>
          <w:rFonts w:ascii="仿宋" w:eastAsia="仿宋" w:cs="仿宋"/>
        </w:rPr>
      </w:pPr>
    </w:p>
    <w:p>
      <w:pPr>
        <w:rPr>
          <w:rFonts w:ascii="仿宋" w:eastAsia="仿宋" w:cs="仿宋"/>
        </w:rPr>
      </w:pPr>
    </w:p>
    <w:p>
      <w:pPr>
        <w:rPr>
          <w:rFonts w:ascii="仿宋" w:eastAsia="仿宋" w:cs="仿宋"/>
        </w:rPr>
      </w:pPr>
    </w:p>
    <w:p>
      <w:pPr>
        <w:rPr>
          <w:rFonts w:ascii="仿宋" w:eastAsia="仿宋" w:cs="仿宋"/>
        </w:rPr>
      </w:pPr>
    </w:p>
    <w:p>
      <w:pPr>
        <w:widowControl/>
        <w:jc w:val="center"/>
        <w:rPr>
          <w:rFonts w:ascii="仿宋" w:eastAsia="仿宋" w:cs="仿宋"/>
          <w:color w:val="000000"/>
          <w:sz w:val="96"/>
          <w:szCs w:val="96"/>
        </w:rPr>
      </w:pPr>
      <w:r>
        <w:rPr>
          <w:rFonts w:hint="eastAsia" w:ascii="仿宋" w:eastAsia="仿宋" w:cs="仿宋"/>
          <w:color w:val="000000"/>
          <w:sz w:val="96"/>
          <w:szCs w:val="96"/>
        </w:rPr>
        <w:t>第一部分  部门概况</w:t>
      </w:r>
    </w:p>
    <w:p>
      <w:pPr>
        <w:rPr>
          <w:rFonts w:ascii="仿宋" w:eastAsia="仿宋" w:cs="仿宋"/>
        </w:rPr>
      </w:pPr>
    </w:p>
    <w:p>
      <w:pPr>
        <w:rPr>
          <w:rFonts w:ascii="仿宋" w:eastAsia="仿宋" w:cs="仿宋"/>
        </w:rPr>
      </w:pPr>
    </w:p>
    <w:p>
      <w:pPr>
        <w:rPr>
          <w:rFonts w:ascii="仿宋" w:eastAsia="仿宋" w:cs="仿宋"/>
        </w:rPr>
      </w:pPr>
    </w:p>
    <w:p>
      <w:pPr>
        <w:rPr>
          <w:rFonts w:ascii="仿宋" w:eastAsia="仿宋" w:cs="仿宋"/>
        </w:rPr>
      </w:pPr>
    </w:p>
    <w:p>
      <w:pPr>
        <w:widowControl/>
        <w:tabs>
          <w:tab w:val="left" w:pos="1137"/>
        </w:tabs>
        <w:spacing w:line="584" w:lineRule="exact"/>
        <w:jc w:val="left"/>
        <w:rPr>
          <w:rFonts w:ascii="仿宋" w:eastAsia="仿宋" w:cs="仿宋"/>
          <w:sz w:val="32"/>
          <w:szCs w:val="32"/>
        </w:rPr>
      </w:pPr>
    </w:p>
    <w:p>
      <w:pPr>
        <w:widowControl/>
        <w:tabs>
          <w:tab w:val="left" w:pos="1137"/>
        </w:tabs>
        <w:spacing w:line="584" w:lineRule="exact"/>
        <w:jc w:val="left"/>
        <w:rPr>
          <w:rFonts w:ascii="仿宋" w:eastAsia="仿宋" w:cs="仿宋"/>
          <w:sz w:val="28"/>
          <w:szCs w:val="28"/>
        </w:rPr>
      </w:pPr>
      <w:r>
        <w:rPr>
          <w:rFonts w:hint="eastAsia" w:ascii="仿宋" w:eastAsia="仿宋" w:cs="仿宋"/>
          <w:sz w:val="32"/>
          <w:szCs w:val="32"/>
        </w:rPr>
        <w:t>一、部门职责</w:t>
      </w:r>
    </w:p>
    <w:p>
      <w:pPr>
        <w:spacing w:line="560" w:lineRule="exact"/>
        <w:ind w:firstLine="640" w:firstLineChars="200"/>
        <w:rPr>
          <w:rFonts w:ascii="仿宋_GB2312" w:eastAsia="仿宋_GB2312" w:cs="仿宋_GB2312"/>
          <w:sz w:val="32"/>
          <w:szCs w:val="32"/>
        </w:rPr>
      </w:pPr>
      <w:bookmarkStart w:id="0" w:name="_GoBack"/>
      <w:bookmarkEnd w:id="0"/>
      <w:r>
        <w:rPr>
          <w:rFonts w:hint="eastAsia" w:ascii="仿宋_GB2312" w:eastAsia="仿宋_GB2312" w:cs="仿宋_GB2312"/>
          <w:sz w:val="32"/>
          <w:szCs w:val="32"/>
        </w:rPr>
        <w:t>中共大城县纪律检查委员会（简称县纪委）由中国共产党大城县代表大会选举产生，大城县监察委员会（简称县监委）由大城县人民代表大会产生，负责本行政区域内的纪检监察工作。县纪委与县监委合署办公，实行一套工作机构、两个机关名称，履行党的纪律检查和国家监察两项职责。县纪委在同级党的委员会和上级纪律检查委员会双重领导下进行工作，县监委对本级人民代表大会及其常务委员会和市监察委员会负责，并接受其监督。在市纪委监委和县委领导下，县纪委监委加强对下级纪检监察机构的领导。县委巡察工作领导小组办公室为县委工作机关，设在县纪委。主要职责是：</w:t>
      </w:r>
    </w:p>
    <w:p>
      <w:pPr>
        <w:spacing w:line="584" w:lineRule="exact"/>
        <w:ind w:firstLine="643" w:firstLineChars="200"/>
        <w:rPr>
          <w:rFonts w:ascii="楷体" w:eastAsia="楷体" w:cs="Times New Roman"/>
          <w:b/>
          <w:sz w:val="32"/>
          <w:szCs w:val="32"/>
        </w:rPr>
      </w:pP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负责全县党的纪律检查工作。贯彻落实党中央、省委、市委和县委关于纪律检查工作的决策部署，维护党的章程和其他党内法规，检查党的路线方针政策和决议的执行情况，协助县委推进全面从严治党、加强党风建设和组织协调反腐败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依照党的章程和其他党内法规履行监督、执纪、问责职责。负责经常对党员进行遵守纪律的教育，作出关于维护党纪的决定；对县委工作机关、县委批准设立的党组（党委），各镇（区）党（工）委、纪（工）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（三）支持配合巡视巡察工作。承担巡察整改日常监督责任，做好巡察整改督查督办工作，依规依纪依法处置巡视巡察移交的反映领导干部问题线索。</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负责全县监察工作。贯彻落实党中央、省委、市委和县委关于监察工作的决策部署，维护宪法法律，依法对县委管理的行使公权力的公职人员进行监察，调查职务违法和职务犯罪，开展廉政建设和反腐败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（六）负责组织协调全面从严治党、党风廉政建设和反腐败宣传教育工作。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（七）负责综合分析全面从严治党、党风廉政建设和反腐败工作情况，对纪检监察工作重要理论及实践问题进行调查研究；制定或者修改全县纪检监察有关制度，参与起草有关规范性文件。</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（八）负责组织协调全县反腐败追逃追赃和防逃工作，督促有关单位做好相关工作。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（九）根据干部管理权限，负责全县纪检监察系统领导班子建设、干部队伍建设和组织建设的综合规划、政策研究、制度建设和业务指导；</w:t>
      </w:r>
      <w:r>
        <w:rPr>
          <w:rFonts w:hint="eastAsia" w:ascii="仿宋_GB2312" w:eastAsia="仿宋_GB2312" w:cs="仿宋_GB2312"/>
          <w:color w:val="000000"/>
          <w:sz w:val="32"/>
          <w:szCs w:val="32"/>
        </w:rPr>
        <w:t>会同县委组织部负责县委巡察机构的科级干部提名、考察，报县委任免；根据干部管理权限负责县纪委监委机关、县委巡察机构、派驻（派出）机构股级及以下干部人事工作。会同有关方面做好县纪委监委派驻（派出）机构、镇纪检监察机构领导班子建设有关工作；</w:t>
      </w:r>
      <w:r>
        <w:rPr>
          <w:rFonts w:hint="eastAsia" w:ascii="仿宋_GB2312" w:eastAsia="仿宋_GB2312" w:cs="仿宋_GB2312"/>
          <w:sz w:val="32"/>
          <w:szCs w:val="32"/>
        </w:rPr>
        <w:t>组织和指导全县纪检监察系统干部教育培训工作等。</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（十）完成市纪委、市监委、县委交办的其他任务。</w:t>
      </w:r>
    </w:p>
    <w:p>
      <w:pPr>
        <w:pStyle w:val="2"/>
        <w:spacing w:before="0" w:after="0" w:line="600" w:lineRule="exact"/>
        <w:jc w:val="left"/>
        <w:rPr>
          <w:rFonts w:ascii="仿宋" w:eastAsia="仿宋" w:cs="仿宋"/>
          <w:b w:val="0"/>
          <w:bCs w:val="0"/>
          <w:kern w:val="0"/>
          <w:sz w:val="32"/>
          <w:szCs w:val="32"/>
        </w:rPr>
      </w:pPr>
    </w:p>
    <w:p>
      <w:pPr>
        <w:pStyle w:val="2"/>
        <w:spacing w:before="0" w:after="0" w:line="600" w:lineRule="exact"/>
        <w:jc w:val="left"/>
        <w:rPr>
          <w:rFonts w:ascii="仿宋" w:eastAsia="仿宋" w:cs="仿宋"/>
          <w:b w:val="0"/>
          <w:bCs w:val="0"/>
          <w:kern w:val="0"/>
          <w:sz w:val="32"/>
          <w:szCs w:val="32"/>
        </w:rPr>
      </w:pPr>
      <w:r>
        <w:rPr>
          <w:rFonts w:hint="eastAsia" w:ascii="仿宋" w:eastAsia="仿宋" w:cs="仿宋"/>
          <w:b w:val="0"/>
          <w:bCs w:val="0"/>
          <w:kern w:val="0"/>
          <w:sz w:val="32"/>
          <w:szCs w:val="32"/>
        </w:rPr>
        <w:t>二、机构设置</w:t>
      </w:r>
    </w:p>
    <w:p>
      <w:pPr>
        <w:ind w:firstLine="640" w:firstLineChars="200"/>
        <w:rPr>
          <w:rFonts w:ascii="仿宋" w:eastAsia="仿宋" w:cs="仿宋"/>
          <w:sz w:val="32"/>
          <w:szCs w:val="32"/>
        </w:rPr>
      </w:pPr>
      <w:r>
        <w:rPr>
          <w:rFonts w:hint="eastAsia" w:ascii="仿宋" w:eastAsia="仿宋" w:cs="仿宋"/>
          <w:kern w:val="0"/>
          <w:sz w:val="32"/>
          <w:szCs w:val="32"/>
        </w:rPr>
        <w:t>从决算编报单位构成看，纳入2018 年度本部门决算汇编范围的独立核算单位（以下简称“单位”）共1个，具体情况如下：</w:t>
      </w:r>
    </w:p>
    <w:p>
      <w:pPr>
        <w:spacing w:after="0" w:line="560" w:lineRule="exact"/>
        <w:rPr>
          <w:rFonts w:ascii="仿宋" w:eastAsia="仿宋" w:cs="仿宋"/>
          <w:kern w:val="0"/>
          <w:sz w:val="32"/>
          <w:szCs w:val="32"/>
        </w:rPr>
      </w:pPr>
    </w:p>
    <w:p>
      <w:pPr>
        <w:spacing w:after="0" w:line="560" w:lineRule="exact"/>
        <w:rPr>
          <w:rFonts w:ascii="仿宋" w:eastAsia="仿宋" w:cs="仿宋"/>
          <w:kern w:val="0"/>
          <w:sz w:val="32"/>
          <w:szCs w:val="32"/>
        </w:rPr>
      </w:pPr>
    </w:p>
    <w:p>
      <w:pPr>
        <w:spacing w:after="0" w:line="560" w:lineRule="exact"/>
        <w:rPr>
          <w:rFonts w:ascii="仿宋" w:eastAsia="仿宋" w:cs="仿宋"/>
          <w:kern w:val="0"/>
          <w:sz w:val="32"/>
          <w:szCs w:val="32"/>
        </w:rPr>
      </w:pPr>
    </w:p>
    <w:p>
      <w:pPr>
        <w:jc w:val="center"/>
        <w:outlineLvl w:val="0"/>
        <w:rPr>
          <w:rFonts w:ascii="仿宋" w:eastAsia="仿宋" w:cs="仿宋"/>
          <w:sz w:val="32"/>
        </w:rPr>
      </w:pPr>
      <w:r>
        <w:rPr>
          <w:rFonts w:hint="eastAsia" w:ascii="仿宋" w:eastAsia="仿宋" w:cs="仿宋"/>
          <w:sz w:val="32"/>
        </w:rPr>
        <w:t>部门机构设置情况</w:t>
      </w:r>
    </w:p>
    <w:tbl>
      <w:tblPr>
        <w:tblStyle w:val="13"/>
        <w:tblW w:w="97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496"/>
        <w:gridCol w:w="1561"/>
        <w:gridCol w:w="1807"/>
        <w:gridCol w:w="2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3496" w:type="dxa"/>
            <w:vMerge w:val="restart"/>
            <w:noWrap/>
            <w:vAlign w:val="center"/>
          </w:tcPr>
          <w:p>
            <w:pPr>
              <w:spacing w:line="300" w:lineRule="exact"/>
              <w:jc w:val="center"/>
              <w:rPr>
                <w:rFonts w:ascii="仿宋" w:eastAsia="仿宋" w:cs="仿宋"/>
                <w:b/>
              </w:rPr>
            </w:pPr>
            <w:r>
              <w:rPr>
                <w:rFonts w:hint="eastAsia" w:ascii="仿宋" w:eastAsia="仿宋" w:cs="仿宋"/>
                <w:b/>
              </w:rPr>
              <w:t>单位名称</w:t>
            </w:r>
          </w:p>
        </w:tc>
        <w:tc>
          <w:tcPr>
            <w:tcW w:w="1561" w:type="dxa"/>
            <w:vMerge w:val="restart"/>
            <w:noWrap/>
            <w:vAlign w:val="center"/>
          </w:tcPr>
          <w:p>
            <w:pPr>
              <w:spacing w:line="300" w:lineRule="exact"/>
              <w:jc w:val="center"/>
              <w:rPr>
                <w:rFonts w:ascii="仿宋" w:eastAsia="仿宋" w:cs="仿宋"/>
                <w:b/>
              </w:rPr>
            </w:pPr>
            <w:r>
              <w:rPr>
                <w:rFonts w:hint="eastAsia" w:ascii="仿宋" w:eastAsia="仿宋" w:cs="仿宋"/>
                <w:b/>
              </w:rPr>
              <w:t>单位性质</w:t>
            </w:r>
          </w:p>
        </w:tc>
        <w:tc>
          <w:tcPr>
            <w:tcW w:w="1807" w:type="dxa"/>
            <w:vMerge w:val="restart"/>
            <w:noWrap/>
            <w:vAlign w:val="center"/>
          </w:tcPr>
          <w:p>
            <w:pPr>
              <w:spacing w:line="300" w:lineRule="exact"/>
              <w:jc w:val="center"/>
              <w:rPr>
                <w:rFonts w:ascii="仿宋" w:eastAsia="仿宋" w:cs="仿宋"/>
                <w:b/>
              </w:rPr>
            </w:pPr>
            <w:r>
              <w:rPr>
                <w:rFonts w:hint="eastAsia" w:ascii="仿宋" w:eastAsia="仿宋" w:cs="仿宋"/>
                <w:b/>
              </w:rPr>
              <w:t>单位规格</w:t>
            </w:r>
          </w:p>
        </w:tc>
        <w:tc>
          <w:tcPr>
            <w:tcW w:w="2906" w:type="dxa"/>
            <w:vMerge w:val="restart"/>
            <w:noWrap/>
            <w:vAlign w:val="center"/>
          </w:tcPr>
          <w:p>
            <w:pPr>
              <w:spacing w:line="300" w:lineRule="exact"/>
              <w:jc w:val="center"/>
              <w:rPr>
                <w:rFonts w:ascii="仿宋" w:eastAsia="仿宋" w:cs="仿宋"/>
                <w:b/>
              </w:rPr>
            </w:pPr>
            <w:r>
              <w:rPr>
                <w:rFonts w:hint="eastAsia" w:ascii="仿宋" w:eastAsia="仿宋" w:cs="仿宋"/>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84" w:hRule="atLeast"/>
          <w:tblHeader/>
          <w:jc w:val="center"/>
        </w:trPr>
        <w:tc>
          <w:tcPr>
            <w:tcW w:w="3496" w:type="dxa"/>
            <w:vMerge w:val="continue"/>
            <w:noWrap/>
            <w:vAlign w:val="center"/>
          </w:tcPr>
          <w:p/>
        </w:tc>
        <w:tc>
          <w:tcPr>
            <w:tcW w:w="1561" w:type="dxa"/>
            <w:vMerge w:val="continue"/>
            <w:noWrap/>
            <w:vAlign w:val="center"/>
          </w:tcPr>
          <w:p/>
        </w:tc>
        <w:tc>
          <w:tcPr>
            <w:tcW w:w="1807" w:type="dxa"/>
            <w:vMerge w:val="continue"/>
            <w:noWrap/>
            <w:vAlign w:val="center"/>
          </w:tcPr>
          <w:p/>
        </w:tc>
        <w:tc>
          <w:tcPr>
            <w:tcW w:w="2906" w:type="dxa"/>
            <w:vMerge w:val="continue"/>
            <w:noWrap/>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8" w:hRule="atLeast"/>
          <w:jc w:val="center"/>
        </w:trPr>
        <w:tc>
          <w:tcPr>
            <w:tcW w:w="3496" w:type="dxa"/>
            <w:noWrap/>
            <w:vAlign w:val="center"/>
          </w:tcPr>
          <w:p>
            <w:pPr>
              <w:spacing w:line="300" w:lineRule="exact"/>
              <w:jc w:val="center"/>
              <w:rPr>
                <w:rFonts w:ascii="仿宋" w:eastAsia="仿宋" w:cs="仿宋"/>
              </w:rPr>
            </w:pPr>
            <w:r>
              <w:rPr>
                <w:rFonts w:hint="eastAsia" w:ascii="仿宋" w:eastAsia="仿宋" w:cs="仿宋"/>
              </w:rPr>
              <w:t>中国共产党大城县纪律检查委员会（本级）</w:t>
            </w:r>
          </w:p>
        </w:tc>
        <w:tc>
          <w:tcPr>
            <w:tcW w:w="1561" w:type="dxa"/>
            <w:noWrap/>
            <w:vAlign w:val="center"/>
          </w:tcPr>
          <w:p>
            <w:pPr>
              <w:spacing w:line="300" w:lineRule="exact"/>
              <w:jc w:val="center"/>
              <w:rPr>
                <w:rFonts w:ascii="仿宋" w:eastAsia="仿宋" w:cs="仿宋"/>
              </w:rPr>
            </w:pPr>
            <w:r>
              <w:rPr>
                <w:rFonts w:hint="eastAsia" w:ascii="仿宋" w:eastAsia="仿宋" w:cs="仿宋"/>
              </w:rPr>
              <w:t>行政单位</w:t>
            </w:r>
          </w:p>
        </w:tc>
        <w:tc>
          <w:tcPr>
            <w:tcW w:w="1807" w:type="dxa"/>
            <w:noWrap/>
            <w:vAlign w:val="center"/>
          </w:tcPr>
          <w:p>
            <w:pPr>
              <w:spacing w:line="300" w:lineRule="exact"/>
              <w:jc w:val="center"/>
              <w:rPr>
                <w:rFonts w:ascii="仿宋" w:eastAsia="仿宋" w:cs="仿宋"/>
              </w:rPr>
            </w:pPr>
            <w:r>
              <w:rPr>
                <w:rFonts w:hint="eastAsia" w:ascii="仿宋" w:eastAsia="仿宋" w:cs="仿宋"/>
              </w:rPr>
              <w:t>正科级</w:t>
            </w:r>
          </w:p>
        </w:tc>
        <w:tc>
          <w:tcPr>
            <w:tcW w:w="2906" w:type="dxa"/>
            <w:noWrap/>
            <w:vAlign w:val="center"/>
          </w:tcPr>
          <w:p>
            <w:pPr>
              <w:spacing w:line="300" w:lineRule="exact"/>
              <w:jc w:val="center"/>
              <w:rPr>
                <w:rFonts w:ascii="仿宋" w:eastAsia="仿宋" w:cs="仿宋"/>
              </w:rPr>
            </w:pPr>
            <w:r>
              <w:rPr>
                <w:rFonts w:hint="eastAsia" w:ascii="仿宋" w:eastAsia="仿宋" w:cs="仿宋"/>
              </w:rPr>
              <w:t>财政拨款</w:t>
            </w:r>
          </w:p>
        </w:tc>
      </w:tr>
    </w:tbl>
    <w:p>
      <w:pPr>
        <w:widowControl/>
        <w:spacing w:line="1200" w:lineRule="exact"/>
        <w:jc w:val="center"/>
        <w:rPr>
          <w:rFonts w:ascii="仿宋" w:eastAsia="仿宋" w:cs="仿宋"/>
          <w:color w:val="000000"/>
          <w:sz w:val="72"/>
          <w:szCs w:val="96"/>
        </w:rPr>
      </w:pPr>
    </w:p>
    <w:p>
      <w:pPr>
        <w:widowControl/>
        <w:spacing w:line="1200" w:lineRule="exact"/>
        <w:jc w:val="center"/>
        <w:rPr>
          <w:rFonts w:ascii="仿宋" w:eastAsia="仿宋" w:cs="仿宋"/>
          <w:color w:val="000000"/>
          <w:sz w:val="72"/>
          <w:szCs w:val="96"/>
        </w:rPr>
      </w:pPr>
    </w:p>
    <w:p>
      <w:pPr>
        <w:widowControl/>
        <w:spacing w:line="1200" w:lineRule="exact"/>
        <w:jc w:val="center"/>
        <w:rPr>
          <w:rFonts w:ascii="仿宋" w:eastAsia="仿宋" w:cs="仿宋"/>
          <w:color w:val="000000"/>
          <w:sz w:val="72"/>
          <w:szCs w:val="96"/>
        </w:rPr>
      </w:pPr>
    </w:p>
    <w:p>
      <w:pPr>
        <w:widowControl/>
        <w:spacing w:line="1200" w:lineRule="exact"/>
        <w:jc w:val="center"/>
        <w:rPr>
          <w:rFonts w:ascii="仿宋" w:eastAsia="仿宋" w:cs="仿宋"/>
          <w:color w:val="000000"/>
          <w:sz w:val="72"/>
          <w:szCs w:val="96"/>
        </w:rPr>
      </w:pPr>
      <w:r>
        <w:rPr>
          <w:rFonts w:hint="eastAsia" w:ascii="仿宋" w:eastAsia="仿宋" w:cs="仿宋"/>
          <w:color w:val="000000"/>
          <w:sz w:val="72"/>
          <w:szCs w:val="96"/>
        </w:rPr>
        <w:t>第二部分</w:t>
      </w:r>
    </w:p>
    <w:p>
      <w:pPr>
        <w:widowControl/>
        <w:spacing w:line="1200" w:lineRule="exact"/>
        <w:jc w:val="center"/>
        <w:rPr>
          <w:rFonts w:ascii="仿宋" w:eastAsia="仿宋" w:cs="仿宋"/>
          <w:color w:val="000000"/>
          <w:sz w:val="72"/>
          <w:szCs w:val="96"/>
        </w:rPr>
      </w:pPr>
      <w:r>
        <w:rPr>
          <w:rFonts w:hint="eastAsia" w:ascii="仿宋" w:eastAsia="仿宋" w:cs="仿宋"/>
          <w:color w:val="000000"/>
          <w:sz w:val="72"/>
          <w:szCs w:val="96"/>
        </w:rPr>
        <w:t>2018年度部门决算报表</w:t>
      </w:r>
    </w:p>
    <w:p>
      <w:pPr>
        <w:widowControl/>
        <w:spacing w:line="1200" w:lineRule="exact"/>
        <w:jc w:val="center"/>
        <w:rPr>
          <w:rFonts w:ascii="仿宋" w:eastAsia="仿宋" w:cs="仿宋"/>
          <w:color w:val="000000"/>
          <w:sz w:val="72"/>
          <w:szCs w:val="96"/>
        </w:rPr>
      </w:pPr>
      <w:r>
        <w:rPr>
          <w:rFonts w:hint="eastAsia" w:ascii="仿宋" w:eastAsia="仿宋" w:cs="仿宋"/>
          <w:color w:val="000000"/>
          <w:sz w:val="72"/>
          <w:szCs w:val="96"/>
        </w:rPr>
        <w:t>（见附表）</w:t>
      </w:r>
    </w:p>
    <w:p>
      <w:pPr>
        <w:widowControl/>
        <w:spacing w:line="1200" w:lineRule="exact"/>
        <w:jc w:val="center"/>
        <w:rPr>
          <w:rFonts w:ascii="仿宋" w:eastAsia="仿宋" w:cs="仿宋"/>
          <w:color w:val="000000"/>
          <w:sz w:val="72"/>
          <w:szCs w:val="96"/>
        </w:rPr>
      </w:pPr>
    </w:p>
    <w:p>
      <w:pPr>
        <w:widowControl/>
        <w:spacing w:line="1200" w:lineRule="exact"/>
        <w:jc w:val="center"/>
        <w:rPr>
          <w:rFonts w:ascii="仿宋" w:eastAsia="仿宋" w:cs="仿宋"/>
          <w:color w:val="000000"/>
          <w:sz w:val="72"/>
          <w:szCs w:val="96"/>
        </w:rPr>
      </w:pPr>
    </w:p>
    <w:p>
      <w:pPr>
        <w:widowControl/>
        <w:spacing w:line="560" w:lineRule="exact"/>
        <w:jc w:val="center"/>
        <w:rPr>
          <w:rFonts w:ascii="仿宋" w:eastAsia="仿宋" w:cs="仿宋"/>
          <w:bCs/>
          <w:kern w:val="0"/>
          <w:sz w:val="52"/>
          <w:szCs w:val="52"/>
        </w:rPr>
      </w:pPr>
    </w:p>
    <w:p>
      <w:pPr>
        <w:widowControl/>
        <w:spacing w:line="560" w:lineRule="exact"/>
        <w:jc w:val="center"/>
        <w:rPr>
          <w:rFonts w:ascii="仿宋" w:eastAsia="仿宋" w:cs="仿宋"/>
          <w:bCs/>
          <w:kern w:val="0"/>
          <w:sz w:val="52"/>
          <w:szCs w:val="52"/>
        </w:rPr>
      </w:pPr>
    </w:p>
    <w:p>
      <w:pPr>
        <w:tabs>
          <w:tab w:val="left" w:pos="1086"/>
        </w:tabs>
        <w:jc w:val="left"/>
        <w:rPr>
          <w:rFonts w:ascii="仿宋" w:eastAsia="仿宋" w:cs="仿宋"/>
          <w:b/>
          <w:sz w:val="28"/>
          <w:szCs w:val="28"/>
          <w:highlight w:val="yellow"/>
        </w:rPr>
        <w:sectPr>
          <w:pgSz w:w="11906" w:h="16838"/>
          <w:pgMar w:top="2098" w:right="1474" w:bottom="1984" w:left="1588" w:header="851" w:footer="992" w:gutter="0"/>
          <w:cols w:space="720" w:num="1"/>
          <w:docGrid w:type="lines" w:linePitch="312" w:charSpace="0"/>
        </w:sectPr>
      </w:pPr>
      <w:r>
        <w:rPr>
          <w:rFonts w:hint="eastAsia" w:ascii="仿宋" w:eastAsia="仿宋" w:cs="仿宋"/>
        </w:rPr>
        <w:tab/>
      </w:r>
    </w:p>
    <w:p>
      <w:pPr>
        <w:widowControl/>
        <w:spacing w:line="1200" w:lineRule="exact"/>
        <w:jc w:val="center"/>
        <w:rPr>
          <w:rFonts w:ascii="仿宋" w:eastAsia="仿宋" w:cs="仿宋"/>
          <w:color w:val="000000"/>
          <w:sz w:val="96"/>
          <w:szCs w:val="96"/>
        </w:rPr>
      </w:pPr>
    </w:p>
    <w:p>
      <w:pPr>
        <w:widowControl/>
        <w:spacing w:line="1200" w:lineRule="exact"/>
        <w:jc w:val="center"/>
        <w:rPr>
          <w:rFonts w:ascii="仿宋" w:eastAsia="仿宋" w:cs="仿宋"/>
          <w:color w:val="000000"/>
          <w:sz w:val="96"/>
          <w:szCs w:val="96"/>
        </w:rPr>
      </w:pPr>
    </w:p>
    <w:p>
      <w:pPr>
        <w:widowControl/>
        <w:spacing w:line="1200" w:lineRule="exact"/>
        <w:jc w:val="center"/>
        <w:rPr>
          <w:rFonts w:ascii="仿宋" w:eastAsia="仿宋" w:cs="仿宋"/>
          <w:color w:val="000000"/>
          <w:sz w:val="96"/>
          <w:szCs w:val="96"/>
        </w:rPr>
      </w:pPr>
    </w:p>
    <w:p>
      <w:pPr>
        <w:widowControl/>
        <w:spacing w:line="1200" w:lineRule="exact"/>
        <w:jc w:val="center"/>
        <w:rPr>
          <w:rFonts w:ascii="仿宋" w:eastAsia="仿宋" w:cs="仿宋"/>
          <w:color w:val="000000"/>
          <w:sz w:val="96"/>
          <w:szCs w:val="96"/>
        </w:rPr>
      </w:pPr>
      <w:r>
        <w:rPr>
          <w:rFonts w:hint="eastAsia" w:ascii="仿宋" w:eastAsia="仿宋" w:cs="仿宋"/>
          <w:color w:val="000000"/>
          <w:sz w:val="96"/>
          <w:szCs w:val="96"/>
        </w:rPr>
        <w:t>第三部分</w:t>
      </w:r>
    </w:p>
    <w:p>
      <w:pPr>
        <w:widowControl/>
        <w:spacing w:line="1200" w:lineRule="exact"/>
        <w:jc w:val="center"/>
        <w:rPr>
          <w:rFonts w:ascii="仿宋" w:eastAsia="仿宋" w:cs="仿宋"/>
          <w:color w:val="000000"/>
          <w:sz w:val="96"/>
          <w:szCs w:val="96"/>
        </w:rPr>
      </w:pPr>
      <w:r>
        <w:rPr>
          <w:rFonts w:hint="eastAsia" w:ascii="仿宋" w:eastAsia="仿宋" w:cs="仿宋"/>
          <w:color w:val="000000"/>
          <w:sz w:val="96"/>
          <w:szCs w:val="96"/>
        </w:rPr>
        <w:t>部门决算情况说明</w:t>
      </w: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sectPr>
          <w:pgSz w:w="11906" w:h="16838"/>
          <w:pgMar w:top="2098" w:right="1474" w:bottom="1984" w:left="1588" w:header="851" w:footer="992" w:gutter="0"/>
          <w:cols w:space="720" w:num="1"/>
          <w:docGrid w:type="lines" w:linePitch="312" w:charSpace="0"/>
        </w:sectPr>
      </w:pPr>
    </w:p>
    <w:p>
      <w:pPr>
        <w:pStyle w:val="3"/>
        <w:spacing w:before="0" w:after="0" w:line="580" w:lineRule="exact"/>
        <w:ind w:firstLine="640" w:firstLineChars="200"/>
        <w:rPr>
          <w:rFonts w:ascii="仿宋" w:eastAsia="仿宋" w:cs="仿宋"/>
          <w:b w:val="0"/>
          <w:bCs w:val="0"/>
        </w:rPr>
      </w:pPr>
    </w:p>
    <w:p>
      <w:pPr>
        <w:pStyle w:val="3"/>
        <w:spacing w:before="0" w:after="0" w:line="580" w:lineRule="exact"/>
        <w:ind w:firstLine="640" w:firstLineChars="200"/>
        <w:rPr>
          <w:rFonts w:ascii="仿宋" w:eastAsia="仿宋" w:cs="仿宋"/>
          <w:b w:val="0"/>
          <w:bCs w:val="0"/>
        </w:rPr>
      </w:pPr>
    </w:p>
    <w:p>
      <w:pPr>
        <w:pStyle w:val="3"/>
        <w:spacing w:before="0" w:after="0" w:line="580" w:lineRule="exact"/>
        <w:ind w:firstLine="640" w:firstLineChars="200"/>
        <w:rPr>
          <w:rFonts w:ascii="仿宋" w:eastAsia="仿宋" w:cs="仿宋"/>
          <w:b w:val="0"/>
          <w:bCs w:val="0"/>
        </w:rPr>
      </w:pPr>
      <w:r>
        <w:rPr>
          <w:rFonts w:hint="eastAsia" w:ascii="仿宋" w:eastAsia="仿宋" w:cs="仿宋"/>
          <w:b w:val="0"/>
          <w:bCs w:val="0"/>
        </w:rPr>
        <w:t>一、收入</w:t>
      </w:r>
      <w:r>
        <w:rPr>
          <w:rFonts w:hint="eastAsia" w:ascii="仿宋" w:eastAsia="仿宋" w:cs="仿宋"/>
          <w:b w:val="0"/>
          <w:bCs w:val="0"/>
          <w:kern w:val="0"/>
        </w:rPr>
        <w:t>支出</w:t>
      </w:r>
      <w:r>
        <w:rPr>
          <w:rFonts w:hint="eastAsia" w:ascii="仿宋" w:eastAsia="仿宋" w:cs="仿宋"/>
          <w:b w:val="0"/>
          <w:bCs w:val="0"/>
        </w:rPr>
        <w:t>决算总体情况说明</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本部门2018年度收支总计（含结转和结余）1362.33万元，支出1328.39万元，年末结转结余33.94万元。与2017年度决算相比，收入增加287.01万元，增长26.69%，主要是人员经费增加，项目资金及巡察办经费增加。支出增加253.07万元，增长23.53%，主要是人员经费增加，项目资金及巡察办经费增加。</w:t>
      </w:r>
    </w:p>
    <w:p>
      <w:pPr>
        <w:pStyle w:val="3"/>
        <w:spacing w:before="0" w:after="0" w:line="580" w:lineRule="exact"/>
        <w:ind w:firstLine="640" w:firstLineChars="200"/>
        <w:rPr>
          <w:rFonts w:ascii="仿宋" w:eastAsia="仿宋" w:cs="仿宋"/>
          <w:b w:val="0"/>
          <w:bCs w:val="0"/>
        </w:rPr>
      </w:pPr>
      <w:r>
        <w:rPr>
          <w:rFonts w:hint="eastAsia" w:ascii="仿宋" w:eastAsia="仿宋" w:cs="仿宋"/>
          <w:b w:val="0"/>
          <w:bCs w:val="0"/>
        </w:rPr>
        <w:t>二、收入决算情况说明</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本部门2018年度本年收入合计1362.33万元，其中：财政拨款收入1362.33万元，占100%。如图所示：</w:t>
      </w:r>
    </w:p>
    <w:p>
      <w:pPr>
        <w:pStyle w:val="3"/>
        <w:spacing w:before="0" w:after="0" w:line="580" w:lineRule="exact"/>
        <w:rPr>
          <w:rFonts w:ascii="仿宋" w:eastAsia="仿宋" w:cs="仿宋"/>
        </w:rPr>
      </w:pPr>
    </w:p>
    <w:p>
      <w:pPr>
        <w:adjustRightInd w:val="0"/>
        <w:snapToGrid w:val="0"/>
        <w:spacing w:line="584" w:lineRule="exact"/>
        <w:jc w:val="center"/>
        <w:rPr>
          <w:rFonts w:ascii="仿宋" w:eastAsia="仿宋" w:cs="仿宋"/>
          <w:sz w:val="32"/>
          <w:szCs w:val="32"/>
        </w:rPr>
      </w:pPr>
      <w:r>
        <w:rPr>
          <w:rFonts w:hint="eastAsia" w:ascii="仿宋" w:eastAsia="仿宋" w:cs="仿宋"/>
          <w:sz w:val="32"/>
          <w:szCs w:val="32"/>
        </w:rPr>
        <w:t>图1：收入决算结构饼状图</w:t>
      </w:r>
    </w:p>
    <w:p>
      <w:pPr>
        <w:adjustRightInd w:val="0"/>
        <w:snapToGrid w:val="0"/>
        <w:spacing w:line="584" w:lineRule="exact"/>
        <w:jc w:val="left"/>
        <w:rPr>
          <w:rFonts w:ascii="仿宋" w:eastAsia="仿宋" w:cs="仿宋"/>
          <w:sz w:val="32"/>
          <w:szCs w:val="32"/>
        </w:rPr>
      </w:pPr>
      <w:r>
        <w:rPr>
          <w:rFonts w:ascii="仿宋" w:eastAsia="仿宋" w:cs="仿宋"/>
          <w:sz w:val="32"/>
        </w:rPr>
        <mc:AlternateContent>
          <mc:Choice Requires="wps">
            <w:drawing>
              <wp:anchor distT="0" distB="0" distL="113665" distR="113665" simplePos="0" relativeHeight="251659264" behindDoc="0" locked="0" layoutInCell="1" allowOverlap="1">
                <wp:simplePos x="0" y="0"/>
                <wp:positionH relativeFrom="column">
                  <wp:posOffset>2762250</wp:posOffset>
                </wp:positionH>
                <wp:positionV relativeFrom="paragraph">
                  <wp:posOffset>222250</wp:posOffset>
                </wp:positionV>
                <wp:extent cx="2407285" cy="2526030"/>
                <wp:effectExtent l="0" t="0" r="0" b="0"/>
                <wp:wrapTopAndBottom/>
                <wp:docPr id="1" name="椭圆"/>
                <wp:cNvGraphicFramePr/>
                <a:graphic xmlns:a="http://schemas.openxmlformats.org/drawingml/2006/main">
                  <a:graphicData uri="http://schemas.microsoft.com/office/word/2010/wordprocessingShape">
                    <wps:wsp>
                      <wps:cNvSpPr/>
                      <wps:spPr>
                        <a:xfrm>
                          <a:off x="0" y="0"/>
                          <a:ext cx="2407284" cy="2526030"/>
                        </a:xfrm>
                        <a:prstGeom prst="ellipse">
                          <a:avLst/>
                        </a:prstGeom>
                        <a:solidFill>
                          <a:srgbClr val="F6C782"/>
                        </a:solidFill>
                        <a:ln w="9525" cap="flat" cmpd="sng">
                          <a:solidFill>
                            <a:srgbClr val="000000"/>
                          </a:solidFill>
                          <a:prstDash val="solid"/>
                          <a:miter/>
                        </a:ln>
                      </wps:spPr>
                      <wps:txbx>
                        <w:txbxContent>
                          <w:p>
                            <w:pPr>
                              <w:jc w:val="center"/>
                            </w:pPr>
                            <w:r>
                              <w:rPr>
                                <w:rFonts w:hint="eastAsia"/>
                              </w:rPr>
                              <w:t>财政拨款</w:t>
                            </w:r>
                          </w:p>
                          <w:p>
                            <w:pPr>
                              <w:jc w:val="center"/>
                            </w:pPr>
                          </w:p>
                          <w:p>
                            <w:pPr>
                              <w:jc w:val="center"/>
                            </w:pPr>
                            <w:r>
                              <w:rPr>
                                <w:rFonts w:hint="eastAsia"/>
                              </w:rPr>
                              <w:t>100%</w:t>
                            </w:r>
                          </w:p>
                        </w:txbxContent>
                      </wps:txbx>
                      <wps:bodyPr vert="horz" wrap="square" lIns="91440" tIns="45720" rIns="91440" bIns="45720" anchor="t" anchorCtr="0" upright="1">
                        <a:noAutofit/>
                      </wps:bodyPr>
                    </wps:wsp>
                  </a:graphicData>
                </a:graphic>
              </wp:anchor>
            </w:drawing>
          </mc:Choice>
          <mc:Fallback>
            <w:pict>
              <v:shape id="椭圆" o:spid="_x0000_s1026" o:spt="3" type="#_x0000_t3" style="position:absolute;left:0pt;margin-left:217.5pt;margin-top:17.5pt;height:198.9pt;width:189.55pt;mso-wrap-distance-bottom:0pt;mso-wrap-distance-top:0pt;z-index:251659264;mso-width-relative:page;mso-height-relative:page;" fillcolor="#F6C782" filled="t" stroked="t" coordsize="21600,21600" o:gfxdata="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WWmmvYAAAACgEAAA8AAAAAAAAAAQAgAAAAIgAAAGRycy9kb3ducmV2LnhtbFBLAQIUABQA&#10;AAAIAIdO4kCy1jWPKQIAAFgEAAAOAAAAAAAAAAEAIAAAACcBAABkcnMvZTJvRG9jLnhtbFBLBQYA&#10;AAAABgAGAFkBAADCBQAAAAA=&#10;">
                <v:fill on="t" focussize="0,0"/>
                <v:stroke color="#000000" joinstyle="miter"/>
                <v:imagedata o:title=""/>
                <o:lock v:ext="edit" aspectratio="f"/>
                <v:textbox>
                  <w:txbxContent>
                    <w:p>
                      <w:pPr>
                        <w:jc w:val="center"/>
                      </w:pPr>
                      <w:r>
                        <w:rPr>
                          <w:rFonts w:hint="eastAsia"/>
                        </w:rPr>
                        <w:t>财政拨款</w:t>
                      </w:r>
                    </w:p>
                    <w:p>
                      <w:pPr>
                        <w:jc w:val="center"/>
                      </w:pPr>
                    </w:p>
                    <w:p>
                      <w:pPr>
                        <w:jc w:val="center"/>
                      </w:pPr>
                      <w:r>
                        <w:rPr>
                          <w:rFonts w:hint="eastAsia"/>
                        </w:rPr>
                        <w:t>100%</w:t>
                      </w:r>
                    </w:p>
                  </w:txbxContent>
                </v:textbox>
                <w10:wrap type="topAndBottom"/>
              </v:shape>
            </w:pict>
          </mc:Fallback>
        </mc:AlternateContent>
      </w:r>
    </w:p>
    <w:p>
      <w:pPr>
        <w:pStyle w:val="3"/>
        <w:spacing w:before="0" w:after="0" w:line="580" w:lineRule="exact"/>
        <w:rPr>
          <w:rFonts w:ascii="仿宋" w:eastAsia="仿宋" w:cs="仿宋"/>
          <w:b w:val="0"/>
          <w:bCs w:val="0"/>
        </w:rPr>
      </w:pPr>
      <w:r>
        <w:rPr>
          <w:rFonts w:hint="eastAsia" w:ascii="仿宋" w:eastAsia="仿宋" w:cs="仿宋"/>
          <w:b w:val="0"/>
          <w:bCs w:val="0"/>
        </w:rPr>
        <w:t>三、支出决算情况说明</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本部门2018年度本年支出合计1328.39万元，其中：基本支出1001.02万元，占75.35%；项目支出327.36万元，占24.65%。如图所示：</w:t>
      </w:r>
    </w:p>
    <w:p>
      <w:pPr>
        <w:adjustRightInd w:val="0"/>
        <w:snapToGrid w:val="0"/>
        <w:spacing w:after="0" w:line="580" w:lineRule="exact"/>
        <w:jc w:val="center"/>
        <w:rPr>
          <w:rFonts w:ascii="仿宋" w:eastAsia="仿宋" w:cs="仿宋"/>
          <w:sz w:val="32"/>
          <w:szCs w:val="32"/>
        </w:rPr>
      </w:pPr>
      <w:r>
        <w:rPr>
          <w:rFonts w:hint="eastAsia" w:ascii="仿宋" w:eastAsia="仿宋" w:cs="仿宋"/>
          <w:sz w:val="32"/>
          <w:szCs w:val="32"/>
        </w:rPr>
        <w:t>图2：支出决算结构饼状图</w:t>
      </w:r>
    </w:p>
    <w:p>
      <w:pPr>
        <w:adjustRightInd w:val="0"/>
        <w:snapToGrid w:val="0"/>
        <w:spacing w:after="0" w:line="580" w:lineRule="exact"/>
        <w:jc w:val="center"/>
        <w:rPr>
          <w:rFonts w:ascii="仿宋" w:eastAsia="仿宋" w:cs="仿宋"/>
          <w:sz w:val="32"/>
          <w:szCs w:val="32"/>
        </w:rPr>
      </w:pPr>
    </w:p>
    <w:p>
      <w:pPr>
        <w:rPr>
          <w:rFonts w:ascii="仿宋" w:eastAsia="仿宋" w:cs="仿宋"/>
        </w:rPr>
      </w:pPr>
    </w:p>
    <w:p>
      <w:pPr>
        <w:rPr>
          <w:rFonts w:ascii="仿宋" w:eastAsia="仿宋" w:cs="仿宋"/>
        </w:rPr>
      </w:pPr>
      <w:r>
        <w:rPr>
          <w:rFonts w:hint="eastAsia" w:ascii="仿宋" w:eastAsia="仿宋" w:cs="仿宋"/>
        </w:rPr>
        <w:drawing>
          <wp:inline distT="0" distB="0" distL="114300" distR="114300">
            <wp:extent cx="8139430" cy="420306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rFonts w:ascii="仿宋" w:eastAsia="仿宋" w:cs="仿宋"/>
        </w:rPr>
      </w:pPr>
    </w:p>
    <w:p>
      <w:pPr>
        <w:pStyle w:val="3"/>
        <w:spacing w:before="0" w:after="0" w:line="580" w:lineRule="exact"/>
        <w:ind w:firstLine="640" w:firstLineChars="200"/>
        <w:rPr>
          <w:rFonts w:ascii="仿宋" w:eastAsia="仿宋" w:cs="仿宋"/>
          <w:b w:val="0"/>
          <w:bCs w:val="0"/>
        </w:rPr>
      </w:pPr>
    </w:p>
    <w:p>
      <w:pPr>
        <w:pStyle w:val="3"/>
        <w:spacing w:before="0" w:after="0" w:line="580" w:lineRule="exact"/>
        <w:ind w:firstLine="640" w:firstLineChars="200"/>
        <w:rPr>
          <w:rFonts w:ascii="仿宋" w:eastAsia="仿宋" w:cs="仿宋"/>
          <w:b w:val="0"/>
          <w:bCs w:val="0"/>
        </w:rPr>
      </w:pPr>
    </w:p>
    <w:p>
      <w:pPr>
        <w:pStyle w:val="3"/>
        <w:spacing w:before="0" w:after="0" w:line="580" w:lineRule="exact"/>
        <w:rPr>
          <w:rFonts w:ascii="仿宋" w:eastAsia="仿宋" w:cs="仿宋"/>
          <w:b w:val="0"/>
          <w:bCs w:val="0"/>
        </w:rPr>
      </w:pPr>
    </w:p>
    <w:p>
      <w:pPr>
        <w:pStyle w:val="3"/>
        <w:spacing w:before="0" w:after="0" w:line="580" w:lineRule="exact"/>
        <w:rPr>
          <w:rFonts w:ascii="仿宋" w:eastAsia="仿宋" w:cs="仿宋"/>
          <w:b w:val="0"/>
          <w:bCs w:val="0"/>
        </w:rPr>
      </w:pPr>
      <w:r>
        <w:rPr>
          <w:rFonts w:hint="eastAsia" w:ascii="仿宋" w:eastAsia="仿宋" w:cs="仿宋"/>
          <w:b w:val="0"/>
          <w:bCs w:val="0"/>
        </w:rPr>
        <w:t>四、</w:t>
      </w:r>
      <w:r>
        <w:rPr>
          <w:rFonts w:hint="eastAsia" w:ascii="仿宋" w:eastAsia="仿宋" w:cs="仿宋"/>
          <w:b w:val="0"/>
          <w:bCs w:val="0"/>
          <w:kern w:val="0"/>
        </w:rPr>
        <w:t>财政</w:t>
      </w:r>
      <w:r>
        <w:rPr>
          <w:rFonts w:hint="eastAsia" w:ascii="仿宋" w:eastAsia="仿宋" w:cs="仿宋"/>
          <w:b w:val="0"/>
          <w:bCs w:val="0"/>
        </w:rPr>
        <w:t>拨款收入支出决算情况说明</w:t>
      </w:r>
    </w:p>
    <w:p>
      <w:pPr>
        <w:spacing w:after="0" w:line="580" w:lineRule="exact"/>
        <w:ind w:firstLine="643" w:firstLineChars="200"/>
        <w:rPr>
          <w:rFonts w:ascii="仿宋" w:eastAsia="仿宋" w:cs="仿宋"/>
          <w:b/>
          <w:bCs/>
          <w:sz w:val="32"/>
          <w:szCs w:val="32"/>
        </w:rPr>
      </w:pPr>
      <w:r>
        <w:rPr>
          <w:rFonts w:hint="eastAsia" w:ascii="仿宋" w:eastAsia="仿宋" w:cs="仿宋"/>
          <w:b/>
          <w:bCs/>
          <w:sz w:val="32"/>
          <w:szCs w:val="32"/>
        </w:rPr>
        <w:t>（一）财政拨款收支与2017 年度决算对比情况</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本部门2018年度形成的财政拨款收支均为一般公共预算财政拨款，其中一般公共预算财政拨款本年收入1362.33万元,比2017年度增加287.01万元，增长26.69%，主要是人员经费增加，项目资金及巡察办经费增加。本年支出1328.39万元，增加253.07万元，增长23.53%，主要是人员经费增加，项目资金及巡察办经费增加。</w:t>
      </w:r>
    </w:p>
    <w:p>
      <w:pPr>
        <w:adjustRightInd w:val="0"/>
        <w:snapToGrid w:val="0"/>
        <w:spacing w:after="0" w:line="580" w:lineRule="exact"/>
        <w:jc w:val="center"/>
        <w:rPr>
          <w:rFonts w:ascii="仿宋" w:eastAsia="仿宋" w:cs="仿宋"/>
          <w:sz w:val="32"/>
          <w:szCs w:val="32"/>
        </w:rPr>
      </w:pPr>
      <w:r>
        <w:rPr>
          <w:rFonts w:hint="eastAsia" w:ascii="仿宋" w:eastAsia="仿宋" w:cs="仿宋"/>
          <w:sz w:val="32"/>
          <w:szCs w:val="32"/>
        </w:rPr>
        <w:t>图3：财政拨款收支情况</w:t>
      </w:r>
    </w:p>
    <w:p>
      <w:pPr>
        <w:pStyle w:val="3"/>
        <w:spacing w:before="0" w:after="0" w:line="580" w:lineRule="exact"/>
        <w:rPr>
          <w:rFonts w:ascii="仿宋" w:eastAsia="仿宋" w:cs="仿宋"/>
        </w:rPr>
      </w:pPr>
    </w:p>
    <w:p>
      <w:pPr>
        <w:adjustRightInd w:val="0"/>
        <w:snapToGrid w:val="0"/>
        <w:spacing w:after="0" w:line="580" w:lineRule="exact"/>
        <w:jc w:val="center"/>
        <w:rPr>
          <w:rFonts w:ascii="仿宋" w:eastAsia="仿宋" w:cs="仿宋"/>
          <w:sz w:val="32"/>
          <w:szCs w:val="32"/>
        </w:rPr>
      </w:pPr>
    </w:p>
    <w:p>
      <w:pPr>
        <w:adjustRightInd w:val="0"/>
        <w:snapToGrid w:val="0"/>
        <w:spacing w:after="0" w:line="580" w:lineRule="exact"/>
        <w:ind w:firstLine="640" w:firstLineChars="200"/>
        <w:rPr>
          <w:rFonts w:ascii="仿宋" w:eastAsia="仿宋" w:cs="仿宋"/>
          <w:sz w:val="32"/>
          <w:szCs w:val="32"/>
        </w:rPr>
      </w:pPr>
    </w:p>
    <w:p>
      <w:pPr>
        <w:adjustRightInd w:val="0"/>
        <w:snapToGrid w:val="0"/>
        <w:spacing w:after="0" w:line="580" w:lineRule="exact"/>
        <w:ind w:firstLine="640" w:firstLineChars="200"/>
        <w:rPr>
          <w:rFonts w:ascii="仿宋" w:eastAsia="仿宋" w:cs="仿宋"/>
          <w:sz w:val="32"/>
          <w:szCs w:val="32"/>
        </w:rPr>
      </w:pPr>
    </w:p>
    <w:p>
      <w:pPr>
        <w:adjustRightInd w:val="0"/>
        <w:snapToGrid w:val="0"/>
        <w:spacing w:after="0" w:line="580" w:lineRule="exact"/>
        <w:ind w:firstLine="640" w:firstLineChars="200"/>
        <w:rPr>
          <w:rFonts w:ascii="仿宋" w:eastAsia="仿宋" w:cs="仿宋"/>
          <w:sz w:val="32"/>
          <w:szCs w:val="32"/>
        </w:rPr>
      </w:pP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drawing>
          <wp:anchor distT="0" distB="0" distL="114300" distR="114300" simplePos="0" relativeHeight="251659264" behindDoc="0" locked="0" layoutInCell="1" allowOverlap="1">
            <wp:simplePos x="0" y="0"/>
            <wp:positionH relativeFrom="column">
              <wp:posOffset>971550</wp:posOffset>
            </wp:positionH>
            <wp:positionV relativeFrom="paragraph">
              <wp:posOffset>-6017895</wp:posOffset>
            </wp:positionV>
            <wp:extent cx="6569710" cy="7647940"/>
            <wp:effectExtent l="0" t="0" r="0" b="0"/>
            <wp:wrapTopAndBottom/>
            <wp:docPr id="5"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 w:eastAsia="仿宋" w:cs="仿宋"/>
          <w:sz w:val="32"/>
          <w:szCs w:val="32"/>
        </w:rPr>
      </w:pPr>
    </w:p>
    <w:p>
      <w:pPr>
        <w:adjustRightInd w:val="0"/>
        <w:snapToGrid w:val="0"/>
        <w:spacing w:after="0" w:line="580" w:lineRule="exact"/>
        <w:ind w:firstLine="640" w:firstLineChars="200"/>
        <w:rPr>
          <w:rFonts w:ascii="仿宋" w:eastAsia="仿宋" w:cs="仿宋"/>
          <w:sz w:val="32"/>
          <w:szCs w:val="32"/>
        </w:rPr>
      </w:pPr>
    </w:p>
    <w:p>
      <w:pPr>
        <w:spacing w:after="0" w:line="580" w:lineRule="exact"/>
        <w:ind w:firstLine="643" w:firstLineChars="200"/>
        <w:rPr>
          <w:rFonts w:ascii="仿宋" w:eastAsia="仿宋" w:cs="仿宋"/>
          <w:b/>
          <w:bCs/>
          <w:sz w:val="32"/>
          <w:szCs w:val="32"/>
        </w:rPr>
      </w:pPr>
      <w:r>
        <w:rPr>
          <w:rFonts w:hint="eastAsia" w:ascii="仿宋" w:eastAsia="仿宋" w:cs="仿宋"/>
          <w:b/>
          <w:bCs/>
          <w:sz w:val="32"/>
          <w:szCs w:val="32"/>
        </w:rPr>
        <w:t>（二）财政拨款收支与年初预算数对比情况</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本部门2018年度一般公共预算财政拨款收入1362.33万元，完成年初预算的131.3%,比年初预算增加324.79万元，决算数大于预算数主要是人员经费增加，项目资金及巡察办经费增加。本年支出1328.39万元。完成年初预算的128.03%,比年初预算增加290.85万元，主要是人员经费增加，项目资金及巡察办经费增加。</w:t>
      </w:r>
    </w:p>
    <w:p>
      <w:pPr>
        <w:adjustRightInd w:val="0"/>
        <w:snapToGrid w:val="0"/>
        <w:spacing w:after="0" w:line="580" w:lineRule="exact"/>
        <w:ind w:firstLine="640" w:firstLineChars="200"/>
        <w:rPr>
          <w:rFonts w:ascii="仿宋" w:eastAsia="仿宋" w:cs="仿宋"/>
          <w:sz w:val="32"/>
          <w:szCs w:val="32"/>
        </w:rPr>
      </w:pPr>
    </w:p>
    <w:p>
      <w:pPr>
        <w:adjustRightInd w:val="0"/>
        <w:snapToGrid w:val="0"/>
        <w:spacing w:after="0" w:line="580" w:lineRule="exact"/>
        <w:jc w:val="center"/>
        <w:rPr>
          <w:rFonts w:ascii="仿宋" w:eastAsia="仿宋" w:cs="仿宋"/>
          <w:sz w:val="32"/>
          <w:szCs w:val="32"/>
        </w:rPr>
      </w:pPr>
      <w:r>
        <w:rPr>
          <w:rFonts w:hint="eastAsia" w:ascii="仿宋" w:eastAsia="仿宋" w:cs="仿宋"/>
          <w:sz w:val="32"/>
          <w:szCs w:val="32"/>
        </w:rPr>
        <w:t>图4：财政拨款收支预决算对比情况</w:t>
      </w:r>
    </w:p>
    <w:p>
      <w:pPr>
        <w:adjustRightInd w:val="0"/>
        <w:snapToGrid w:val="0"/>
        <w:spacing w:after="0" w:line="580" w:lineRule="exact"/>
        <w:jc w:val="center"/>
        <w:rPr>
          <w:rFonts w:ascii="仿宋" w:eastAsia="仿宋" w:cs="仿宋"/>
          <w:sz w:val="32"/>
          <w:szCs w:val="32"/>
        </w:rPr>
      </w:pPr>
    </w:p>
    <w:p>
      <w:pPr>
        <w:adjustRightInd w:val="0"/>
        <w:snapToGrid w:val="0"/>
        <w:spacing w:after="0" w:line="580" w:lineRule="exact"/>
        <w:ind w:firstLine="640" w:firstLineChars="200"/>
        <w:rPr>
          <w:rFonts w:ascii="仿宋" w:eastAsia="仿宋" w:cs="仿宋"/>
          <w:sz w:val="32"/>
          <w:szCs w:val="32"/>
          <w:highlight w:val="yellow"/>
        </w:rPr>
      </w:pPr>
      <w:r>
        <w:rPr>
          <w:rFonts w:hint="eastAsia" w:ascii="仿宋" w:eastAsia="仿宋" w:cs="仿宋"/>
          <w:sz w:val="32"/>
          <w:szCs w:val="32"/>
          <w:highlight w:val="yellow"/>
        </w:rPr>
        <w:drawing>
          <wp:anchor distT="0" distB="0" distL="114300" distR="114300" simplePos="0" relativeHeight="251659264" behindDoc="0" locked="0" layoutInCell="1" allowOverlap="1">
            <wp:simplePos x="0" y="0"/>
            <wp:positionH relativeFrom="column">
              <wp:posOffset>-1011555</wp:posOffset>
            </wp:positionH>
            <wp:positionV relativeFrom="paragraph">
              <wp:posOffset>-3913505</wp:posOffset>
            </wp:positionV>
            <wp:extent cx="7889875" cy="6989445"/>
            <wp:effectExtent l="0" t="0" r="0" b="0"/>
            <wp:wrapTopAndBottom/>
            <wp:docPr id="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640" w:firstLineChars="200"/>
        <w:rPr>
          <w:rFonts w:ascii="仿宋" w:eastAsia="仿宋" w:cs="仿宋"/>
          <w:sz w:val="32"/>
          <w:szCs w:val="32"/>
          <w:highlight w:val="yellow"/>
        </w:rPr>
      </w:pPr>
    </w:p>
    <w:p>
      <w:pPr>
        <w:numPr>
          <w:ilvl w:val="0"/>
          <w:numId w:val="1"/>
        </w:numPr>
        <w:adjustRightInd w:val="0"/>
        <w:snapToGrid w:val="0"/>
        <w:spacing w:after="0" w:line="580" w:lineRule="exact"/>
        <w:ind w:left="420" w:leftChars="200"/>
        <w:rPr>
          <w:rFonts w:ascii="仿宋" w:eastAsia="仿宋" w:cs="仿宋"/>
          <w:b/>
          <w:bCs/>
          <w:sz w:val="32"/>
          <w:szCs w:val="32"/>
        </w:rPr>
      </w:pPr>
      <w:r>
        <w:rPr>
          <w:rFonts w:hint="eastAsia" w:ascii="仿宋" w:eastAsia="仿宋" w:cs="仿宋"/>
          <w:b/>
          <w:bCs/>
          <w:sz w:val="32"/>
          <w:szCs w:val="32"/>
        </w:rPr>
        <w:t>财政拨款支出决算结构情况。</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2018 年度财政拨款支出1328.39万元，主要用于以下方面一般公共服务（类）支出1206.81万元，占90.84%；社会保障和就业（类）支出82.43万元，占6.21%；医疗卫生与计划生育（类）支出39.15万元，占2.95%。</w:t>
      </w:r>
    </w:p>
    <w:p>
      <w:pPr>
        <w:adjustRightInd w:val="0"/>
        <w:snapToGrid w:val="0"/>
        <w:spacing w:after="0" w:line="580" w:lineRule="exact"/>
        <w:jc w:val="center"/>
        <w:rPr>
          <w:rFonts w:ascii="仿宋" w:eastAsia="仿宋" w:cs="仿宋"/>
          <w:sz w:val="32"/>
          <w:szCs w:val="32"/>
        </w:rPr>
      </w:pPr>
      <w:r>
        <w:rPr>
          <w:rFonts w:hint="eastAsia" w:ascii="仿宋" w:eastAsia="仿宋" w:cs="仿宋"/>
          <w:sz w:val="32"/>
          <w:szCs w:val="32"/>
        </w:rPr>
        <w:t>图5：财政拨款支出决算结构（按功能分类）</w:t>
      </w:r>
    </w:p>
    <w:p>
      <w:pPr>
        <w:adjustRightInd w:val="0"/>
        <w:snapToGrid w:val="0"/>
        <w:spacing w:after="0" w:line="580" w:lineRule="exact"/>
        <w:jc w:val="center"/>
        <w:rPr>
          <w:rFonts w:ascii="仿宋" w:eastAsia="仿宋" w:cs="仿宋"/>
          <w:sz w:val="32"/>
          <w:szCs w:val="32"/>
        </w:rPr>
      </w:pPr>
    </w:p>
    <w:p>
      <w:pPr>
        <w:adjustRightInd w:val="0"/>
        <w:snapToGrid w:val="0"/>
        <w:spacing w:after="0" w:line="580" w:lineRule="exact"/>
        <w:jc w:val="center"/>
        <w:rPr>
          <w:rFonts w:ascii="仿宋" w:eastAsia="仿宋" w:cs="仿宋"/>
          <w:sz w:val="32"/>
          <w:szCs w:val="32"/>
        </w:rPr>
      </w:pPr>
    </w:p>
    <w:p>
      <w:pPr>
        <w:adjustRightInd w:val="0"/>
        <w:snapToGrid w:val="0"/>
        <w:spacing w:after="0" w:line="580" w:lineRule="exact"/>
        <w:jc w:val="center"/>
        <w:rPr>
          <w:rFonts w:ascii="仿宋" w:eastAsia="仿宋" w:cs="仿宋"/>
          <w:sz w:val="32"/>
          <w:szCs w:val="32"/>
        </w:rPr>
      </w:pPr>
    </w:p>
    <w:p>
      <w:pPr>
        <w:adjustRightInd w:val="0"/>
        <w:snapToGrid w:val="0"/>
        <w:spacing w:after="0" w:line="580" w:lineRule="exact"/>
        <w:rPr>
          <w:rFonts w:ascii="仿宋" w:eastAsia="仿宋" w:cs="仿宋"/>
          <w:b/>
          <w:bCs/>
          <w:sz w:val="32"/>
          <w:szCs w:val="32"/>
        </w:rPr>
      </w:pPr>
    </w:p>
    <w:p>
      <w:pPr>
        <w:adjustRightInd w:val="0"/>
        <w:snapToGrid w:val="0"/>
        <w:spacing w:after="0" w:line="580" w:lineRule="exact"/>
        <w:rPr>
          <w:rFonts w:ascii="仿宋" w:eastAsia="仿宋" w:cs="仿宋"/>
          <w:b/>
          <w:bCs/>
          <w:sz w:val="32"/>
          <w:szCs w:val="32"/>
        </w:rPr>
      </w:pPr>
    </w:p>
    <w:p>
      <w:pPr>
        <w:adjustRightInd w:val="0"/>
        <w:snapToGrid w:val="0"/>
        <w:spacing w:after="0" w:line="580" w:lineRule="exact"/>
        <w:rPr>
          <w:rFonts w:ascii="仿宋" w:eastAsia="仿宋" w:cs="仿宋"/>
          <w:b/>
          <w:bCs/>
          <w:sz w:val="32"/>
          <w:szCs w:val="32"/>
        </w:rPr>
      </w:pPr>
    </w:p>
    <w:p>
      <w:pPr>
        <w:adjustRightInd w:val="0"/>
        <w:snapToGrid w:val="0"/>
        <w:spacing w:after="0" w:line="580" w:lineRule="exact"/>
        <w:rPr>
          <w:rFonts w:ascii="仿宋" w:eastAsia="仿宋" w:cs="仿宋"/>
          <w:b/>
          <w:bCs/>
          <w:sz w:val="32"/>
          <w:szCs w:val="32"/>
        </w:rPr>
      </w:pPr>
      <w:r>
        <w:rPr>
          <w:rFonts w:hint="eastAsia" w:ascii="仿宋" w:eastAsia="仿宋" w:cs="仿宋"/>
          <w:b/>
          <w:bCs/>
          <w:sz w:val="32"/>
          <w:szCs w:val="32"/>
        </w:rPr>
        <w:drawing>
          <wp:anchor distT="0" distB="0" distL="114300" distR="114300" simplePos="0" relativeHeight="251659264" behindDoc="0" locked="0" layoutInCell="1" allowOverlap="1">
            <wp:simplePos x="0" y="0"/>
            <wp:positionH relativeFrom="column">
              <wp:posOffset>267335</wp:posOffset>
            </wp:positionH>
            <wp:positionV relativeFrom="paragraph">
              <wp:posOffset>746760</wp:posOffset>
            </wp:positionV>
            <wp:extent cx="7651750" cy="3870325"/>
            <wp:effectExtent l="0" t="0" r="0" b="0"/>
            <wp:wrapTopAndBottom/>
            <wp:docPr id="7"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adjustRightInd w:val="0"/>
        <w:snapToGrid w:val="0"/>
        <w:spacing w:after="0" w:line="580" w:lineRule="exact"/>
        <w:rPr>
          <w:rFonts w:ascii="仿宋" w:eastAsia="仿宋" w:cs="仿宋"/>
          <w:b/>
          <w:bCs/>
          <w:sz w:val="32"/>
          <w:szCs w:val="32"/>
        </w:rPr>
      </w:pPr>
    </w:p>
    <w:p>
      <w:pPr>
        <w:adjustRightInd w:val="0"/>
        <w:snapToGrid w:val="0"/>
        <w:spacing w:after="0" w:line="580" w:lineRule="exact"/>
        <w:rPr>
          <w:rFonts w:ascii="仿宋" w:eastAsia="仿宋" w:cs="仿宋"/>
          <w:b/>
          <w:bCs/>
          <w:sz w:val="32"/>
          <w:szCs w:val="32"/>
        </w:rPr>
      </w:pPr>
    </w:p>
    <w:p>
      <w:pPr>
        <w:adjustRightInd w:val="0"/>
        <w:snapToGrid w:val="0"/>
        <w:spacing w:after="0" w:line="580" w:lineRule="exact"/>
        <w:rPr>
          <w:rFonts w:ascii="仿宋" w:eastAsia="仿宋" w:cs="仿宋"/>
          <w:b/>
          <w:bCs/>
          <w:sz w:val="32"/>
          <w:szCs w:val="32"/>
        </w:rPr>
      </w:pPr>
    </w:p>
    <w:p>
      <w:pPr>
        <w:adjustRightInd w:val="0"/>
        <w:snapToGrid w:val="0"/>
        <w:spacing w:after="0" w:line="580" w:lineRule="exact"/>
        <w:ind w:left="420" w:leftChars="200"/>
        <w:rPr>
          <w:rFonts w:ascii="仿宋" w:eastAsia="仿宋" w:cs="仿宋"/>
          <w:b/>
          <w:bCs/>
          <w:sz w:val="32"/>
          <w:szCs w:val="32"/>
        </w:rPr>
      </w:pPr>
      <w:r>
        <w:rPr>
          <w:rFonts w:hint="eastAsia" w:ascii="仿宋" w:eastAsia="仿宋" w:cs="仿宋"/>
          <w:b/>
          <w:bCs/>
          <w:sz w:val="32"/>
          <w:szCs w:val="32"/>
        </w:rPr>
        <w:t>（四）一般公共预算财政拨款基本支出决算情况说明</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2018 年度一般公共预算财政拨款基本支出情况，其中：人员经费784.61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216.41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等。</w:t>
      </w:r>
    </w:p>
    <w:p>
      <w:pPr>
        <w:pStyle w:val="3"/>
        <w:spacing w:before="0" w:after="0" w:line="580" w:lineRule="exact"/>
        <w:ind w:firstLine="643" w:firstLineChars="200"/>
        <w:rPr>
          <w:rFonts w:ascii="仿宋" w:eastAsia="仿宋" w:cs="仿宋"/>
          <w:color w:val="000000"/>
        </w:rPr>
      </w:pPr>
      <w:r>
        <w:rPr>
          <w:rFonts w:hint="eastAsia" w:ascii="仿宋" w:eastAsia="仿宋" w:cs="仿宋"/>
        </w:rPr>
        <w:t>五、一般公共预算财政拨款“三公” 经费支出决算情况说明</w:t>
      </w:r>
    </w:p>
    <w:p>
      <w:pPr>
        <w:adjustRightInd w:val="0"/>
        <w:snapToGrid w:val="0"/>
        <w:spacing w:line="584" w:lineRule="exact"/>
        <w:ind w:firstLine="640" w:firstLineChars="200"/>
        <w:rPr>
          <w:rFonts w:ascii="仿宋" w:eastAsia="仿宋" w:cs="仿宋"/>
          <w:sz w:val="32"/>
          <w:szCs w:val="32"/>
          <w:highlight w:val="yellow"/>
        </w:rPr>
      </w:pPr>
      <w:r>
        <w:rPr>
          <w:rFonts w:hint="eastAsia" w:ascii="仿宋" w:eastAsia="仿宋" w:cs="仿宋"/>
          <w:sz w:val="32"/>
          <w:szCs w:val="32"/>
        </w:rPr>
        <w:t>本部门2018年度一般公共预算财政拨款“三公”经费支出53万元，</w:t>
      </w:r>
      <w:r>
        <w:rPr>
          <w:rFonts w:ascii="仿宋" w:eastAsia="仿宋" w:cs="仿宋"/>
          <w:sz w:val="32"/>
          <w:szCs w:val="32"/>
        </w:rPr>
        <w:t>比年初预算增加0万元，增加0%，原因是</w:t>
      </w:r>
      <w:r>
        <w:rPr>
          <w:rFonts w:hint="eastAsia" w:ascii="仿宋" w:eastAsia="仿宋" w:cs="仿宋"/>
          <w:sz w:val="32"/>
          <w:szCs w:val="32"/>
        </w:rPr>
        <w:t>较年初预算无增减变化</w:t>
      </w:r>
      <w:r>
        <w:rPr>
          <w:rFonts w:ascii="仿宋" w:eastAsia="仿宋" w:cs="仿宋"/>
          <w:sz w:val="32"/>
          <w:szCs w:val="32"/>
        </w:rPr>
        <w:t>；比</w:t>
      </w:r>
      <w:r>
        <w:rPr>
          <w:rFonts w:hint="eastAsia" w:ascii="仿宋" w:eastAsia="仿宋" w:cs="仿宋"/>
          <w:sz w:val="32"/>
          <w:szCs w:val="32"/>
        </w:rPr>
        <w:t>2017年决算</w:t>
      </w:r>
      <w:r>
        <w:rPr>
          <w:rFonts w:ascii="仿宋" w:eastAsia="仿宋" w:cs="仿宋"/>
          <w:sz w:val="32"/>
          <w:szCs w:val="32"/>
        </w:rPr>
        <w:t>增加0万元，增加0%，原因是较2017年决算</w:t>
      </w:r>
      <w:r>
        <w:rPr>
          <w:rFonts w:hint="eastAsia" w:ascii="仿宋" w:eastAsia="仿宋" w:cs="仿宋"/>
          <w:sz w:val="32"/>
          <w:szCs w:val="32"/>
        </w:rPr>
        <w:t>无增减变化。其中：</w:t>
      </w:r>
    </w:p>
    <w:p>
      <w:pPr>
        <w:adjustRightInd w:val="0"/>
        <w:snapToGrid w:val="0"/>
        <w:spacing w:line="584" w:lineRule="exact"/>
        <w:ind w:firstLine="643" w:firstLineChars="200"/>
        <w:rPr>
          <w:rFonts w:ascii="仿宋" w:eastAsia="仿宋" w:cs="仿宋"/>
          <w:sz w:val="32"/>
          <w:szCs w:val="32"/>
          <w:highlight w:val="yellow"/>
        </w:rPr>
      </w:pPr>
      <w:r>
        <w:rPr>
          <w:rFonts w:hint="eastAsia" w:ascii="仿宋" w:eastAsia="仿宋" w:cs="仿宋"/>
          <w:b/>
          <w:bCs/>
          <w:sz w:val="32"/>
          <w:szCs w:val="32"/>
        </w:rPr>
        <w:t>（一）因公出国（境）费支出0万元。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hAnsi="仿宋_GB2312" w:eastAsia="黑体" w:cs="DengXian-Regular"/>
          <w:sz w:val="32"/>
          <w:szCs w:val="32"/>
        </w:rPr>
        <w:t>0</w:t>
      </w:r>
      <w:r>
        <w:rPr>
          <w:rFonts w:hint="eastAsia" w:ascii="仿宋_GB2312" w:eastAsia="仿宋_GB2312" w:cs="DengXian-Regular"/>
          <w:sz w:val="32"/>
          <w:szCs w:val="32"/>
        </w:rPr>
        <w:t>个、共</w:t>
      </w:r>
      <w:r>
        <w:rPr>
          <w:rFonts w:hint="eastAsia" w:ascii="仿宋_GB2312" w:hAnsi="仿宋_GB2312" w:eastAsia="黑体" w:cs="DengXian-Regular"/>
          <w:sz w:val="32"/>
          <w:szCs w:val="32"/>
        </w:rPr>
        <w:t>0</w:t>
      </w:r>
      <w:r>
        <w:rPr>
          <w:rFonts w:hint="eastAsia" w:ascii="仿宋_GB2312" w:eastAsia="仿宋_GB2312" w:cs="DengXian-Regular"/>
          <w:sz w:val="32"/>
          <w:szCs w:val="32"/>
        </w:rPr>
        <w:t>人。</w:t>
      </w:r>
      <w:r>
        <w:rPr>
          <w:rFonts w:hint="eastAsia" w:ascii="仿宋" w:eastAsia="仿宋" w:cs="仿宋"/>
          <w:sz w:val="32"/>
          <w:szCs w:val="32"/>
        </w:rPr>
        <w:t>因公出国（境）费用支出</w:t>
      </w:r>
      <w:r>
        <w:rPr>
          <w:rFonts w:ascii="仿宋" w:eastAsia="仿宋" w:cs="仿宋"/>
          <w:sz w:val="32"/>
          <w:szCs w:val="32"/>
        </w:rPr>
        <w:t>比年初预算增加0万元，增加0%，主要是</w:t>
      </w:r>
      <w:r>
        <w:rPr>
          <w:rFonts w:hint="eastAsia" w:ascii="仿宋" w:eastAsia="仿宋" w:cs="仿宋"/>
          <w:sz w:val="32"/>
          <w:szCs w:val="32"/>
        </w:rPr>
        <w:t>较年初预算无增减变化，</w:t>
      </w:r>
      <w:r>
        <w:rPr>
          <w:rFonts w:ascii="仿宋" w:eastAsia="仿宋" w:cs="仿宋"/>
          <w:sz w:val="32"/>
          <w:szCs w:val="32"/>
        </w:rPr>
        <w:t>比2017年决算增加0万元，增加0%，主要是</w:t>
      </w:r>
      <w:r>
        <w:rPr>
          <w:rFonts w:hint="eastAsia" w:ascii="仿宋" w:eastAsia="仿宋" w:cs="仿宋"/>
          <w:sz w:val="32"/>
          <w:szCs w:val="32"/>
        </w:rPr>
        <w:t>较2017年决算无增减变化。</w:t>
      </w:r>
    </w:p>
    <w:p>
      <w:pPr>
        <w:adjustRightInd w:val="0"/>
        <w:snapToGrid w:val="0"/>
        <w:spacing w:line="584" w:lineRule="exact"/>
        <w:ind w:firstLine="643" w:firstLineChars="200"/>
        <w:rPr>
          <w:rFonts w:ascii="仿宋" w:eastAsia="仿宋" w:cs="仿宋"/>
          <w:sz w:val="32"/>
          <w:szCs w:val="32"/>
          <w:highlight w:val="yellow"/>
        </w:rPr>
      </w:pPr>
      <w:r>
        <w:rPr>
          <w:rFonts w:hint="eastAsia" w:ascii="仿宋" w:eastAsia="仿宋" w:cs="仿宋"/>
          <w:b/>
          <w:bCs/>
          <w:sz w:val="32"/>
          <w:szCs w:val="32"/>
        </w:rPr>
        <w:t>（二）公务用车购置及运行维护费支出44万元。</w:t>
      </w:r>
      <w:r>
        <w:rPr>
          <w:rFonts w:hint="eastAsia" w:ascii="仿宋" w:eastAsia="仿宋" w:cs="仿宋"/>
          <w:sz w:val="32"/>
          <w:szCs w:val="32"/>
        </w:rPr>
        <w:t>本部门2018年公务用车购置及运行维护费支出</w:t>
      </w:r>
      <w:r>
        <w:rPr>
          <w:rFonts w:ascii="仿宋" w:eastAsia="仿宋" w:cs="仿宋"/>
          <w:sz w:val="32"/>
          <w:szCs w:val="32"/>
        </w:rPr>
        <w:t>比年初预算增加0万元，增加0%，主要是</w:t>
      </w:r>
      <w:r>
        <w:rPr>
          <w:rFonts w:hint="eastAsia" w:ascii="仿宋" w:eastAsia="仿宋" w:cs="仿宋"/>
          <w:sz w:val="32"/>
          <w:szCs w:val="32"/>
        </w:rPr>
        <w:t>较年初预算无增减变化，</w:t>
      </w:r>
      <w:r>
        <w:rPr>
          <w:rFonts w:ascii="仿宋" w:eastAsia="仿宋" w:cs="仿宋"/>
          <w:sz w:val="32"/>
          <w:szCs w:val="32"/>
        </w:rPr>
        <w:t>比2017年决算增加0万元，增加0%，主要是</w:t>
      </w:r>
      <w:r>
        <w:rPr>
          <w:rFonts w:hint="eastAsia" w:ascii="仿宋" w:eastAsia="仿宋" w:cs="仿宋"/>
          <w:sz w:val="32"/>
          <w:szCs w:val="32"/>
        </w:rPr>
        <w:t>较2017年决算无增减变化。</w:t>
      </w:r>
    </w:p>
    <w:p>
      <w:pPr>
        <w:adjustRightInd w:val="0"/>
        <w:snapToGrid w:val="0"/>
        <w:spacing w:line="584" w:lineRule="exact"/>
        <w:ind w:firstLine="643" w:firstLineChars="200"/>
        <w:rPr>
          <w:rFonts w:ascii="仿宋" w:eastAsia="仿宋" w:cs="仿宋"/>
          <w:sz w:val="32"/>
          <w:szCs w:val="32"/>
          <w:highlight w:val="yellow"/>
        </w:rPr>
      </w:pPr>
      <w:r>
        <w:rPr>
          <w:rFonts w:hint="eastAsia" w:ascii="仿宋" w:eastAsia="仿宋" w:cs="仿宋"/>
          <w:b/>
          <w:bCs/>
          <w:sz w:val="32"/>
          <w:szCs w:val="32"/>
        </w:rPr>
        <w:t>公务用车购置费支出0万元。</w:t>
      </w:r>
      <w:r>
        <w:rPr>
          <w:rFonts w:hint="eastAsia" w:ascii="仿宋" w:eastAsia="仿宋" w:cs="仿宋"/>
          <w:sz w:val="32"/>
          <w:szCs w:val="32"/>
        </w:rPr>
        <w:t>本部门2018年度公务用车购置数量0辆，发生公务用车购置经费支出0万元，公务用车购置经费支出</w:t>
      </w:r>
      <w:r>
        <w:rPr>
          <w:rFonts w:ascii="仿宋" w:eastAsia="仿宋" w:cs="仿宋"/>
          <w:sz w:val="32"/>
          <w:szCs w:val="32"/>
        </w:rPr>
        <w:t>比年初预算增加0万元，增加0%，主要是</w:t>
      </w:r>
      <w:r>
        <w:rPr>
          <w:rFonts w:hint="eastAsia" w:ascii="仿宋" w:eastAsia="仿宋" w:cs="仿宋"/>
          <w:sz w:val="32"/>
          <w:szCs w:val="32"/>
        </w:rPr>
        <w:t>较年初预算无增减变化，</w:t>
      </w:r>
      <w:r>
        <w:rPr>
          <w:rFonts w:ascii="仿宋" w:eastAsia="仿宋" w:cs="仿宋"/>
          <w:sz w:val="32"/>
          <w:szCs w:val="32"/>
        </w:rPr>
        <w:t>比2017年决算增加0万元，增加0%，主要是</w:t>
      </w:r>
      <w:r>
        <w:rPr>
          <w:rFonts w:hint="eastAsia" w:ascii="仿宋" w:eastAsia="仿宋" w:cs="仿宋"/>
          <w:sz w:val="32"/>
          <w:szCs w:val="32"/>
        </w:rPr>
        <w:t>较2017年决算无增减变化。</w:t>
      </w:r>
    </w:p>
    <w:p>
      <w:pPr>
        <w:adjustRightInd w:val="0"/>
        <w:snapToGrid w:val="0"/>
        <w:spacing w:line="584" w:lineRule="exact"/>
        <w:ind w:firstLine="643" w:firstLineChars="200"/>
        <w:rPr>
          <w:rFonts w:ascii="仿宋" w:eastAsia="仿宋" w:cs="仿宋"/>
          <w:sz w:val="32"/>
          <w:szCs w:val="32"/>
          <w:highlight w:val="yellow"/>
        </w:rPr>
      </w:pPr>
      <w:r>
        <w:rPr>
          <w:rFonts w:hint="eastAsia" w:ascii="仿宋" w:eastAsia="仿宋" w:cs="仿宋"/>
          <w:b/>
          <w:sz w:val="32"/>
          <w:szCs w:val="32"/>
        </w:rPr>
        <w:t>公务用车运行维护费支出44万元。</w:t>
      </w:r>
      <w:r>
        <w:rPr>
          <w:rFonts w:hint="eastAsia" w:ascii="仿宋" w:eastAsia="仿宋" w:cs="仿宋"/>
          <w:sz w:val="32"/>
          <w:szCs w:val="32"/>
        </w:rPr>
        <w:t>本部门2018年末单位公务用车保有量7辆。公车运行维护费</w:t>
      </w:r>
      <w:r>
        <w:rPr>
          <w:rFonts w:ascii="仿宋" w:eastAsia="仿宋" w:cs="仿宋"/>
          <w:sz w:val="32"/>
          <w:szCs w:val="32"/>
        </w:rPr>
        <w:t>比年初预算增加0万元，增加0%，主要是</w:t>
      </w:r>
      <w:r>
        <w:rPr>
          <w:rFonts w:hint="eastAsia" w:ascii="仿宋" w:eastAsia="仿宋" w:cs="仿宋"/>
          <w:sz w:val="32"/>
          <w:szCs w:val="32"/>
        </w:rPr>
        <w:t>较年初预算无增减变化，</w:t>
      </w:r>
      <w:r>
        <w:rPr>
          <w:rFonts w:ascii="仿宋" w:eastAsia="仿宋" w:cs="仿宋"/>
          <w:sz w:val="32"/>
          <w:szCs w:val="32"/>
        </w:rPr>
        <w:t>比2017年决算增加0万元，增加0%，主要是</w:t>
      </w:r>
      <w:r>
        <w:rPr>
          <w:rFonts w:hint="eastAsia" w:ascii="仿宋" w:eastAsia="仿宋" w:cs="仿宋"/>
          <w:sz w:val="32"/>
          <w:szCs w:val="32"/>
        </w:rPr>
        <w:t>较2017年决算无增减变化。</w:t>
      </w:r>
    </w:p>
    <w:p>
      <w:pPr>
        <w:adjustRightInd w:val="0"/>
        <w:snapToGrid w:val="0"/>
        <w:spacing w:line="584" w:lineRule="exact"/>
        <w:ind w:firstLine="643" w:firstLineChars="200"/>
        <w:rPr>
          <w:rFonts w:ascii="仿宋" w:eastAsia="仿宋" w:cs="仿宋"/>
          <w:sz w:val="32"/>
          <w:szCs w:val="32"/>
          <w:highlight w:val="yellow"/>
        </w:rPr>
      </w:pPr>
      <w:r>
        <w:rPr>
          <w:rFonts w:hint="eastAsia" w:ascii="仿宋" w:eastAsia="仿宋" w:cs="仿宋"/>
          <w:b/>
          <w:bCs/>
          <w:sz w:val="32"/>
          <w:szCs w:val="32"/>
        </w:rPr>
        <w:t>（三）公务接待费支出9万元。</w:t>
      </w:r>
      <w:r>
        <w:rPr>
          <w:rFonts w:hint="eastAsia" w:ascii="仿宋" w:eastAsia="仿宋" w:cs="仿宋"/>
          <w:sz w:val="32"/>
          <w:szCs w:val="32"/>
        </w:rPr>
        <w:t>本部门2018年度接待共158批次、326人次。公务接待费</w:t>
      </w:r>
      <w:r>
        <w:rPr>
          <w:rFonts w:ascii="仿宋" w:eastAsia="仿宋" w:cs="仿宋"/>
          <w:sz w:val="32"/>
          <w:szCs w:val="32"/>
        </w:rPr>
        <w:t>比年初预算增加0万元，增加0%，主要是</w:t>
      </w:r>
      <w:r>
        <w:rPr>
          <w:rFonts w:hint="eastAsia" w:ascii="仿宋" w:eastAsia="仿宋" w:cs="仿宋"/>
          <w:sz w:val="32"/>
          <w:szCs w:val="32"/>
        </w:rPr>
        <w:t>较年初预算无增减变化，</w:t>
      </w:r>
      <w:r>
        <w:rPr>
          <w:rFonts w:ascii="仿宋" w:eastAsia="仿宋" w:cs="仿宋"/>
          <w:sz w:val="32"/>
          <w:szCs w:val="32"/>
        </w:rPr>
        <w:t>比2017年决算增加0万元，增加0%，主要是</w:t>
      </w:r>
      <w:r>
        <w:rPr>
          <w:rFonts w:hint="eastAsia" w:ascii="仿宋" w:eastAsia="仿宋" w:cs="仿宋"/>
          <w:sz w:val="32"/>
          <w:szCs w:val="32"/>
        </w:rPr>
        <w:t>较2017年决算无增减变化。</w:t>
      </w:r>
    </w:p>
    <w:p>
      <w:pPr>
        <w:adjustRightInd w:val="0"/>
        <w:snapToGrid w:val="0"/>
        <w:spacing w:after="0" w:line="580" w:lineRule="exact"/>
        <w:ind w:firstLine="643" w:firstLineChars="200"/>
        <w:rPr>
          <w:rFonts w:ascii="仿宋" w:eastAsia="仿宋" w:cs="仿宋"/>
          <w:b/>
          <w:bCs/>
          <w:sz w:val="32"/>
          <w:szCs w:val="40"/>
        </w:rPr>
      </w:pPr>
      <w:r>
        <w:rPr>
          <w:rFonts w:hint="eastAsia" w:ascii="仿宋" w:eastAsia="仿宋" w:cs="仿宋"/>
          <w:b/>
          <w:bCs/>
          <w:sz w:val="32"/>
          <w:szCs w:val="40"/>
        </w:rPr>
        <w:t>六、预算绩效情况说明</w:t>
      </w:r>
    </w:p>
    <w:p>
      <w:pPr>
        <w:adjustRightInd w:val="0"/>
        <w:snapToGrid w:val="0"/>
        <w:spacing w:line="584" w:lineRule="exact"/>
        <w:ind w:firstLine="640" w:firstLineChars="200"/>
        <w:rPr>
          <w:rFonts w:ascii="仿宋" w:eastAsia="仿宋" w:cs="仿宋"/>
          <w:bCs/>
          <w:sz w:val="32"/>
          <w:szCs w:val="32"/>
        </w:rPr>
      </w:pPr>
      <w:r>
        <w:rPr>
          <w:rFonts w:hint="eastAsia" w:ascii="仿宋" w:eastAsia="仿宋" w:cs="仿宋"/>
          <w:bCs/>
          <w:sz w:val="32"/>
          <w:szCs w:val="32"/>
        </w:rPr>
        <w:t xml:space="preserve">（一）绩效管理工作开展情况 </w:t>
      </w:r>
    </w:p>
    <w:p>
      <w:pPr>
        <w:adjustRightInd w:val="0"/>
        <w:snapToGrid w:val="0"/>
        <w:spacing w:line="584" w:lineRule="exact"/>
        <w:ind w:firstLine="640" w:firstLineChars="200"/>
        <w:rPr>
          <w:rFonts w:ascii="仿宋" w:eastAsia="仿宋" w:cs="仿宋"/>
          <w:bCs/>
          <w:sz w:val="32"/>
          <w:szCs w:val="32"/>
        </w:rPr>
      </w:pPr>
      <w:r>
        <w:rPr>
          <w:rFonts w:hint="eastAsia" w:ascii="仿宋" w:eastAsia="仿宋" w:cs="仿宋"/>
          <w:bCs/>
          <w:sz w:val="32"/>
          <w:szCs w:val="32"/>
        </w:rPr>
        <w:t xml:space="preserve">根据县财政预算绩效管理要求,中国共产党大城县纪律检查委员会以“部门职责-工作活动” 为依据,确定部门预算项目和预算额度,清晰描述预算项目开支范围和内容,确定预算项目的绩效目标、 绩效指标和评价标准，为预算绩效控制、绩效分析、绩效评价打下好的基础。 </w:t>
      </w:r>
    </w:p>
    <w:p>
      <w:pPr>
        <w:adjustRightInd w:val="0"/>
        <w:snapToGrid w:val="0"/>
        <w:spacing w:line="584" w:lineRule="exact"/>
        <w:ind w:firstLine="640" w:firstLineChars="200"/>
        <w:rPr>
          <w:rFonts w:ascii="仿宋" w:eastAsia="仿宋" w:cs="仿宋"/>
          <w:bCs/>
          <w:sz w:val="32"/>
          <w:szCs w:val="32"/>
        </w:rPr>
      </w:pPr>
      <w:r>
        <w:rPr>
          <w:rFonts w:hint="eastAsia" w:ascii="仿宋" w:eastAsia="仿宋" w:cs="仿宋"/>
          <w:bCs/>
          <w:sz w:val="32"/>
          <w:szCs w:val="32"/>
        </w:rPr>
        <w:t>（二）项目绩效自评情况</w:t>
      </w:r>
    </w:p>
    <w:p>
      <w:pPr>
        <w:adjustRightInd w:val="0"/>
        <w:snapToGrid w:val="0"/>
        <w:spacing w:line="584" w:lineRule="exact"/>
        <w:ind w:firstLine="640" w:firstLineChars="200"/>
        <w:rPr>
          <w:rFonts w:ascii="仿宋" w:eastAsia="仿宋" w:cs="仿宋"/>
          <w:bCs/>
          <w:sz w:val="32"/>
          <w:szCs w:val="32"/>
        </w:rPr>
      </w:pPr>
      <w:r>
        <w:rPr>
          <w:rFonts w:hint="eastAsia" w:ascii="仿宋" w:eastAsia="仿宋" w:cs="仿宋"/>
          <w:bCs/>
          <w:sz w:val="32"/>
          <w:szCs w:val="32"/>
        </w:rPr>
        <w:t xml:space="preserve"> 按照县财政预算绩效管理要求，中国共产党大城县纪律检查委员会对 2018 年初确定的部门 一般公共预算支出项目全面开展了绩效自评。我部门决算项目 3 项，共涉及资金 327.36 万元，绩效自评覆盖率达到 100%。</w:t>
      </w:r>
    </w:p>
    <w:p>
      <w:pPr>
        <w:adjustRightInd w:val="0"/>
        <w:snapToGrid w:val="0"/>
        <w:spacing w:line="584" w:lineRule="exact"/>
        <w:ind w:left="420" w:leftChars="200"/>
        <w:rPr>
          <w:rFonts w:ascii="仿宋" w:eastAsia="仿宋" w:cs="仿宋"/>
          <w:bCs/>
          <w:sz w:val="32"/>
          <w:szCs w:val="32"/>
        </w:rPr>
      </w:pPr>
      <w:r>
        <w:rPr>
          <w:rFonts w:hint="eastAsia" w:ascii="仿宋" w:eastAsia="仿宋" w:cs="仿宋"/>
          <w:bCs/>
          <w:sz w:val="32"/>
          <w:szCs w:val="32"/>
        </w:rPr>
        <w:t>（三）重点项目绩效评价结果。</w:t>
      </w:r>
    </w:p>
    <w:tbl>
      <w:tblPr>
        <w:tblStyle w:val="13"/>
        <w:tblW w:w="89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9"/>
        <w:gridCol w:w="626"/>
        <w:gridCol w:w="1078"/>
        <w:gridCol w:w="878"/>
        <w:gridCol w:w="1070"/>
        <w:gridCol w:w="883"/>
        <w:gridCol w:w="1077"/>
        <w:gridCol w:w="1068"/>
        <w:gridCol w:w="711"/>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blHeader/>
          <w:jc w:val="center"/>
        </w:trPr>
        <w:tc>
          <w:tcPr>
            <w:tcW w:w="57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序号</w:t>
            </w:r>
          </w:p>
        </w:tc>
        <w:tc>
          <w:tcPr>
            <w:tcW w:w="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项目名称</w:t>
            </w:r>
          </w:p>
        </w:tc>
        <w:tc>
          <w:tcPr>
            <w:tcW w:w="107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项目概况</w:t>
            </w:r>
          </w:p>
        </w:tc>
        <w:tc>
          <w:tcPr>
            <w:tcW w:w="283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项目资金</w:t>
            </w:r>
          </w:p>
        </w:tc>
        <w:tc>
          <w:tcPr>
            <w:tcW w:w="214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年度总体目标</w:t>
            </w:r>
          </w:p>
        </w:tc>
        <w:tc>
          <w:tcPr>
            <w:tcW w:w="7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评价结果</w:t>
            </w:r>
          </w:p>
        </w:tc>
        <w:tc>
          <w:tcPr>
            <w:tcW w:w="9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Header/>
          <w:jc w:val="center"/>
        </w:trPr>
        <w:tc>
          <w:tcPr>
            <w:tcW w:w="579" w:type="dxa"/>
            <w:vMerge w:val="continue"/>
            <w:tcBorders>
              <w:top w:val="single" w:color="000000" w:sz="4" w:space="0"/>
              <w:left w:val="single" w:color="000000" w:sz="4" w:space="0"/>
              <w:bottom w:val="single" w:color="000000" w:sz="4" w:space="0"/>
              <w:right w:val="single" w:color="000000" w:sz="4" w:space="0"/>
            </w:tcBorders>
            <w:vAlign w:val="center"/>
          </w:tc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tc>
        <w:tc>
          <w:tcPr>
            <w:tcW w:w="1078" w:type="dxa"/>
            <w:vMerge w:val="continue"/>
            <w:tcBorders>
              <w:top w:val="single" w:color="000000" w:sz="4" w:space="0"/>
              <w:left w:val="single" w:color="000000" w:sz="4" w:space="0"/>
              <w:bottom w:val="single" w:color="000000" w:sz="4" w:space="0"/>
              <w:right w:val="single" w:color="000000" w:sz="4" w:space="0"/>
            </w:tcBorders>
            <w:vAlign w:val="center"/>
          </w:tc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预算数</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决算数</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执行率</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年初设定目标</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全年实际完成情况</w:t>
            </w:r>
          </w:p>
        </w:tc>
        <w:tc>
          <w:tcPr>
            <w:tcW w:w="711" w:type="dxa"/>
            <w:vMerge w:val="continue"/>
            <w:tcBorders>
              <w:top w:val="single" w:color="000000" w:sz="4" w:space="0"/>
              <w:left w:val="single" w:color="000000" w:sz="4" w:space="0"/>
              <w:bottom w:val="single" w:color="000000" w:sz="4" w:space="0"/>
              <w:right w:val="single" w:color="000000" w:sz="4" w:space="0"/>
            </w:tcBorders>
            <w:vAlign w:val="center"/>
          </w:tcPr>
          <w:p/>
        </w:tc>
        <w:tc>
          <w:tcPr>
            <w:tcW w:w="950" w:type="dxa"/>
            <w:vMerge w:val="continue"/>
            <w:tcBorders>
              <w:top w:val="single" w:color="000000" w:sz="4" w:space="0"/>
              <w:left w:val="single" w:color="000000" w:sz="4" w:space="0"/>
              <w:bottom w:val="single" w:color="000000" w:sz="4" w:space="0"/>
              <w:right w:val="single" w:color="000000"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95"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1</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搬迁费</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更换办公 场地搬迁费用</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10</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10</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100%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保障全年工作正常运转</w:t>
            </w:r>
          </w:p>
        </w:tc>
        <w:tc>
          <w:tcPr>
            <w:tcW w:w="106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szCs w:val="21"/>
              </w:rPr>
              <w:t>2018年搬迁工作完成，资金已全部支出</w:t>
            </w:r>
          </w:p>
        </w:tc>
        <w:tc>
          <w:tcPr>
            <w:tcW w:w="711" w:type="dxa"/>
            <w:tcBorders>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优</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5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2</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办案业务费</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cs="宋体"/>
                <w:bCs/>
                <w:color w:val="000000"/>
                <w:szCs w:val="21"/>
              </w:rPr>
            </w:pPr>
            <w:r>
              <w:rPr>
                <w:rFonts w:hint="eastAsia" w:ascii="宋体" w:cs="宋体"/>
                <w:bCs/>
                <w:color w:val="000000"/>
                <w:szCs w:val="21"/>
              </w:rPr>
              <w:t>为保障工作正常运行，查办违法违纪案件所需经费</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165.46</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165.46</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100.00%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cs="宋体"/>
                <w:bCs/>
                <w:color w:val="000000"/>
                <w:szCs w:val="21"/>
              </w:rPr>
            </w:pPr>
            <w:r>
              <w:rPr>
                <w:rFonts w:hint="eastAsia" w:ascii="宋体" w:cs="宋体"/>
                <w:bCs/>
                <w:color w:val="000000"/>
                <w:szCs w:val="21"/>
              </w:rPr>
              <w:t>发挥职能作用，查办违法违纪案件</w:t>
            </w: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宋体" w:cs="宋体"/>
                <w:bCs/>
                <w:color w:val="000000"/>
                <w:szCs w:val="21"/>
              </w:rPr>
            </w:pPr>
            <w:r>
              <w:rPr>
                <w:rFonts w:hint="eastAsia" w:ascii="宋体" w:cs="宋体"/>
                <w:bCs/>
                <w:color w:val="000000"/>
                <w:szCs w:val="21"/>
              </w:rPr>
              <w:t>2018年已全部支出</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szCs w:val="21"/>
              </w:rPr>
            </w:pPr>
            <w:r>
              <w:rPr>
                <w:rFonts w:hint="eastAsia" w:ascii="宋体" w:cs="宋体"/>
                <w:bCs/>
                <w:color w:val="000000"/>
                <w:kern w:val="0"/>
                <w:szCs w:val="21"/>
              </w:rPr>
              <w:t>优</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宋体" w:cs="宋体"/>
                <w:bCs/>
                <w:color w:val="00000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20" w:hRule="atLeast"/>
          <w:jc w:val="center"/>
        </w:trPr>
        <w:tc>
          <w:tcPr>
            <w:tcW w:w="57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3</w:t>
            </w:r>
          </w:p>
        </w:tc>
        <w:tc>
          <w:tcPr>
            <w:tcW w:w="62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巡察办业务费</w:t>
            </w:r>
          </w:p>
        </w:tc>
        <w:tc>
          <w:tcPr>
            <w:tcW w:w="10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cs="宋体"/>
                <w:bCs/>
                <w:color w:val="000000"/>
                <w:szCs w:val="21"/>
              </w:rPr>
            </w:pPr>
            <w:r>
              <w:rPr>
                <w:rFonts w:hint="eastAsia" w:ascii="宋体" w:cs="宋体"/>
                <w:bCs/>
                <w:color w:val="000000"/>
                <w:szCs w:val="21"/>
              </w:rPr>
              <w:t>发挥巡察办职能作用，开展巡察工作所需经费</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78.8</w:t>
            </w:r>
          </w:p>
        </w:tc>
        <w:tc>
          <w:tcPr>
            <w:tcW w:w="10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78.8</w:t>
            </w:r>
          </w:p>
        </w:tc>
        <w:tc>
          <w:tcPr>
            <w:tcW w:w="8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100%</w:t>
            </w:r>
          </w:p>
        </w:tc>
        <w:tc>
          <w:tcPr>
            <w:tcW w:w="10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宋体" w:cs="宋体"/>
                <w:bCs/>
                <w:color w:val="000000"/>
                <w:szCs w:val="21"/>
              </w:rPr>
            </w:pPr>
            <w:r>
              <w:rPr>
                <w:rFonts w:hint="eastAsia" w:ascii="宋体" w:cs="宋体"/>
                <w:bCs/>
                <w:color w:val="000000"/>
                <w:szCs w:val="21"/>
              </w:rPr>
              <w:t>发挥县委巡察办职能，预防和检查违法违纪活动</w:t>
            </w:r>
          </w:p>
        </w:tc>
        <w:tc>
          <w:tcPr>
            <w:tcW w:w="1068"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宋体" w:cs="宋体"/>
                <w:bCs/>
                <w:color w:val="000000"/>
                <w:szCs w:val="21"/>
              </w:rPr>
            </w:pPr>
            <w:r>
              <w:rPr>
                <w:rFonts w:hint="eastAsia" w:ascii="宋体" w:cs="宋体"/>
                <w:bCs/>
                <w:color w:val="000000"/>
                <w:szCs w:val="21"/>
              </w:rPr>
              <w:t>2018年全部支出</w:t>
            </w:r>
          </w:p>
        </w:tc>
        <w:tc>
          <w:tcPr>
            <w:tcW w:w="7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宋体" w:cs="宋体"/>
                <w:bCs/>
                <w:color w:val="000000"/>
                <w:kern w:val="0"/>
                <w:szCs w:val="21"/>
              </w:rPr>
            </w:pPr>
            <w:r>
              <w:rPr>
                <w:rFonts w:hint="eastAsia" w:ascii="宋体" w:cs="宋体"/>
                <w:bCs/>
                <w:color w:val="000000"/>
                <w:kern w:val="0"/>
                <w:szCs w:val="21"/>
              </w:rPr>
              <w:t>优</w:t>
            </w:r>
          </w:p>
        </w:tc>
        <w:tc>
          <w:tcPr>
            <w:tcW w:w="950"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ascii="宋体" w:cs="宋体"/>
                <w:bCs/>
                <w:color w:val="000000"/>
                <w:szCs w:val="21"/>
              </w:rPr>
            </w:pPr>
          </w:p>
        </w:tc>
      </w:tr>
    </w:tbl>
    <w:p>
      <w:pPr>
        <w:adjustRightInd w:val="0"/>
        <w:snapToGrid w:val="0"/>
        <w:spacing w:line="584" w:lineRule="exact"/>
        <w:ind w:left="420" w:leftChars="200"/>
        <w:rPr>
          <w:rFonts w:ascii="仿宋" w:eastAsia="仿宋" w:cs="仿宋"/>
          <w:bCs/>
          <w:sz w:val="32"/>
          <w:szCs w:val="32"/>
        </w:rPr>
      </w:pPr>
    </w:p>
    <w:p>
      <w:pPr>
        <w:adjustRightInd w:val="0"/>
        <w:snapToGrid w:val="0"/>
        <w:spacing w:line="584" w:lineRule="exact"/>
        <w:ind w:left="420" w:leftChars="200"/>
        <w:rPr>
          <w:rFonts w:ascii="仿宋" w:eastAsia="仿宋" w:cs="仿宋"/>
          <w:bCs/>
          <w:sz w:val="32"/>
          <w:szCs w:val="32"/>
        </w:rPr>
      </w:pPr>
    </w:p>
    <w:p>
      <w:pPr>
        <w:pStyle w:val="3"/>
        <w:rPr>
          <w:rStyle w:val="15"/>
          <w:rFonts w:ascii="仿宋" w:eastAsia="仿宋" w:cs="仿宋"/>
          <w:b/>
          <w:bCs/>
        </w:rPr>
      </w:pPr>
      <w:r>
        <w:rPr>
          <w:rFonts w:hint="eastAsia" w:ascii="仿宋" w:eastAsia="仿宋" w:cs="仿宋"/>
        </w:rPr>
        <w:t xml:space="preserve"> </w:t>
      </w:r>
      <w:r>
        <w:rPr>
          <w:rStyle w:val="15"/>
          <w:rFonts w:hint="eastAsia" w:ascii="仿宋" w:eastAsia="仿宋" w:cs="仿宋"/>
          <w:b/>
          <w:bCs/>
        </w:rPr>
        <w:t>七、其他重要事项的说明</w:t>
      </w:r>
    </w:p>
    <w:p>
      <w:pPr>
        <w:pStyle w:val="4"/>
        <w:spacing w:before="0" w:after="0" w:line="580" w:lineRule="exact"/>
        <w:ind w:firstLine="643" w:firstLineChars="200"/>
        <w:rPr>
          <w:rFonts w:ascii="仿宋" w:eastAsia="仿宋" w:cs="仿宋"/>
        </w:rPr>
      </w:pPr>
      <w:r>
        <w:rPr>
          <w:rFonts w:hint="eastAsia" w:ascii="仿宋" w:eastAsia="仿宋" w:cs="仿宋"/>
        </w:rPr>
        <w:t>（一）机关运行经费情况</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本部门2018年度机关运行经费支出216.41万元，较年初预算数增加88.57万元，增长69.28%，主要是办公费增加。较2017年度决算增加70.04万元，增长47.85%，主要是办公费增加。</w:t>
      </w:r>
    </w:p>
    <w:p>
      <w:pPr>
        <w:pStyle w:val="4"/>
        <w:spacing w:before="0" w:after="0" w:line="580" w:lineRule="exact"/>
        <w:ind w:firstLine="643" w:firstLineChars="200"/>
        <w:rPr>
          <w:rFonts w:ascii="仿宋" w:eastAsia="仿宋" w:cs="仿宋"/>
        </w:rPr>
      </w:pPr>
      <w:r>
        <w:rPr>
          <w:rFonts w:hint="eastAsia" w:ascii="仿宋" w:eastAsia="仿宋" w:cs="仿宋"/>
        </w:rPr>
        <w:t>（二）政府采购情况</w:t>
      </w:r>
    </w:p>
    <w:p>
      <w:pPr>
        <w:widowControl/>
        <w:spacing w:after="0" w:line="580" w:lineRule="exact"/>
        <w:ind w:firstLine="640" w:firstLineChars="200"/>
        <w:jc w:val="left"/>
        <w:rPr>
          <w:rFonts w:ascii="仿宋" w:eastAsia="仿宋" w:cs="仿宋"/>
          <w:sz w:val="32"/>
          <w:szCs w:val="32"/>
        </w:rPr>
      </w:pPr>
      <w:r>
        <w:rPr>
          <w:rFonts w:hint="eastAsia" w:ascii="仿宋_GB2312" w:eastAsia="仿宋_GB2312" w:cs="DengXian-Regular"/>
          <w:sz w:val="32"/>
          <w:szCs w:val="32"/>
        </w:rPr>
        <w:t>本部门2018年度政府采购支出总额0万元，从采购类型来看，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r>
        <w:rPr>
          <w:rFonts w:hint="eastAsia" w:ascii="仿宋" w:eastAsia="仿宋" w:cs="仿宋"/>
          <w:sz w:val="32"/>
          <w:szCs w:val="32"/>
        </w:rPr>
        <w:t>。</w:t>
      </w:r>
    </w:p>
    <w:p>
      <w:pPr>
        <w:pStyle w:val="4"/>
        <w:spacing w:before="0" w:after="0" w:line="580" w:lineRule="exact"/>
        <w:ind w:firstLine="643" w:firstLineChars="200"/>
        <w:rPr>
          <w:rFonts w:ascii="仿宋" w:eastAsia="仿宋" w:cs="仿宋"/>
        </w:rPr>
      </w:pPr>
      <w:r>
        <w:rPr>
          <w:rFonts w:hint="eastAsia" w:ascii="仿宋" w:eastAsia="仿宋" w:cs="仿宋"/>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7辆，比上年增加0辆。其中，副部（省）级及以上领导用车0辆，主要领导干部用车1辆，机要通信用车0辆，应急保障用车0辆，执法执勤用车6辆，特种专业技术用车0辆，离退休干部用车0辆，其他用车0辆。单位价值</w:t>
      </w:r>
      <w:r>
        <w:rPr>
          <w:rFonts w:hint="eastAsia" w:ascii="仿宋_GB2312" w:eastAsia="仿宋_GB2312" w:cs="TimesNewRomanPSMT"/>
          <w:sz w:val="32"/>
          <w:szCs w:val="32"/>
        </w:rPr>
        <w:t>50</w:t>
      </w:r>
      <w:r>
        <w:rPr>
          <w:rFonts w:hint="eastAsia" w:ascii="仿宋_GB2312" w:eastAsia="仿宋_GB2312" w:cs="DengXian-Regular"/>
          <w:sz w:val="32"/>
          <w:szCs w:val="32"/>
        </w:rPr>
        <w:t>万元以上通用设备0台（套），比上年增加0套 ，单位价值</w:t>
      </w:r>
      <w:r>
        <w:rPr>
          <w:rFonts w:hint="eastAsia" w:ascii="仿宋_GB2312" w:eastAsia="仿宋_GB2312" w:cs="TimesNewRomanPSMT"/>
          <w:sz w:val="32"/>
          <w:szCs w:val="32"/>
        </w:rPr>
        <w:t>100</w:t>
      </w:r>
      <w:r>
        <w:rPr>
          <w:rFonts w:hint="eastAsia" w:ascii="仿宋_GB2312" w:eastAsia="仿宋_GB2312" w:cs="DengXian-Regular"/>
          <w:sz w:val="32"/>
          <w:szCs w:val="32"/>
        </w:rPr>
        <w:t>万元以上专用设备0台（套）比上年增加0套。</w:t>
      </w:r>
    </w:p>
    <w:p>
      <w:pPr>
        <w:pStyle w:val="4"/>
        <w:spacing w:before="0" w:after="0" w:line="580" w:lineRule="exact"/>
        <w:ind w:firstLine="643" w:firstLineChars="200"/>
        <w:rPr>
          <w:rFonts w:ascii="仿宋" w:eastAsia="仿宋" w:cs="仿宋"/>
        </w:rPr>
      </w:pPr>
      <w:r>
        <w:rPr>
          <w:rFonts w:hint="eastAsia" w:ascii="仿宋" w:eastAsia="仿宋" w:cs="仿宋"/>
        </w:rPr>
        <w:t>（四）其他需要说明的情况</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1、本部门2018年度政府性基金、国有资本经营和政府采购无收支及结余结转情况，故政府性基金预算财政拨款收入支出决算表、国有资本经营预算财政拨款支出决算表、政府采购情况表以空表列示。</w:t>
      </w:r>
    </w:p>
    <w:p>
      <w:pPr>
        <w:adjustRightInd w:val="0"/>
        <w:snapToGrid w:val="0"/>
        <w:spacing w:after="0" w:line="580" w:lineRule="exact"/>
        <w:ind w:firstLine="640" w:firstLineChars="200"/>
        <w:rPr>
          <w:rFonts w:ascii="仿宋" w:eastAsia="仿宋" w:cs="仿宋"/>
          <w:sz w:val="32"/>
          <w:szCs w:val="32"/>
        </w:rPr>
      </w:pPr>
      <w:r>
        <w:rPr>
          <w:rFonts w:hint="eastAsia" w:ascii="仿宋" w:eastAsia="仿宋" w:cs="仿宋"/>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ascii="仿宋" w:eastAsia="仿宋" w:cs="仿宋"/>
          <w:b/>
          <w:bCs/>
          <w:kern w:val="0"/>
          <w:sz w:val="44"/>
          <w:szCs w:val="44"/>
        </w:rPr>
        <w:sectPr>
          <w:pgSz w:w="11906" w:h="16838"/>
          <w:pgMar w:top="2098" w:right="1020" w:bottom="1984" w:left="1020" w:header="851" w:footer="992" w:gutter="0"/>
          <w:cols w:space="720" w:num="1"/>
          <w:docGrid w:type="lines" w:linePitch="312" w:charSpace="0"/>
        </w:sectPr>
      </w:pPr>
    </w:p>
    <w:p>
      <w:pPr>
        <w:widowControl/>
        <w:spacing w:line="1200" w:lineRule="exact"/>
        <w:jc w:val="center"/>
        <w:rPr>
          <w:rFonts w:ascii="仿宋" w:eastAsia="仿宋" w:cs="仿宋"/>
          <w:color w:val="000000"/>
          <w:sz w:val="96"/>
          <w:szCs w:val="96"/>
        </w:rPr>
      </w:pPr>
    </w:p>
    <w:p>
      <w:pPr>
        <w:widowControl/>
        <w:spacing w:line="1200" w:lineRule="exact"/>
        <w:jc w:val="center"/>
        <w:rPr>
          <w:rFonts w:ascii="仿宋" w:eastAsia="仿宋" w:cs="仿宋"/>
          <w:color w:val="000000"/>
          <w:sz w:val="96"/>
          <w:szCs w:val="96"/>
        </w:rPr>
      </w:pPr>
    </w:p>
    <w:p>
      <w:pPr>
        <w:widowControl/>
        <w:spacing w:line="1200" w:lineRule="exact"/>
        <w:ind w:firstLine="1920" w:firstLineChars="200"/>
        <w:rPr>
          <w:rFonts w:ascii="仿宋" w:eastAsia="仿宋" w:cs="仿宋"/>
          <w:color w:val="000000"/>
          <w:sz w:val="96"/>
          <w:szCs w:val="96"/>
        </w:rPr>
      </w:pPr>
      <w:r>
        <w:rPr>
          <w:rFonts w:hint="eastAsia" w:ascii="仿宋" w:eastAsia="仿宋" w:cs="仿宋"/>
          <w:color w:val="000000"/>
          <w:sz w:val="96"/>
          <w:szCs w:val="96"/>
        </w:rPr>
        <w:t>第四部分</w:t>
      </w:r>
    </w:p>
    <w:p>
      <w:pPr>
        <w:widowControl/>
        <w:spacing w:line="1200" w:lineRule="exact"/>
        <w:ind w:firstLine="1920" w:firstLineChars="200"/>
        <w:rPr>
          <w:rFonts w:ascii="仿宋" w:eastAsia="仿宋" w:cs="仿宋"/>
          <w:color w:val="000000"/>
          <w:sz w:val="96"/>
          <w:szCs w:val="96"/>
        </w:rPr>
      </w:pPr>
      <w:r>
        <w:rPr>
          <w:rFonts w:hint="eastAsia" w:ascii="仿宋" w:eastAsia="仿宋" w:cs="仿宋"/>
          <w:color w:val="000000"/>
          <w:sz w:val="96"/>
          <w:szCs w:val="96"/>
        </w:rPr>
        <w:t>名词解释</w:t>
      </w:r>
    </w:p>
    <w:p>
      <w:pPr>
        <w:rPr>
          <w:rFonts w:ascii="仿宋" w:eastAsia="仿宋" w:cs="仿宋"/>
          <w:color w:val="000000"/>
          <w:kern w:val="0"/>
        </w:rPr>
        <w:sectPr>
          <w:pgSz w:w="11906" w:h="16838"/>
          <w:pgMar w:top="2098" w:right="1474" w:bottom="1984" w:left="1588" w:header="851" w:footer="992" w:gutter="0"/>
          <w:cols w:space="720" w:num="1"/>
          <w:docGrid w:type="lines" w:linePitch="312" w:charSpace="0"/>
        </w:sectPr>
      </w:pP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（一）财政拨款收入：</w:t>
      </w:r>
      <w:r>
        <w:rPr>
          <w:rFonts w:hint="eastAsia" w:ascii="仿宋" w:eastAsia="仿宋" w:cs="仿宋"/>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（二）事业收入：</w:t>
      </w:r>
      <w:r>
        <w:rPr>
          <w:rFonts w:hint="eastAsia" w:ascii="仿宋" w:eastAsia="仿宋" w:cs="仿宋"/>
          <w:color w:val="000000"/>
          <w:kern w:val="0"/>
          <w:sz w:val="32"/>
          <w:szCs w:val="32"/>
        </w:rPr>
        <w:t>指事业单位开展专业业务活动及辅助活动所取得的收入。</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（三）其他收入：</w:t>
      </w:r>
      <w:r>
        <w:rPr>
          <w:rFonts w:hint="eastAsia" w:ascii="仿宋" w:eastAsia="仿宋" w:cs="仿宋"/>
          <w:color w:val="000000"/>
          <w:kern w:val="0"/>
          <w:sz w:val="32"/>
          <w:szCs w:val="32"/>
        </w:rPr>
        <w:t>指除上述“财政拨款收入”“事业收入”“经营收入”等以外的收入。</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（四）用事业基金弥补收支差额：</w:t>
      </w:r>
      <w:r>
        <w:rPr>
          <w:rFonts w:hint="eastAsia" w:ascii="仿宋" w:eastAsia="仿宋" w:cs="仿宋"/>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（五）年初结转和结余：</w:t>
      </w:r>
      <w:r>
        <w:rPr>
          <w:rFonts w:hint="eastAsia" w:ascii="仿宋" w:eastAsia="仿宋" w:cs="仿宋"/>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（六）结余分配：</w:t>
      </w:r>
      <w:r>
        <w:rPr>
          <w:rFonts w:hint="eastAsia" w:ascii="仿宋" w:eastAsia="仿宋" w:cs="仿宋"/>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（七）年末结转和结余：</w:t>
      </w:r>
      <w:r>
        <w:rPr>
          <w:rFonts w:hint="eastAsia" w:ascii="仿宋" w:eastAsia="仿宋" w:cs="仿宋"/>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（八）基本支出：</w:t>
      </w:r>
      <w:r>
        <w:rPr>
          <w:rFonts w:hint="eastAsia" w:ascii="仿宋" w:eastAsia="仿宋" w:cs="仿宋"/>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（九）项目支出：</w:t>
      </w:r>
      <w:r>
        <w:rPr>
          <w:rFonts w:hint="eastAsia" w:ascii="仿宋" w:eastAsia="仿宋" w:cs="仿宋"/>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（十）资本性支出（基本建设）：</w:t>
      </w:r>
      <w:r>
        <w:rPr>
          <w:rFonts w:hint="eastAsia" w:ascii="仿宋" w:eastAsia="仿宋" w:cs="仿宋"/>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（十一）资本性支出：</w:t>
      </w:r>
      <w:r>
        <w:rPr>
          <w:rFonts w:hint="eastAsia" w:ascii="仿宋" w:eastAsia="仿宋" w:cs="仿宋"/>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（十二）“三公”经费：</w:t>
      </w:r>
      <w:r>
        <w:rPr>
          <w:rFonts w:hint="eastAsia" w:ascii="仿宋" w:eastAsia="仿宋" w:cs="仿宋"/>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（十三）其他交通费用：</w:t>
      </w:r>
      <w:r>
        <w:rPr>
          <w:rFonts w:hint="eastAsia" w:ascii="仿宋" w:eastAsia="仿宋" w:cs="仿宋"/>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（十四）公务用车购置：</w:t>
      </w:r>
      <w:r>
        <w:rPr>
          <w:rFonts w:hint="eastAsia" w:ascii="仿宋" w:eastAsia="仿宋" w:cs="仿宋"/>
          <w:color w:val="000000"/>
          <w:kern w:val="0"/>
          <w:sz w:val="32"/>
          <w:szCs w:val="32"/>
        </w:rPr>
        <w:t>填列单位公务用车购置支出（含车辆购置税、牌照费）。</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（十五）其他交通工具购置：</w:t>
      </w:r>
      <w:r>
        <w:rPr>
          <w:rFonts w:hint="eastAsia" w:ascii="仿宋" w:eastAsia="仿宋" w:cs="仿宋"/>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 w:eastAsia="仿宋" w:cs="仿宋"/>
          <w:color w:val="000000"/>
          <w:kern w:val="0"/>
          <w:sz w:val="32"/>
          <w:szCs w:val="32"/>
        </w:rPr>
      </w:pPr>
      <w:r>
        <w:rPr>
          <w:rFonts w:hint="eastAsia" w:ascii="仿宋" w:eastAsia="仿宋" w:cs="仿宋"/>
          <w:b/>
          <w:bCs/>
          <w:color w:val="000000"/>
          <w:kern w:val="0"/>
          <w:sz w:val="32"/>
          <w:szCs w:val="32"/>
        </w:rPr>
        <w:t>（十六）机关运行经费：</w:t>
      </w:r>
      <w:r>
        <w:rPr>
          <w:rFonts w:hint="eastAsia" w:ascii="仿宋" w:eastAsia="仿宋" w:cs="仿宋"/>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 w:eastAsia="仿宋" w:cs="仿宋"/>
          <w:kern w:val="0"/>
          <w:sz w:val="32"/>
          <w:szCs w:val="32"/>
        </w:rPr>
      </w:pPr>
      <w:r>
        <w:rPr>
          <w:rFonts w:hint="eastAsia" w:ascii="仿宋" w:eastAsia="仿宋" w:cs="仿宋"/>
          <w:b/>
          <w:bCs/>
          <w:color w:val="000000"/>
          <w:kern w:val="0"/>
          <w:sz w:val="32"/>
          <w:szCs w:val="32"/>
        </w:rPr>
        <w:t>（十七）经费形式:</w:t>
      </w:r>
      <w:r>
        <w:rPr>
          <w:rFonts w:hint="eastAsia" w:ascii="仿宋" w:eastAsia="仿宋" w:cs="仿宋"/>
          <w:color w:val="000000"/>
          <w:kern w:val="0"/>
          <w:sz w:val="32"/>
          <w:szCs w:val="32"/>
        </w:rPr>
        <w:t>按照经费来源，</w:t>
      </w:r>
      <w:r>
        <w:rPr>
          <w:rFonts w:hint="eastAsia" w:ascii="仿宋" w:eastAsia="仿宋" w:cs="仿宋"/>
          <w:kern w:val="0"/>
          <w:sz w:val="32"/>
          <w:szCs w:val="32"/>
        </w:rPr>
        <w:t>可分为财政拨款、财政性资金基本保证、财政性资金定额或定项补助、财政性资金零补助四类。</w:t>
      </w:r>
    </w:p>
    <w:p>
      <w:pPr>
        <w:widowControl/>
        <w:spacing w:line="1200" w:lineRule="exact"/>
        <w:rPr>
          <w:rFonts w:ascii="仿宋" w:eastAsia="仿宋" w:cs="仿宋"/>
          <w:color w:val="000000"/>
          <w:sz w:val="96"/>
          <w:szCs w:val="96"/>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p>
      <w:pPr>
        <w:rPr>
          <w:rFonts w:ascii="仿宋" w:eastAsia="仿宋" w:cs="仿宋"/>
          <w:color w:val="000000"/>
          <w:kern w:val="0"/>
        </w:rPr>
      </w:pPr>
    </w:p>
    <w:sectPr>
      <w:pgSz w:w="11906" w:h="16838"/>
      <w:pgMar w:top="2098" w:right="1474" w:bottom="1985"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DengXian-Regular">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
  <w:docVars>
    <w:docVar w:name="commondata" w:val="eyJoZGlkIjoiMTUxZmI2NmM2NjlkNTQ0YWI2YTljNjM0Y2RmZWI4NjEifQ=="/>
  </w:docVars>
  <w:rsids>
    <w:rsidRoot w:val="00000000"/>
    <w:rsid w:val="42164F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5"/>
    <w:uiPriority w:val="0"/>
    <w:pPr>
      <w:keepNext/>
      <w:keepLines/>
      <w:widowControl w:val="0"/>
      <w:spacing w:before="260" w:after="260" w:line="415" w:lineRule="auto"/>
      <w:outlineLvl w:val="1"/>
    </w:pPr>
    <w:rPr>
      <w:rFonts w:ascii="Calibri" w:hAnsi="Calibri" w:eastAsia="宋体" w:cs="Arial"/>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paragraph" w:styleId="5">
    <w:name w:val="heading 4"/>
    <w:basedOn w:val="1"/>
    <w:next w:val="1"/>
    <w:uiPriority w:val="0"/>
    <w:pPr>
      <w:keepNext/>
      <w:keepLines/>
      <w:widowControl w:val="0"/>
      <w:spacing w:before="280" w:after="290" w:line="377" w:lineRule="auto"/>
      <w:outlineLvl w:val="3"/>
    </w:pPr>
    <w:rPr>
      <w:rFonts w:ascii="Calibri" w:hAnsi="Calibri" w:eastAsia="宋体" w:cs="Arial"/>
      <w:b/>
      <w:bCs/>
      <w:sz w:val="28"/>
      <w:szCs w:val="28"/>
    </w:rPr>
  </w:style>
  <w:style w:type="character" w:default="1" w:styleId="14">
    <w:name w:val="Default Paragraph Font"/>
    <w:uiPriority w:val="0"/>
  </w:style>
  <w:style w:type="table" w:default="1" w:styleId="13">
    <w:name w:val="Normal Table"/>
    <w:semiHidden/>
    <w:uiPriority w:val="0"/>
    <w:tblPr>
      <w:tblCellMar>
        <w:top w:w="0" w:type="dxa"/>
        <w:left w:w="108" w:type="dxa"/>
        <w:bottom w:w="0" w:type="dxa"/>
        <w:right w:w="108" w:type="dxa"/>
      </w:tblCellMar>
    </w:tblPr>
  </w:style>
  <w:style w:type="paragraph" w:styleId="6">
    <w:name w:val="Date"/>
    <w:basedOn w:val="1"/>
    <w:next w:val="1"/>
    <w:qFormat/>
    <w:uiPriority w:val="0"/>
    <w:pPr>
      <w:ind w:left="2500" w:leftChars="2500"/>
    </w:pPr>
  </w:style>
  <w:style w:type="paragraph" w:styleId="7">
    <w:name w:val="Balloon Text"/>
    <w:basedOn w:val="1"/>
    <w:uiPriority w:val="0"/>
    <w:rPr>
      <w:sz w:val="18"/>
      <w:szCs w:val="18"/>
    </w:rPr>
  </w:style>
  <w:style w:type="paragraph" w:styleId="8">
    <w:name w:val="footer"/>
    <w:basedOn w:val="1"/>
    <w:qFormat/>
    <w:uiPriority w:val="0"/>
    <w:pPr>
      <w:tabs>
        <w:tab w:val="center" w:pos="4153"/>
        <w:tab w:val="right" w:pos="8306"/>
      </w:tabs>
      <w:snapToGrid w:val="0"/>
      <w:jc w:val="left"/>
    </w:pPr>
    <w:rPr>
      <w:rFonts w:ascii="Cambria" w:hAnsi="Cambria" w:eastAsia="黑体" w:cs="Times New Roman"/>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mbria" w:hAnsi="Cambria" w:eastAsia="黑体" w:cs="Times New Roman"/>
      <w:sz w:val="18"/>
      <w:szCs w:val="18"/>
    </w:rPr>
  </w:style>
  <w:style w:type="paragraph" w:styleId="10">
    <w:name w:val="Subtitle"/>
    <w:basedOn w:val="1"/>
    <w:next w:val="1"/>
    <w:qFormat/>
    <w:uiPriority w:val="0"/>
    <w:pPr>
      <w:widowControl/>
      <w:spacing w:after="200" w:line="276" w:lineRule="auto"/>
      <w:jc w:val="left"/>
    </w:pPr>
    <w:rPr>
      <w:rFonts w:ascii="Calibri" w:hAnsi="Calibri" w:eastAsia="宋体" w:cs="Arial"/>
      <w:i/>
      <w:iCs/>
      <w:color w:val="F0A22E"/>
      <w:spacing w:val="15"/>
      <w:kern w:val="0"/>
      <w:sz w:val="24"/>
    </w:rPr>
  </w:style>
  <w:style w:type="paragraph" w:styleId="11">
    <w:name w:val="Normal (Web)"/>
    <w:basedOn w:val="1"/>
    <w:qFormat/>
    <w:uiPriority w:val="0"/>
    <w:rPr>
      <w:sz w:val="24"/>
    </w:rPr>
  </w:style>
  <w:style w:type="paragraph" w:styleId="12">
    <w:name w:val="Title"/>
    <w:basedOn w:val="1"/>
    <w:next w:val="1"/>
    <w:qFormat/>
    <w:uiPriority w:val="0"/>
    <w:pPr>
      <w:widowControl/>
      <w:pBdr>
        <w:bottom w:val="single" w:color="F0A22E" w:sz="8" w:space="4"/>
      </w:pBdr>
      <w:spacing w:after="300"/>
      <w:contextualSpacing/>
      <w:jc w:val="left"/>
    </w:pPr>
    <w:rPr>
      <w:rFonts w:ascii="Calibri" w:hAnsi="Calibri" w:eastAsia="宋体" w:cs="Arial"/>
      <w:color w:val="3A2C24"/>
      <w:spacing w:val="5"/>
      <w:kern w:val="28"/>
      <w:sz w:val="52"/>
      <w:szCs w:val="52"/>
    </w:rPr>
  </w:style>
  <w:style w:type="character" w:customStyle="1" w:styleId="15">
    <w:name w:val="heading 2 Char"/>
    <w:basedOn w:val="14"/>
    <w:link w:val="3"/>
    <w:qFormat/>
    <w:uiPriority w:val="0"/>
    <w:rPr>
      <w:rFonts w:ascii="Calibri" w:hAnsi="Calibri" w:eastAsia="宋体" w:cs="Arial"/>
      <w:b/>
      <w:bCs/>
      <w:kern w:val="2"/>
      <w:sz w:val="32"/>
      <w:szCs w:val="32"/>
      <w:lang w:val="en-US" w:eastAsia="zh-CN" w:bidi="ar-SA"/>
    </w:rPr>
  </w:style>
  <w:style w:type="paragraph" w:styleId="16">
    <w:name w:val="No Spacing"/>
    <w:qFormat/>
    <w:uiPriority w:val="0"/>
    <w:pPr>
      <w:spacing w:after="160" w:line="480" w:lineRule="auto"/>
    </w:pPr>
    <w:rPr>
      <w:rFonts w:ascii="Cambria" w:hAnsi="Cambria" w:eastAsia="黑体" w:cs="Times New Roman"/>
      <w:sz w:val="22"/>
      <w:szCs w:val="22"/>
      <w:lang w:val="en-US" w:eastAsia="zh-CN" w:bidi="ar-SA"/>
    </w:rPr>
  </w:style>
  <w:style w:type="character" w:customStyle="1" w:styleId="17">
    <w:name w:val="Style1"/>
    <w:basedOn w:val="14"/>
    <w:qFormat/>
    <w:uiPriority w:val="0"/>
    <w:rPr>
      <w:rFonts w:ascii="Cambria" w:hAnsi="Cambria" w:eastAsia="黑体" w:cs="Times New Roman"/>
      <w:sz w:val="22"/>
      <w:szCs w:val="22"/>
      <w:lang w:eastAsia="zh-CN"/>
    </w:rPr>
  </w:style>
  <w:style w:type="character" w:customStyle="1" w:styleId="18">
    <w:name w:val="Style2"/>
    <w:basedOn w:val="14"/>
    <w:uiPriority w:val="0"/>
    <w:rPr>
      <w:rFonts w:ascii="Cambria" w:hAnsi="Cambria" w:eastAsia="黑体" w:cs="Times New Roman"/>
      <w:sz w:val="22"/>
      <w:szCs w:val="22"/>
      <w:lang w:eastAsia="zh-CN"/>
    </w:rPr>
  </w:style>
  <w:style w:type="character" w:customStyle="1" w:styleId="19">
    <w:name w:val="Style3"/>
    <w:basedOn w:val="14"/>
    <w:uiPriority w:val="0"/>
    <w:rPr>
      <w:rFonts w:ascii="Cambria" w:hAnsi="Cambria" w:eastAsia="黑体" w:cs="Times New Roman"/>
      <w:szCs w:val="22"/>
      <w:lang w:eastAsia="zh-CN"/>
    </w:rPr>
  </w:style>
  <w:style w:type="character" w:customStyle="1" w:styleId="20">
    <w:name w:val="Style4"/>
    <w:basedOn w:val="14"/>
    <w:qFormat/>
    <w:uiPriority w:val="0"/>
    <w:rPr>
      <w:rFonts w:ascii="Cambria" w:hAnsi="Cambria" w:eastAsia="黑体" w:cs="Times New Roman"/>
      <w:szCs w:val="22"/>
      <w:lang w:eastAsia="zh-CN"/>
    </w:rPr>
  </w:style>
  <w:style w:type="character" w:customStyle="1" w:styleId="21">
    <w:name w:val="Style5"/>
    <w:basedOn w:val="14"/>
    <w:qFormat/>
    <w:uiPriority w:val="0"/>
    <w:rPr>
      <w:rFonts w:ascii="Cambria" w:hAnsi="Cambria" w:eastAsia="黑体" w:cs="Times New Roman"/>
      <w:sz w:val="22"/>
      <w:szCs w:val="22"/>
      <w:lang w:eastAsia="zh-CN"/>
    </w:rPr>
  </w:style>
  <w:style w:type="paragraph" w:styleId="22">
    <w:name w:val="List Paragraph"/>
    <w:basedOn w:val="1"/>
    <w:qFormat/>
    <w:uiPriority w:val="0"/>
    <w:pPr>
      <w:ind w:firstLine="20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400" b="0" i="0" u="none" strike="noStrike" baseline="0">
                <a:solidFill>
                  <a:srgbClr val="595959"/>
                </a:solidFill>
                <a:latin typeface="Times New Roman" panose="02020603050405020304"/>
                <a:ea typeface="宋体" panose="02010600030101010101" charset="-122"/>
                <a:cs typeface="Arial" panose="020B0604020202020204" pitchFamily="2"/>
              </a:rPr>
              <a:t>2018年度支出</a:t>
            </a:r>
            <a:endParaRPr lang="zh-CN" sz="1400" b="0" i="0" u="none" strike="noStrike" baseline="0">
              <a:solidFill>
                <a:srgbClr val="595959"/>
              </a:solidFill>
              <a:latin typeface="Times New Roman" panose="02020603050405020304"/>
              <a:ea typeface="宋体" panose="02010600030101010101" charset="-122"/>
              <a:cs typeface="Arial" panose="020B0604020202020204" pitchFamily="2"/>
            </a:endParaRPr>
          </a:p>
        </c:rich>
      </c:tx>
      <c:layout/>
      <c:overlay val="0"/>
      <c:spPr>
        <a:noFill/>
        <a:ln>
          <a:noFill/>
        </a:ln>
      </c:spPr>
    </c:title>
    <c:autoTitleDeleted val="0"/>
    <c:plotArea>
      <c:layout/>
      <c:pieChart>
        <c:varyColors val="1"/>
        <c:ser>
          <c:idx val="0"/>
          <c:order val="0"/>
          <c:tx>
            <c:strRef>
              <c:f>'Sheet1'!$B$1</c:f>
              <c:strCache>
                <c:ptCount val="1"/>
                <c:pt idx="0">
                  <c:v>2018年度支出</c:v>
                </c:pt>
              </c:strCache>
            </c:strRef>
          </c:tx>
          <c:spPr>
            <a:ln>
              <a:noFill/>
            </a:ln>
          </c:spPr>
          <c:explosion val="0"/>
          <c:dPt>
            <c:idx val="0"/>
            <c:bubble3D val="0"/>
            <c:spPr>
              <a:solidFill>
                <a:srgbClr val="F0A22E"/>
              </a:solidFill>
              <a:ln w="19050">
                <a:solidFill>
                  <a:srgbClr val="FFFFFF"/>
                </a:solidFill>
                <a:prstDash val="solid"/>
              </a:ln>
            </c:spPr>
          </c:dPt>
          <c:dPt>
            <c:idx val="1"/>
            <c:bubble3D val="0"/>
            <c:spPr>
              <a:solidFill>
                <a:srgbClr val="A5644E"/>
              </a:solidFill>
              <a:ln w="19050">
                <a:solidFill>
                  <a:srgbClr val="FFFFFF"/>
                </a:solidFill>
                <a:prstDash val="solid"/>
              </a:ln>
            </c:spPr>
          </c:dPt>
          <c:dLbls>
            <c:numFmt formatCode="0.00%"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0.7535</c:v>
                </c:pt>
                <c:pt idx="1">
                  <c:v>0.2465</c:v>
                </c:pt>
              </c:numCache>
            </c:numRef>
          </c:val>
        </c:ser>
        <c:dLbls>
          <c:showLegendKey val="0"/>
          <c:showVal val="1"/>
          <c:showCatName val="0"/>
          <c:showSerName val="0"/>
          <c:showPercent val="0"/>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345834"/>
          <c:y val="0.10302784"/>
          <c:w val="0.80817705"/>
          <c:h val="0.8551514"/>
        </c:manualLayout>
      </c:layout>
      <c:barChart>
        <c:barDir val="col"/>
        <c:grouping val="clustered"/>
        <c:varyColors val="0"/>
        <c:ser>
          <c:idx val="0"/>
          <c:order val="0"/>
          <c:tx>
            <c:strRef>
              <c:f>'Sheet1 (2)'!$B$1</c:f>
              <c:strCache>
                <c:ptCount val="1"/>
                <c:pt idx="0">
                  <c:v>2018年度</c:v>
                </c:pt>
              </c:strCache>
            </c:strRef>
          </c:tx>
          <c:spPr>
            <a:solidFill>
              <a:srgbClr val="F0A22E"/>
            </a:solidFill>
            <a:ln>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(2)'!$A$2:$A$3</c:f>
              <c:strCache>
                <c:ptCount val="2"/>
                <c:pt idx="0">
                  <c:v>一般公共预算财政拨款收入</c:v>
                </c:pt>
                <c:pt idx="1">
                  <c:v>一般公共预算财政拨款支出</c:v>
                </c:pt>
              </c:strCache>
            </c:strRef>
          </c:cat>
          <c:val>
            <c:numRef>
              <c:f>'Sheet1 (2)'!$B$2:$B$3</c:f>
              <c:numCache>
                <c:formatCode>General</c:formatCode>
                <c:ptCount val="2"/>
                <c:pt idx="0">
                  <c:v>1362.33</c:v>
                </c:pt>
                <c:pt idx="1">
                  <c:v>1328.39</c:v>
                </c:pt>
              </c:numCache>
            </c:numRef>
          </c:val>
        </c:ser>
        <c:ser>
          <c:idx val="1"/>
          <c:order val="1"/>
          <c:tx>
            <c:strRef>
              <c:f>'Sheet1 (2)'!$C$1</c:f>
              <c:strCache>
                <c:ptCount val="1"/>
                <c:pt idx="0">
                  <c:v>2017年度</c:v>
                </c:pt>
              </c:strCache>
            </c:strRef>
          </c:tx>
          <c:spPr>
            <a:solidFill>
              <a:srgbClr val="A5644E"/>
            </a:solidFill>
            <a:ln>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(2)'!$A$2:$A$3</c:f>
              <c:strCache>
                <c:ptCount val="2"/>
                <c:pt idx="0">
                  <c:v>一般公共预算财政拨款收入</c:v>
                </c:pt>
                <c:pt idx="1">
                  <c:v>一般公共预算财政拨款支出</c:v>
                </c:pt>
              </c:strCache>
            </c:strRef>
          </c:cat>
          <c:val>
            <c:numRef>
              <c:f>'Sheet1 (2)'!$C$2:$C$3</c:f>
              <c:numCache>
                <c:formatCode>General</c:formatCode>
                <c:ptCount val="2"/>
                <c:pt idx="0">
                  <c:v>1075.32</c:v>
                </c:pt>
                <c:pt idx="1">
                  <c:v>1075.32</c:v>
                </c:pt>
              </c:numCache>
            </c:numRef>
          </c:val>
        </c:ser>
        <c:dLbls>
          <c:showLegendKey val="0"/>
          <c:showVal val="1"/>
          <c:showCatName val="0"/>
          <c:showSerName val="0"/>
          <c:showPercent val="0"/>
          <c:showBubbleSize val="0"/>
        </c:dLbls>
        <c:gapWidth val="219"/>
        <c:overlap val="-27"/>
        <c:axId val="0"/>
        <c:axId val="1"/>
      </c:barChart>
      <c:catAx>
        <c:axId val="0"/>
        <c:scaling>
          <c:orientation val="minMax"/>
        </c:scaling>
        <c:delete val="0"/>
        <c:axPos val="b"/>
        <c:numFmt formatCode="General" sourceLinked="1"/>
        <c:majorTickMark val="out"/>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9D9D9"/>
              </a:solidFill>
              <a:prstDash val="solid"/>
              <a:round/>
            </a:ln>
          </c:spPr>
        </c:majorGridlines>
        <c:numFmt formatCode="General"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baseline="0">
                <a:solidFill>
                  <a:srgbClr val="595959"/>
                </a:solidFill>
                <a:latin typeface="Times New Roman" panose="02020603050405020304"/>
                <a:ea typeface="宋体" panose="02010600030101010101" charset="-122"/>
                <a:cs typeface="Arial" panose="020B0604020202020204" pitchFamily="2"/>
              </a:defRPr>
            </a:pPr>
            <a:r>
              <a:rPr lang="zh-CN"/>
              <a:t>图表标题</a:t>
            </a:r>
            <a:endParaRPr lang="zh-CN"/>
          </a:p>
        </c:rich>
      </c:tx>
      <c:layout/>
      <c:overlay val="0"/>
      <c:spPr>
        <a:noFill/>
        <a:ln>
          <a:noFill/>
        </a:ln>
      </c:spPr>
    </c:title>
    <c:autoTitleDeleted val="0"/>
    <c:plotArea>
      <c:layout>
        <c:manualLayout>
          <c:layoutTarget val="inner"/>
          <c:xMode val="edge"/>
          <c:yMode val="edge"/>
          <c:x val="0.06763782"/>
          <c:y val="0.106568545"/>
          <c:w val="0.85324746"/>
          <c:h val="0.73536843"/>
        </c:manualLayout>
      </c:layout>
      <c:barChart>
        <c:barDir val="col"/>
        <c:grouping val="clustered"/>
        <c:varyColors val="0"/>
        <c:ser>
          <c:idx val="0"/>
          <c:order val="0"/>
          <c:tx>
            <c:strRef>
              <c:f>'Sheet1 (3)'!$B$1</c:f>
              <c:strCache>
                <c:ptCount val="1"/>
                <c:pt idx="0">
                  <c:v>2018年度决算</c:v>
                </c:pt>
              </c:strCache>
            </c:strRef>
          </c:tx>
          <c:spPr>
            <a:solidFill>
              <a:srgbClr val="F0A22E"/>
            </a:solidFill>
            <a:ln>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(3)'!$A$2:$A$3</c:f>
              <c:strCache>
                <c:ptCount val="2"/>
                <c:pt idx="0">
                  <c:v>一般公共预算财政拨款收入</c:v>
                </c:pt>
                <c:pt idx="1">
                  <c:v>一般公共预算财政拨款支出</c:v>
                </c:pt>
              </c:strCache>
            </c:strRef>
          </c:cat>
          <c:val>
            <c:numRef>
              <c:f>'Sheet1 (3)'!$B$2:$B$3</c:f>
              <c:numCache>
                <c:formatCode>General</c:formatCode>
                <c:ptCount val="2"/>
                <c:pt idx="0">
                  <c:v>1362.33</c:v>
                </c:pt>
                <c:pt idx="1">
                  <c:v>1328.39</c:v>
                </c:pt>
              </c:numCache>
            </c:numRef>
          </c:val>
        </c:ser>
        <c:ser>
          <c:idx val="1"/>
          <c:order val="1"/>
          <c:tx>
            <c:strRef>
              <c:f>'Sheet1 (3)'!$C$1</c:f>
              <c:strCache>
                <c:ptCount val="1"/>
                <c:pt idx="0">
                  <c:v>2018年度预算</c:v>
                </c:pt>
              </c:strCache>
            </c:strRef>
          </c:tx>
          <c:spPr>
            <a:solidFill>
              <a:srgbClr val="A5644E"/>
            </a:solidFill>
            <a:ln>
              <a:noFill/>
            </a:ln>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(3)'!$A$2:$A$3</c:f>
              <c:strCache>
                <c:ptCount val="2"/>
                <c:pt idx="0">
                  <c:v>一般公共预算财政拨款收入</c:v>
                </c:pt>
                <c:pt idx="1">
                  <c:v>一般公共预算财政拨款支出</c:v>
                </c:pt>
              </c:strCache>
            </c:strRef>
          </c:cat>
          <c:val>
            <c:numRef>
              <c:f>'Sheet1 (3)'!$C$2:$C$3</c:f>
              <c:numCache>
                <c:formatCode>General</c:formatCode>
                <c:ptCount val="2"/>
                <c:pt idx="0">
                  <c:v>1037.54</c:v>
                </c:pt>
                <c:pt idx="1">
                  <c:v>1037.54</c:v>
                </c:pt>
              </c:numCache>
            </c:numRef>
          </c:val>
        </c:ser>
        <c:dLbls>
          <c:showLegendKey val="0"/>
          <c:showVal val="1"/>
          <c:showCatName val="0"/>
          <c:showSerName val="0"/>
          <c:showPercent val="0"/>
          <c:showBubbleSize val="0"/>
        </c:dLbls>
        <c:gapWidth val="219"/>
        <c:overlap val="-27"/>
        <c:axId val="0"/>
        <c:axId val="1"/>
      </c:barChart>
      <c:catAx>
        <c:axId val="0"/>
        <c:scaling>
          <c:orientation val="minMax"/>
        </c:scaling>
        <c:delete val="0"/>
        <c:axPos val="b"/>
        <c:numFmt formatCode="General" sourceLinked="1"/>
        <c:majorTickMark val="none"/>
        <c:minorTickMark val="none"/>
        <c:tickLblPos val="nextTo"/>
        <c:spPr>
          <a:ln w="6350" cap="flat" cmpd="sng" algn="ctr">
            <a:solidFill>
              <a:srgbClr val="D9D9D9"/>
            </a:solid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spPr>
            <a:ln w="6350" cap="flat" cmpd="sng" algn="ctr">
              <a:solidFill>
                <a:srgbClr val="D9D9D9"/>
              </a:solidFill>
              <a:prstDash val="solid"/>
              <a:round/>
            </a:ln>
          </c:spPr>
        </c:majorGridlines>
        <c:numFmt formatCode="General" sourceLinked="1"/>
        <c:majorTickMark val="none"/>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dTable>
        <c:showHorzBorder val="1"/>
        <c:showVertBorder val="1"/>
        <c:showOutline val="1"/>
        <c:showKeys val="1"/>
        <c:spPr>
          <a:ln w="6350" cap="flat" cmpd="sng" algn="ctr">
            <a:solidFill>
              <a:srgbClr val="D9D9D9"/>
            </a:solidFill>
            <a:prstDash val="solid"/>
            <a:round/>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dTable>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1400" b="0" i="0" u="none" strike="noStrike" baseline="0">
                <a:solidFill>
                  <a:srgbClr val="595959"/>
                </a:solidFill>
                <a:latin typeface="Times New Roman" panose="02020603050405020304"/>
                <a:ea typeface="宋体" panose="02010600030101010101" charset="-122"/>
                <a:cs typeface="Arial" panose="020B0604020202020204" pitchFamily="2"/>
              </a:rPr>
              <a:t>2018年度财政拨款支出</a:t>
            </a:r>
            <a:endParaRPr lang="zh-CN" sz="1400" b="0" i="0" u="none" strike="noStrike" baseline="0">
              <a:solidFill>
                <a:srgbClr val="595959"/>
              </a:solidFill>
              <a:latin typeface="Times New Roman" panose="02020603050405020304"/>
              <a:ea typeface="宋体" panose="02010600030101010101" charset="-122"/>
              <a:cs typeface="Arial" panose="020B0604020202020204" pitchFamily="2"/>
            </a:endParaRPr>
          </a:p>
        </c:rich>
      </c:tx>
      <c:layout>
        <c:manualLayout>
          <c:xMode val="edge"/>
          <c:yMode val="edge"/>
          <c:x val="0.50423235"/>
          <c:y val="0.044134535"/>
        </c:manualLayout>
      </c:layout>
      <c:overlay val="0"/>
      <c:spPr>
        <a:noFill/>
        <a:ln>
          <a:noFill/>
        </a:ln>
      </c:spPr>
    </c:title>
    <c:autoTitleDeleted val="0"/>
    <c:plotArea>
      <c:layout/>
      <c:pieChart>
        <c:varyColors val="1"/>
        <c:ser>
          <c:idx val="0"/>
          <c:order val="0"/>
          <c:spPr>
            <a:ln>
              <a:noFill/>
            </a:ln>
          </c:spPr>
          <c:explosion val="0"/>
          <c:dPt>
            <c:idx val="0"/>
            <c:bubble3D val="0"/>
            <c:explosion val="3"/>
            <c:spPr>
              <a:solidFill>
                <a:srgbClr val="F0A22E"/>
              </a:solidFill>
              <a:ln w="19050">
                <a:solidFill>
                  <a:srgbClr val="FFFFFF"/>
                </a:solidFill>
                <a:prstDash val="solid"/>
              </a:ln>
            </c:spPr>
          </c:dPt>
          <c:dPt>
            <c:idx val="1"/>
            <c:bubble3D val="0"/>
            <c:spPr>
              <a:solidFill>
                <a:srgbClr val="A5644E"/>
              </a:solidFill>
              <a:ln w="19050">
                <a:solidFill>
                  <a:srgbClr val="FFFFFF"/>
                </a:solidFill>
                <a:prstDash val="solid"/>
              </a:ln>
            </c:spPr>
          </c:dPt>
          <c:dPt>
            <c:idx val="2"/>
            <c:bubble3D val="0"/>
            <c:spPr>
              <a:solidFill>
                <a:srgbClr val="B58B80"/>
              </a:solidFill>
              <a:ln w="19050">
                <a:solidFill>
                  <a:srgbClr val="FFFFFF"/>
                </a:solidFill>
                <a:prstDash val="solid"/>
              </a:ln>
            </c:spPr>
          </c:dPt>
          <c:dPt>
            <c:idx val="3"/>
            <c:bubble3D val="0"/>
            <c:spPr>
              <a:solidFill>
                <a:srgbClr val="C3986D"/>
              </a:solidFill>
              <a:ln w="19050">
                <a:solidFill>
                  <a:srgbClr val="FFFFFF"/>
                </a:solidFill>
                <a:prstDash val="solid"/>
              </a:ln>
            </c:spPr>
          </c:dPt>
          <c:dPt>
            <c:idx val="4"/>
            <c:bubble3D val="0"/>
            <c:spPr>
              <a:solidFill>
                <a:srgbClr val="A19574"/>
              </a:solidFill>
              <a:ln w="19050">
                <a:solidFill>
                  <a:srgbClr val="FFFFFF"/>
                </a:solidFill>
                <a:prstDash val="solid"/>
              </a:ln>
            </c:spPr>
          </c:dPt>
          <c:dLbls>
            <c:dLbl>
              <c:idx val="3"/>
              <c:layout>
                <c:manualLayout>
                  <c:x val="0.00047832145"/>
                  <c:y val="-0.0733037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36925174"/>
                  <c:y val="0.02602451"/>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(4)'!$A$2:$A$6</c:f>
              <c:strCache>
                <c:ptCount val="5"/>
                <c:pt idx="0">
                  <c:v>一般公共服务（类）支出879.45万元</c:v>
                </c:pt>
                <c:pt idx="1">
                  <c:v>社会保障和就业（类）支出82.42</c:v>
                </c:pt>
                <c:pt idx="2">
                  <c:v>医疗卫生与计划生育（类）支出39.15</c:v>
                </c:pt>
                <c:pt idx="3">
                  <c:v>项目（类）支出327.36</c:v>
                </c:pt>
                <c:pt idx="4">
                  <c:v>资源勘探信息等（类）支出</c:v>
                </c:pt>
              </c:strCache>
            </c:strRef>
          </c:cat>
          <c:val>
            <c:numRef>
              <c:f>'Sheet1 (4)'!$B$2:$B$6</c:f>
              <c:numCache>
                <c:formatCode>General</c:formatCode>
                <c:ptCount val="5"/>
                <c:pt idx="0">
                  <c:v>90.84</c:v>
                </c:pt>
                <c:pt idx="1">
                  <c:v>6.21</c:v>
                </c:pt>
                <c:pt idx="2">
                  <c:v>0.0295</c:v>
                </c:pt>
              </c:numCache>
            </c:numRef>
          </c:val>
        </c:ser>
        <c:dLbls>
          <c:showLegendKey val="0"/>
          <c:showVal val="1"/>
          <c:showCatName val="0"/>
          <c:showSerName val="0"/>
          <c:showPercent val="0"/>
          <c:showBubbleSize val="0"/>
          <c:showLeaderLines val="1"/>
        </c:dLbls>
        <c:firstSliceAng val="0"/>
      </c:pieChart>
      <c:spPr>
        <a:noFill/>
        <a:ln>
          <a:noFill/>
        </a:ln>
      </c:spPr>
    </c:plotArea>
    <c:legend>
      <c:legendPos val="r"/>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0"/>
    <c:dispBlanksAs val="zero"/>
    <c:showDLblsOverMax val="0"/>
  </c:chart>
  <c:spPr>
    <a:solidFill>
      <a:srgbClr val="FFFFFF"/>
    </a:solidFill>
    <a:ln w="635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25</Pages>
  <Words>4995</Words>
  <Characters>5396</Characters>
  <Lines>404</Lines>
  <Paragraphs>147</Paragraphs>
  <TotalTime>1</TotalTime>
  <ScaleCrop>false</ScaleCrop>
  <LinksUpToDate>false</LinksUpToDate>
  <CharactersWithSpaces>5441</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2021-05-27T11:27:00Z</dcterms:created>
  <dc:creator>User</dc:creator>
  <cp:lastModifiedBy>付娟</cp:lastModifiedBy>
  <cp:lastPrinted>2019-09-27T00:42:00Z</cp:lastPrinted>
  <dcterms:modified xsi:type="dcterms:W3CDTF">2023-06-01T08:10:37Z</dcterms:modified>
  <dc:subject>石家庄市xxx部门</dc:subject>
  <dc:title>2017年度部门决算</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C28EFDE0C17E42CDA8B4437D98B8BFDD_13</vt:lpwstr>
  </property>
</Properties>
</file>