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大城县留各庄镇完成中心小学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大城县留各庄完成中心小学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研究拟定学校中长期发展规划和年度计划，组织实施初中、艺术高中教育教学工作，确保高质量的九年义务教育和三年艺术高中教育工作成果。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8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78"/>
        <w:gridCol w:w="2760"/>
        <w:gridCol w:w="1995"/>
        <w:gridCol w:w="3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07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76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995"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06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078" w:type="dxa"/>
            <w:vMerge w:val="continue"/>
            <w:shd w:val="clear" w:color="auto" w:fill="auto"/>
            <w:vAlign w:val="center"/>
          </w:tcPr>
          <w:p/>
        </w:tc>
        <w:tc>
          <w:tcPr>
            <w:tcW w:w="2760" w:type="dxa"/>
            <w:vMerge w:val="continue"/>
            <w:shd w:val="clear" w:color="auto" w:fill="auto"/>
            <w:vAlign w:val="center"/>
          </w:tcPr>
          <w:p/>
        </w:tc>
        <w:tc>
          <w:tcPr>
            <w:tcW w:w="1995" w:type="dxa"/>
            <w:vMerge w:val="continue"/>
            <w:shd w:val="clear" w:color="auto" w:fill="auto"/>
            <w:vAlign w:val="center"/>
          </w:tcPr>
          <w:p/>
        </w:tc>
        <w:tc>
          <w:tcPr>
            <w:tcW w:w="3060"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078" w:type="dxa"/>
            <w:shd w:val="clear" w:color="auto" w:fill="auto"/>
            <w:vAlign w:val="center"/>
          </w:tcPr>
          <w:p>
            <w:pPr>
              <w:spacing w:line="584" w:lineRule="exact"/>
              <w:jc w:val="center"/>
              <w:rPr>
                <w:rFonts w:ascii="宋体" w:hAnsi="宋体" w:cs="宋体"/>
                <w:szCs w:val="21"/>
              </w:rPr>
            </w:pPr>
            <w:r>
              <w:rPr>
                <w:rFonts w:hint="eastAsia" w:ascii="宋体" w:hAnsi="宋体" w:cs="宋体"/>
                <w:szCs w:val="21"/>
              </w:rPr>
              <w:t>留各庄镇完成中心小学</w:t>
            </w:r>
          </w:p>
        </w:tc>
        <w:tc>
          <w:tcPr>
            <w:tcW w:w="2760" w:type="dxa"/>
            <w:shd w:val="clear" w:color="auto" w:fill="auto"/>
            <w:vAlign w:val="center"/>
          </w:tcPr>
          <w:p>
            <w:pPr>
              <w:spacing w:line="584" w:lineRule="exact"/>
              <w:jc w:val="center"/>
              <w:rPr>
                <w:rFonts w:ascii="宋体" w:hAnsi="宋体" w:cs="宋体"/>
                <w:szCs w:val="21"/>
              </w:rPr>
            </w:pPr>
            <w:r>
              <w:rPr>
                <w:rFonts w:hint="eastAsia" w:ascii="宋体" w:hAnsi="宋体" w:cs="宋体"/>
                <w:szCs w:val="21"/>
              </w:rPr>
              <w:t>事业</w:t>
            </w:r>
          </w:p>
        </w:tc>
        <w:tc>
          <w:tcPr>
            <w:tcW w:w="1995" w:type="dxa"/>
            <w:shd w:val="clear" w:color="auto" w:fill="auto"/>
            <w:vAlign w:val="center"/>
          </w:tcPr>
          <w:p>
            <w:pPr>
              <w:spacing w:line="584" w:lineRule="exact"/>
              <w:jc w:val="center"/>
              <w:rPr>
                <w:rFonts w:ascii="宋体" w:hAnsi="宋体" w:cs="宋体"/>
                <w:szCs w:val="21"/>
              </w:rPr>
            </w:pPr>
            <w:r>
              <w:rPr>
                <w:rFonts w:hint="eastAsia" w:ascii="宋体" w:hAnsi="宋体" w:cs="宋体"/>
                <w:szCs w:val="21"/>
              </w:rPr>
              <w:t>其它</w:t>
            </w:r>
          </w:p>
        </w:tc>
        <w:tc>
          <w:tcPr>
            <w:tcW w:w="3060" w:type="dxa"/>
            <w:shd w:val="clear" w:color="auto" w:fill="auto"/>
            <w:vAlign w:val="center"/>
          </w:tcPr>
          <w:p>
            <w:pPr>
              <w:spacing w:line="584" w:lineRule="exact"/>
              <w:jc w:val="center"/>
              <w:rPr>
                <w:rFonts w:ascii="宋体" w:hAnsi="宋体" w:cs="宋体"/>
                <w:szCs w:val="21"/>
              </w:rPr>
            </w:pPr>
            <w:r>
              <w:rPr>
                <w:rFonts w:hint="eastAsia" w:ascii="宋体" w:hAnsi="宋体" w:cs="宋体"/>
                <w:sz w:val="18"/>
                <w:szCs w:val="18"/>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学校</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470.61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464.43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6.18万元。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我校2022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470.61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370.74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318.38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52.36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99.87</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为人事代理教师管理费和2018-2021年人事代理教师项目。</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470.61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120.65万元，其中：基本支出增加20.78元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99.87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义务教育薄弱环节改善及能力提升项目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52.36</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用于学校的</w:t>
      </w:r>
      <w:bookmarkStart w:id="3" w:name="_GoBack"/>
      <w:bookmarkEnd w:id="3"/>
      <w:r>
        <w:rPr>
          <w:rFonts w:ascii="Times New Roman" w:hAnsi="Times New Roman" w:eastAsia="仿宋_GB2312" w:cs="Times New Roman"/>
          <w:sz w:val="32"/>
          <w:szCs w:val="32"/>
        </w:rPr>
        <w:t>日常维修、水电费、</w:t>
      </w:r>
      <w:r>
        <w:rPr>
          <w:rFonts w:hint="eastAsia" w:ascii="Times New Roman" w:hAnsi="Times New Roman" w:eastAsia="仿宋_GB2312" w:cs="Times New Roman"/>
          <w:sz w:val="32"/>
          <w:szCs w:val="32"/>
        </w:rPr>
        <w:t>教学</w:t>
      </w:r>
      <w:r>
        <w:rPr>
          <w:rFonts w:ascii="Times New Roman" w:hAnsi="Times New Roman" w:eastAsia="仿宋_GB2312" w:cs="Times New Roman"/>
          <w:sz w:val="32"/>
          <w:szCs w:val="32"/>
        </w:rPr>
        <w:t>用房取暖费等日常运行支出。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numPr>
          <w:ilvl w:val="0"/>
          <w:numId w:val="0"/>
        </w:numPr>
        <w:spacing w:line="584" w:lineRule="exact"/>
        <w:ind w:firstLine="640" w:firstLineChars="200"/>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numPr>
          <w:ilvl w:val="0"/>
          <w:numId w:val="0"/>
        </w:numPr>
        <w:spacing w:line="584" w:lineRule="exact"/>
        <w:ind w:firstLine="643" w:firstLineChars="200"/>
        <w:rPr>
          <w:rFonts w:ascii="Times New Roman" w:hAnsi="Times New Roman" w:eastAsia="黑体" w:cs="Times New Roman"/>
          <w:sz w:val="32"/>
          <w:szCs w:val="32"/>
        </w:rPr>
      </w:pPr>
      <w:r>
        <w:rPr>
          <w:rFonts w:hint="eastAsia" w:ascii="Times New Roman" w:hAnsi="Times New Roman" w:eastAsia="仿宋_GB2312" w:cs="Times New Roman"/>
          <w:b/>
          <w:bCs/>
          <w:sz w:val="32"/>
          <w:szCs w:val="32"/>
          <w:highlight w:val="none"/>
          <w:lang w:eastAsia="zh-CN"/>
        </w:rPr>
        <w:t>五</w:t>
      </w:r>
      <w:r>
        <w:rPr>
          <w:rFonts w:hint="eastAsia" w:ascii="Times New Roman" w:hAnsi="Times New Roman" w:eastAsia="仿宋_GB2312" w:cs="Times New Roman"/>
          <w:sz w:val="32"/>
          <w:szCs w:val="32"/>
          <w:highlight w:val="none"/>
          <w:lang w:eastAsia="zh-CN"/>
        </w:rPr>
        <w:t>．</w:t>
      </w:r>
      <w:r>
        <w:rPr>
          <w:rFonts w:ascii="Times New Roman" w:hAnsi="Times New Roman" w:eastAsia="黑体" w:cs="Times New Roman"/>
          <w:sz w:val="32"/>
          <w:szCs w:val="32"/>
        </w:rPr>
        <w:t>绩效预算信息</w:t>
      </w: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　　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学校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ascii="Times New Roman" w:hAnsi="Times New Roman" w:eastAsia="仿宋_GB2312"/>
          <w:sz w:val="32"/>
          <w:szCs w:val="32"/>
        </w:rPr>
      </w:pPr>
      <w:r>
        <w:rPr>
          <w:rFonts w:hint="eastAsia" w:ascii="Times New Roman" w:hAnsi="Times New Roman" w:eastAsia="仿宋_GB2312"/>
          <w:sz w:val="32"/>
          <w:szCs w:val="32"/>
        </w:rPr>
        <w:t>2、提高学生综合素质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绩效目标：通过开展新生军训、运动会、足球特色学校建设等活动，提高学生综合素质，促进学生全面、健康成长。</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spacing w:line="584" w:lineRule="exact"/>
        <w:ind w:firstLine="640" w:firstLineChars="200"/>
        <w:rPr>
          <w:rFonts w:ascii="Times New Roman" w:hAnsi="Times New Roman" w:eastAsia="仿宋_GB2312"/>
          <w:sz w:val="32"/>
          <w:szCs w:val="32"/>
        </w:rPr>
      </w:pPr>
    </w:p>
    <w:p>
      <w:pPr>
        <w:numPr>
          <w:ilvl w:val="0"/>
          <w:numId w:val="1"/>
        </w:num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13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10"/>
        <w:gridCol w:w="1883"/>
        <w:gridCol w:w="742"/>
        <w:gridCol w:w="2327"/>
        <w:gridCol w:w="1483"/>
        <w:gridCol w:w="1230"/>
        <w:gridCol w:w="750"/>
        <w:gridCol w:w="720"/>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2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8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74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3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70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81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210" w:type="dxa"/>
            <w:vMerge w:val="continue"/>
            <w:tcBorders>
              <w:tl2br w:val="nil"/>
              <w:tr2bl w:val="nil"/>
            </w:tcBorders>
            <w:vAlign w:val="center"/>
          </w:tcPr>
          <w:p/>
        </w:tc>
        <w:tc>
          <w:tcPr>
            <w:tcW w:w="1883" w:type="dxa"/>
            <w:vMerge w:val="continue"/>
            <w:tcBorders>
              <w:tl2br w:val="nil"/>
              <w:tr2bl w:val="nil"/>
            </w:tcBorders>
            <w:vAlign w:val="center"/>
          </w:tcPr>
          <w:p/>
        </w:tc>
        <w:tc>
          <w:tcPr>
            <w:tcW w:w="742" w:type="dxa"/>
            <w:vMerge w:val="continue"/>
            <w:tcBorders>
              <w:tl2br w:val="nil"/>
              <w:tr2bl w:val="nil"/>
            </w:tcBorders>
            <w:vAlign w:val="center"/>
          </w:tcPr>
          <w:p/>
        </w:tc>
        <w:tc>
          <w:tcPr>
            <w:tcW w:w="2327" w:type="dxa"/>
            <w:vMerge w:val="continue"/>
            <w:tcBorders>
              <w:tl2br w:val="nil"/>
              <w:tr2bl w:val="nil"/>
            </w:tcBorders>
            <w:vAlign w:val="center"/>
          </w:tcPr>
          <w:p/>
        </w:tc>
        <w:tc>
          <w:tcPr>
            <w:tcW w:w="1483" w:type="dxa"/>
            <w:vMerge w:val="continue"/>
            <w:tcBorders>
              <w:tl2br w:val="nil"/>
              <w:tr2bl w:val="nil"/>
            </w:tcBorders>
            <w:vAlign w:val="center"/>
          </w:tcPr>
          <w:p/>
        </w:tc>
        <w:tc>
          <w:tcPr>
            <w:tcW w:w="12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81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1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8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数量</w:t>
            </w:r>
          </w:p>
        </w:tc>
        <w:tc>
          <w:tcPr>
            <w:tcW w:w="742"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数量指标</w:t>
            </w:r>
          </w:p>
        </w:tc>
        <w:tc>
          <w:tcPr>
            <w:tcW w:w="2327"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完成教学安排数</w:t>
            </w:r>
          </w:p>
        </w:tc>
        <w:tc>
          <w:tcPr>
            <w:tcW w:w="14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教学安排方案</w:t>
            </w:r>
          </w:p>
        </w:tc>
        <w:tc>
          <w:tcPr>
            <w:tcW w:w="1230" w:type="dxa"/>
            <w:tcBorders>
              <w:tl2br w:val="nil"/>
              <w:tr2bl w:val="nil"/>
            </w:tcBorders>
            <w:vAlign w:val="center"/>
          </w:tcPr>
          <w:p>
            <w:pPr>
              <w:widowControl/>
              <w:adjustRightInd w:val="0"/>
              <w:snapToGrid w:val="0"/>
              <w:rPr>
                <w:rFonts w:ascii="宋体" w:hAnsi="宋体" w:cs="宋体"/>
                <w:szCs w:val="21"/>
              </w:rPr>
            </w:pPr>
            <w:r>
              <w:rPr>
                <w:rFonts w:hint="eastAsia" w:ascii="宋体" w:hAnsi="宋体" w:cs="宋体"/>
                <w:szCs w:val="21"/>
              </w:rPr>
              <w:t>开展学校各项</w:t>
            </w:r>
          </w:p>
        </w:tc>
        <w:tc>
          <w:tcPr>
            <w:tcW w:w="750"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color w:val="000000"/>
                <w:kern w:val="0"/>
                <w:szCs w:val="21"/>
              </w:rPr>
              <w:t>文字描述</w:t>
            </w:r>
          </w:p>
        </w:tc>
        <w:tc>
          <w:tcPr>
            <w:tcW w:w="720" w:type="dxa"/>
            <w:tcBorders>
              <w:tl2br w:val="nil"/>
              <w:tr2bl w:val="nil"/>
            </w:tcBorders>
            <w:vAlign w:val="center"/>
          </w:tcPr>
          <w:p>
            <w:pPr>
              <w:widowControl/>
              <w:adjustRightInd w:val="0"/>
              <w:snapToGrid w:val="0"/>
              <w:jc w:val="center"/>
              <w:rPr>
                <w:rFonts w:ascii="宋体" w:hAnsi="宋体" w:cs="宋体"/>
                <w:szCs w:val="21"/>
              </w:rPr>
            </w:pPr>
          </w:p>
        </w:tc>
        <w:tc>
          <w:tcPr>
            <w:tcW w:w="281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完成年度安排的各项教学、体育、文艺等活动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4"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质量</w:t>
            </w:r>
          </w:p>
        </w:tc>
        <w:tc>
          <w:tcPr>
            <w:tcW w:w="742"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质量指标</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开展体育活动情况</w:t>
            </w:r>
          </w:p>
        </w:tc>
        <w:tc>
          <w:tcPr>
            <w:tcW w:w="1483"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活动方案</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开展大型体育活动次数</w:t>
            </w:r>
          </w:p>
        </w:tc>
        <w:tc>
          <w:tcPr>
            <w:tcW w:w="750"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w:t>
            </w:r>
          </w:p>
        </w:tc>
        <w:tc>
          <w:tcPr>
            <w:tcW w:w="720"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100</w:t>
            </w:r>
          </w:p>
        </w:tc>
        <w:tc>
          <w:tcPr>
            <w:tcW w:w="2813"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57"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时效</w:t>
            </w:r>
          </w:p>
        </w:tc>
        <w:tc>
          <w:tcPr>
            <w:tcW w:w="742"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时效指标</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安装时开展工作</w:t>
            </w:r>
          </w:p>
        </w:tc>
        <w:tc>
          <w:tcPr>
            <w:tcW w:w="1483"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绩效预算文本</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教体活动按照预算资金及时开展活动</w:t>
            </w:r>
          </w:p>
        </w:tc>
        <w:tc>
          <w:tcPr>
            <w:tcW w:w="750"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文字描述</w:t>
            </w:r>
          </w:p>
        </w:tc>
        <w:tc>
          <w:tcPr>
            <w:tcW w:w="720" w:type="dxa"/>
            <w:tcBorders>
              <w:tl2br w:val="nil"/>
              <w:tr2bl w:val="nil"/>
            </w:tcBorders>
            <w:vAlign w:val="center"/>
          </w:tcPr>
          <w:p>
            <w:pPr>
              <w:jc w:val="center"/>
              <w:rPr>
                <w:rFonts w:ascii="宋体" w:hAnsi="宋体" w:cs="宋体"/>
                <w:szCs w:val="21"/>
              </w:rPr>
            </w:pPr>
          </w:p>
        </w:tc>
        <w:tc>
          <w:tcPr>
            <w:tcW w:w="2813"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教体活动完成后及时支出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23"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成本</w:t>
            </w:r>
          </w:p>
        </w:tc>
        <w:tc>
          <w:tcPr>
            <w:tcW w:w="742"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成本指标</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按照年初绩效预算执行</w:t>
            </w:r>
          </w:p>
        </w:tc>
        <w:tc>
          <w:tcPr>
            <w:tcW w:w="148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绩效预算文本</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按照年初绩效预算执行</w:t>
            </w:r>
          </w:p>
        </w:tc>
        <w:tc>
          <w:tcPr>
            <w:tcW w:w="75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文字描述</w:t>
            </w:r>
          </w:p>
        </w:tc>
        <w:tc>
          <w:tcPr>
            <w:tcW w:w="720" w:type="dxa"/>
            <w:tcBorders>
              <w:tl2br w:val="nil"/>
              <w:tr2bl w:val="nil"/>
            </w:tcBorders>
            <w:vAlign w:val="center"/>
          </w:tcPr>
          <w:p>
            <w:pPr>
              <w:jc w:val="center"/>
              <w:rPr>
                <w:rFonts w:ascii="宋体" w:hAnsi="宋体" w:cs="宋体"/>
                <w:szCs w:val="21"/>
              </w:rPr>
            </w:pPr>
          </w:p>
        </w:tc>
        <w:tc>
          <w:tcPr>
            <w:tcW w:w="2813"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不超预算支出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1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88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社会效益指标</w:t>
            </w:r>
          </w:p>
        </w:tc>
        <w:tc>
          <w:tcPr>
            <w:tcW w:w="742"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教育教学质量</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教学评估</w:t>
            </w:r>
          </w:p>
        </w:tc>
        <w:tc>
          <w:tcPr>
            <w:tcW w:w="148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教育教学质量明显提升</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文字描述</w:t>
            </w:r>
          </w:p>
        </w:tc>
        <w:tc>
          <w:tcPr>
            <w:tcW w:w="750" w:type="dxa"/>
            <w:tcBorders>
              <w:tl2br w:val="nil"/>
              <w:tr2bl w:val="nil"/>
            </w:tcBorders>
            <w:vAlign w:val="center"/>
          </w:tcPr>
          <w:p>
            <w:pPr>
              <w:jc w:val="center"/>
              <w:rPr>
                <w:rFonts w:ascii="宋体" w:hAnsi="宋体" w:cs="宋体"/>
                <w:szCs w:val="21"/>
              </w:rPr>
            </w:pPr>
          </w:p>
        </w:tc>
        <w:tc>
          <w:tcPr>
            <w:tcW w:w="72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明显提升</w:t>
            </w:r>
          </w:p>
        </w:tc>
        <w:tc>
          <w:tcPr>
            <w:tcW w:w="281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社会效益指标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社会效益指标</w:t>
            </w:r>
          </w:p>
        </w:tc>
        <w:tc>
          <w:tcPr>
            <w:tcW w:w="742"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体育事业发展</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体育评价</w:t>
            </w:r>
          </w:p>
        </w:tc>
        <w:tc>
          <w:tcPr>
            <w:tcW w:w="148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体育事业健康可持续发展</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文字描述</w:t>
            </w:r>
          </w:p>
        </w:tc>
        <w:tc>
          <w:tcPr>
            <w:tcW w:w="750" w:type="dxa"/>
            <w:tcBorders>
              <w:tl2br w:val="nil"/>
              <w:tr2bl w:val="nil"/>
            </w:tcBorders>
            <w:vAlign w:val="center"/>
          </w:tcPr>
          <w:p>
            <w:pPr>
              <w:jc w:val="center"/>
              <w:rPr>
                <w:rFonts w:ascii="宋体" w:hAnsi="宋体" w:cs="宋体"/>
                <w:szCs w:val="21"/>
              </w:rPr>
            </w:pPr>
          </w:p>
        </w:tc>
        <w:tc>
          <w:tcPr>
            <w:tcW w:w="72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持续发展</w:t>
            </w:r>
          </w:p>
        </w:tc>
        <w:tc>
          <w:tcPr>
            <w:tcW w:w="281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社会效益指标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可持续影响指标</w:t>
            </w:r>
          </w:p>
        </w:tc>
        <w:tc>
          <w:tcPr>
            <w:tcW w:w="742"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城乡教育发展</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督导评估</w:t>
            </w:r>
          </w:p>
        </w:tc>
        <w:tc>
          <w:tcPr>
            <w:tcW w:w="148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城乡教育均衡发展</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文字描述</w:t>
            </w:r>
          </w:p>
        </w:tc>
        <w:tc>
          <w:tcPr>
            <w:tcW w:w="750" w:type="dxa"/>
            <w:tcBorders>
              <w:tl2br w:val="nil"/>
              <w:tr2bl w:val="nil"/>
            </w:tcBorders>
            <w:vAlign w:val="center"/>
          </w:tcPr>
          <w:p>
            <w:pPr>
              <w:jc w:val="center"/>
              <w:rPr>
                <w:rFonts w:ascii="宋体" w:hAnsi="宋体" w:cs="宋体"/>
                <w:szCs w:val="21"/>
              </w:rPr>
            </w:pPr>
          </w:p>
        </w:tc>
        <w:tc>
          <w:tcPr>
            <w:tcW w:w="72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均衡发展</w:t>
            </w:r>
          </w:p>
        </w:tc>
        <w:tc>
          <w:tcPr>
            <w:tcW w:w="281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可持续影响指标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满意度</w:t>
            </w:r>
          </w:p>
        </w:tc>
        <w:tc>
          <w:tcPr>
            <w:tcW w:w="742"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服务对象满意度指标</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满意度</w:t>
            </w:r>
          </w:p>
        </w:tc>
        <w:tc>
          <w:tcPr>
            <w:tcW w:w="148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走访调查</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群众对教育工作的满意度</w:t>
            </w:r>
          </w:p>
        </w:tc>
        <w:tc>
          <w:tcPr>
            <w:tcW w:w="75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w:t>
            </w:r>
          </w:p>
        </w:tc>
        <w:tc>
          <w:tcPr>
            <w:tcW w:w="72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90</w:t>
            </w:r>
          </w:p>
        </w:tc>
        <w:tc>
          <w:tcPr>
            <w:tcW w:w="281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4649" w:type="dxa"/>
        <w:tblInd w:w="96" w:type="dxa"/>
        <w:tblLayout w:type="fixed"/>
        <w:tblCellMar>
          <w:top w:w="0" w:type="dxa"/>
          <w:left w:w="108" w:type="dxa"/>
          <w:bottom w:w="0" w:type="dxa"/>
          <w:right w:w="108" w:type="dxa"/>
        </w:tblCellMar>
      </w:tblPr>
      <w:tblGrid>
        <w:gridCol w:w="1656"/>
        <w:gridCol w:w="1212"/>
        <w:gridCol w:w="2163"/>
        <w:gridCol w:w="3100"/>
        <w:gridCol w:w="1546"/>
        <w:gridCol w:w="1062"/>
        <w:gridCol w:w="2193"/>
        <w:gridCol w:w="1717"/>
      </w:tblGrid>
      <w:tr>
        <w:tblPrEx>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[13102522P00869010001P]2018-2021年人事代理教师项目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360-大城县教育和体育局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[360194]大城县留各庄镇完成中心小学</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99万元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sz w:val="18"/>
                <w:szCs w:val="18"/>
              </w:rPr>
              <w:t>用于保障我单位2022年人事代理教师工资待遇</w:t>
            </w:r>
            <w:r>
              <w:rPr>
                <w:rFonts w:hint="eastAsia"/>
                <w:sz w:val="18"/>
                <w:szCs w:val="18"/>
              </w:rPr>
              <w:tab/>
            </w:r>
            <w:r>
              <w:rPr>
                <w:rFonts w:hint="eastAsia"/>
                <w:sz w:val="18"/>
                <w:szCs w:val="18"/>
              </w:rPr>
              <w:tab/>
            </w:r>
            <w:r>
              <w:rPr>
                <w:rFonts w:hint="eastAsia"/>
                <w:sz w:val="18"/>
                <w:szCs w:val="18"/>
              </w:rPr>
              <w:tab/>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sz w:val="18"/>
                <w:szCs w:val="18"/>
              </w:rPr>
              <w:t>主要用于人事代理教师工资福利等支出，保障办公正常运转。</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数量指标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保障人数</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保障人数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r>
              <w:rPr>
                <w:rFonts w:hint="eastAsia"/>
                <w:color w:val="000000"/>
                <w:sz w:val="18"/>
                <w:szCs w:val="18"/>
              </w:rPr>
              <w:t>12</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质量指标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工资(福利)等发放精准性</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工资(福利)等发放精准性</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r>
              <w:rPr>
                <w:rFonts w:hint="eastAsia"/>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质量指标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社会保障（公积金）缴纳的准确性</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社会保障（公积金）缴纳的准确性</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r>
              <w:rPr>
                <w:rFonts w:hint="eastAsia"/>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时效指标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工资(福利)发放及时性</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工资福利等发放的时效情况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按规定时间发放</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社会效益指标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加强工作人员归属感，保持干部队伍稳定</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通过按时按标准发放工资福利等，进一步增强干部职工得归属感，保持干部队伍相对稳定，保障办公正常运转</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保持干部队伍相对稳定</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服务对象满意度指标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单位人员满意度</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单位人员对工资福利等发放工作的满意程度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r>
              <w:rPr>
                <w:rFonts w:hint="eastAsia"/>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color w:val="000000"/>
                <w:sz w:val="18"/>
                <w:szCs w:val="18"/>
              </w:rPr>
              <w:t>单位人员满意度</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tabs>
          <w:tab w:val="left" w:pos="312"/>
        </w:tabs>
        <w:ind w:left="560"/>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人事代理教师管理费</w:t>
      </w:r>
      <w:r>
        <w:rPr>
          <w:rFonts w:ascii="Times New Roman" w:hAnsi="Times New Roman" w:eastAsia="仿宋_GB2312" w:cs="Times New Roman"/>
          <w:sz w:val="28"/>
        </w:rPr>
        <w:t>绩效目标表</w:t>
      </w:r>
    </w:p>
    <w:tbl>
      <w:tblPr>
        <w:tblStyle w:val="8"/>
        <w:tblW w:w="14649" w:type="dxa"/>
        <w:tblInd w:w="96" w:type="dxa"/>
        <w:tblLayout w:type="fixed"/>
        <w:tblCellMar>
          <w:top w:w="0" w:type="dxa"/>
          <w:left w:w="108" w:type="dxa"/>
          <w:bottom w:w="0" w:type="dxa"/>
          <w:right w:w="108" w:type="dxa"/>
        </w:tblCellMar>
      </w:tblPr>
      <w:tblGrid>
        <w:gridCol w:w="1656"/>
        <w:gridCol w:w="1448"/>
        <w:gridCol w:w="1448"/>
        <w:gridCol w:w="409"/>
        <w:gridCol w:w="3170"/>
        <w:gridCol w:w="1526"/>
        <w:gridCol w:w="1082"/>
        <w:gridCol w:w="682"/>
        <w:gridCol w:w="1505"/>
        <w:gridCol w:w="172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[13102522P00984310002A]人事代理教师管理费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主管部门</w:t>
            </w:r>
          </w:p>
        </w:tc>
        <w:tc>
          <w:tcPr>
            <w:tcW w:w="3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[360]大城县教育和体育局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sz w:val="18"/>
                <w:szCs w:val="18"/>
              </w:rPr>
              <w:t>[360194]大城县留各庄镇完成中心小学</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0.87万元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资金用途</w:t>
            </w:r>
          </w:p>
        </w:tc>
        <w:tc>
          <w:tcPr>
            <w:tcW w:w="1299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人事代理教师代理费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3月底</w:t>
            </w:r>
          </w:p>
        </w:tc>
        <w:tc>
          <w:tcPr>
            <w:tcW w:w="3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6月底</w:t>
            </w:r>
          </w:p>
        </w:tc>
        <w:tc>
          <w:tcPr>
            <w:tcW w:w="3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10月底</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3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3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3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人事代理教师代理费</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35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绩效指标描述（指标内容）</w:t>
            </w:r>
          </w:p>
        </w:tc>
        <w:tc>
          <w:tcPr>
            <w:tcW w:w="4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值</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保障人数</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保障人数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color w:val="000000"/>
                <w:sz w:val="18"/>
                <w:szCs w:val="18"/>
              </w:rPr>
            </w:pPr>
            <w:r>
              <w:rPr>
                <w:color w:val="000000"/>
                <w:sz w:val="18"/>
                <w:szCs w:val="18"/>
              </w:rPr>
              <w:t>12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保障人数</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准确性</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工资发放的准确性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color w:val="000000"/>
                <w:sz w:val="18"/>
                <w:szCs w:val="18"/>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1</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工资发放的准确性</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及时性</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保障工资发放的及时性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color w:val="000000"/>
                <w:sz w:val="18"/>
                <w:szCs w:val="18"/>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按规定时间发放</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保障工资发放的及时性</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color w:val="000000"/>
                <w:sz w:val="18"/>
                <w:szCs w:val="18"/>
              </w:rPr>
            </w:pPr>
            <w:r>
              <w:rPr>
                <w:color w:val="000000"/>
                <w:sz w:val="18"/>
                <w:szCs w:val="18"/>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color w:val="000000"/>
                <w:sz w:val="18"/>
                <w:szCs w:val="18"/>
              </w:rPr>
            </w:pPr>
            <w:r>
              <w:rPr>
                <w:color w:val="000000"/>
                <w:sz w:val="18"/>
                <w:szCs w:val="18"/>
              </w:rPr>
              <w:t>发放标准</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tcPr>
          <w:p>
            <w:pPr>
              <w:rPr>
                <w:rFonts w:cs="宋体"/>
                <w:color w:val="000000"/>
                <w:sz w:val="18"/>
                <w:szCs w:val="18"/>
              </w:rPr>
            </w:pPr>
            <w:r>
              <w:rPr>
                <w:color w:val="000000"/>
                <w:sz w:val="18"/>
                <w:szCs w:val="18"/>
              </w:rPr>
              <w:t>工资等发放标准</w:t>
            </w:r>
          </w:p>
        </w:tc>
        <w:tc>
          <w:tcPr>
            <w:tcW w:w="1526"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color w:val="000000"/>
                <w:sz w:val="18"/>
                <w:szCs w:val="18"/>
              </w:rPr>
            </w:pPr>
            <w:r>
              <w:rPr>
                <w:color w:val="00000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color w:val="000000"/>
                <w:sz w:val="18"/>
                <w:szCs w:val="18"/>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tcPr>
          <w:p>
            <w:pPr>
              <w:rPr>
                <w:rFonts w:cs="宋体"/>
                <w:color w:val="000000"/>
                <w:sz w:val="18"/>
                <w:szCs w:val="18"/>
              </w:rPr>
            </w:pPr>
            <w:r>
              <w:rPr>
                <w:color w:val="000000"/>
                <w:sz w:val="18"/>
                <w:szCs w:val="18"/>
              </w:rPr>
              <w:t>按规定执行</w:t>
            </w:r>
          </w:p>
        </w:tc>
        <w:tc>
          <w:tcPr>
            <w:tcW w:w="1723"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color w:val="000000"/>
                <w:sz w:val="18"/>
                <w:szCs w:val="18"/>
              </w:rPr>
            </w:pPr>
            <w:r>
              <w:rPr>
                <w:color w:val="000000"/>
                <w:sz w:val="18"/>
                <w:szCs w:val="18"/>
              </w:rPr>
              <w:t>工资等发放标准</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加强稳定性</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通过保证按时发放工资增强稳定性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color w:val="000000"/>
                <w:sz w:val="18"/>
                <w:szCs w:val="18"/>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保持队伍稳定性</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通过保证按时发放工资增强稳定性</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单位人员满意度</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单位人员对工资福利等发放工作的满意程度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color w:val="000000"/>
                <w:sz w:val="18"/>
                <w:szCs w:val="18"/>
              </w:rPr>
            </w:pPr>
            <w:r>
              <w:rPr>
                <w:color w:val="000000"/>
                <w:sz w:val="18"/>
                <w:szCs w:val="18"/>
              </w:rPr>
              <w:t>100</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color w:val="000000"/>
                <w:sz w:val="18"/>
                <w:szCs w:val="18"/>
              </w:rPr>
            </w:pPr>
            <w:r>
              <w:rPr>
                <w:color w:val="000000"/>
                <w:sz w:val="18"/>
                <w:szCs w:val="18"/>
              </w:rPr>
              <w:t>单位人员对工资福利等发放工作的满意程度</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学校未安排采购项目</w:t>
      </w:r>
      <w:r>
        <w:rPr>
          <w:rFonts w:ascii="Times New Roman" w:hAnsi="Times New Roman" w:eastAsia="仿宋_GB2312" w:cs="Times New Roman"/>
          <w:sz w:val="32"/>
          <w:szCs w:val="24"/>
        </w:rPr>
        <w:t>。</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大城县留各庄完成中心小学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1" w:hRule="atLeas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我学校</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775.63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w:t>
      </w:r>
      <w:r>
        <w:rPr>
          <w:rFonts w:hint="eastAsia" w:ascii="Times New Roman" w:hAnsi="Times New Roman" w:eastAsia="仿宋_GB2312" w:cs="Times New Roman"/>
          <w:sz w:val="32"/>
          <w:szCs w:val="32"/>
        </w:rPr>
        <w:t>学校无</w:t>
      </w:r>
      <w:r>
        <w:rPr>
          <w:rFonts w:ascii="Times New Roman" w:hAnsi="Times New Roman" w:eastAsia="仿宋_GB2312" w:cs="Times New Roman"/>
          <w:sz w:val="32"/>
          <w:szCs w:val="32"/>
        </w:rPr>
        <w:t>购置固定资产预算。</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w:t>
            </w:r>
            <w:r>
              <w:rPr>
                <w:rFonts w:hint="eastAsia" w:ascii="仿宋" w:hAnsi="仿宋" w:eastAsia="仿宋" w:cs="Times New Roman"/>
                <w:sz w:val="22"/>
              </w:rPr>
              <w:t>留各庄镇完成中心小学</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775.63</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1789.54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181.87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1789.54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181.87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593.76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g4YWE5OWE3ZmZhZDQ2ODQ5ZWY5YzVjZTk0NjJmY2EifQ=="/>
  </w:docVars>
  <w:rsids>
    <w:rsidRoot w:val="00D347CC"/>
    <w:rsid w:val="0003332D"/>
    <w:rsid w:val="0003339B"/>
    <w:rsid w:val="00046AA7"/>
    <w:rsid w:val="000C2F25"/>
    <w:rsid w:val="000F609E"/>
    <w:rsid w:val="001C4C58"/>
    <w:rsid w:val="00313E24"/>
    <w:rsid w:val="003406A3"/>
    <w:rsid w:val="00427535"/>
    <w:rsid w:val="00433831"/>
    <w:rsid w:val="00477AEE"/>
    <w:rsid w:val="004A54AA"/>
    <w:rsid w:val="004C4C05"/>
    <w:rsid w:val="005950C3"/>
    <w:rsid w:val="005D7A34"/>
    <w:rsid w:val="005F4E43"/>
    <w:rsid w:val="007D3F9B"/>
    <w:rsid w:val="008D5AC9"/>
    <w:rsid w:val="00966ED8"/>
    <w:rsid w:val="009A6A4D"/>
    <w:rsid w:val="009C481A"/>
    <w:rsid w:val="00B30638"/>
    <w:rsid w:val="00B80935"/>
    <w:rsid w:val="00B947AD"/>
    <w:rsid w:val="00C46C88"/>
    <w:rsid w:val="00C81A68"/>
    <w:rsid w:val="00D347CC"/>
    <w:rsid w:val="00D555FA"/>
    <w:rsid w:val="00DA3C8C"/>
    <w:rsid w:val="00E3206F"/>
    <w:rsid w:val="00EA13D8"/>
    <w:rsid w:val="00EC3138"/>
    <w:rsid w:val="00FB183A"/>
    <w:rsid w:val="02732F88"/>
    <w:rsid w:val="06D91020"/>
    <w:rsid w:val="07D90C77"/>
    <w:rsid w:val="0A627DCC"/>
    <w:rsid w:val="0C24465C"/>
    <w:rsid w:val="0D963EF5"/>
    <w:rsid w:val="15CD2966"/>
    <w:rsid w:val="185A5145"/>
    <w:rsid w:val="200A7EAB"/>
    <w:rsid w:val="26B07F70"/>
    <w:rsid w:val="26CE5919"/>
    <w:rsid w:val="28FE52B4"/>
    <w:rsid w:val="2B1052BC"/>
    <w:rsid w:val="2E2A1C25"/>
    <w:rsid w:val="2EFA73AD"/>
    <w:rsid w:val="335400A0"/>
    <w:rsid w:val="34B025C1"/>
    <w:rsid w:val="37FC5ED4"/>
    <w:rsid w:val="399C4661"/>
    <w:rsid w:val="3C5E62B4"/>
    <w:rsid w:val="3F8A033F"/>
    <w:rsid w:val="4662784A"/>
    <w:rsid w:val="46642181"/>
    <w:rsid w:val="46E71798"/>
    <w:rsid w:val="4CEB5C20"/>
    <w:rsid w:val="4F4D5FC8"/>
    <w:rsid w:val="4F750978"/>
    <w:rsid w:val="51525BEA"/>
    <w:rsid w:val="517036AF"/>
    <w:rsid w:val="539F5B49"/>
    <w:rsid w:val="54314480"/>
    <w:rsid w:val="55E73D2F"/>
    <w:rsid w:val="5AC75EB2"/>
    <w:rsid w:val="5C2D30EC"/>
    <w:rsid w:val="62D03BEC"/>
    <w:rsid w:val="66D1313B"/>
    <w:rsid w:val="686D310C"/>
    <w:rsid w:val="687C0C91"/>
    <w:rsid w:val="6D0D4676"/>
    <w:rsid w:val="6D686D7A"/>
    <w:rsid w:val="6E7F4130"/>
    <w:rsid w:val="6E897A00"/>
    <w:rsid w:val="6FD0056C"/>
    <w:rsid w:val="787B701E"/>
    <w:rsid w:val="7A3A3474"/>
    <w:rsid w:val="7A411B9B"/>
    <w:rsid w:val="7E18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0C81F6-84B5-4470-8103-1DBACF2A1A5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4708</Words>
  <Characters>4999</Characters>
  <Lines>40</Lines>
  <Paragraphs>11</Paragraphs>
  <TotalTime>0</TotalTime>
  <ScaleCrop>false</ScaleCrop>
  <LinksUpToDate>false</LinksUpToDate>
  <CharactersWithSpaces>5017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2023-06-01T02:39:41Z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6DCCD40BC0F64EECB7ACCF51F02B8F05</vt:lpwstr>
  </property>
</Properties>
</file>