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中国共产党大城县委员会党校</w:t>
      </w:r>
      <w:r>
        <w:rPr>
          <w:rFonts w:hint="eastAsia" w:ascii="Times New Roman" w:hAnsi="Times New Roman" w:eastAsia="方正小标宋简体" w:cs="Times New Roman"/>
          <w:sz w:val="44"/>
          <w:szCs w:val="44"/>
        </w:rPr>
        <w:t>2022年</w:t>
      </w: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仿宋_GB2312" w:eastAsia="仿宋_GB2312" w:cs="仿宋_GB2312"/>
          <w:sz w:val="32"/>
          <w:szCs w:val="32"/>
        </w:rPr>
        <w:t>中国共产党大城县委员会党校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1.轮训副科级以下党员领导干部，加强对乡、村基层干部的理想信念教育、党性党风党纪教育、群众路线教育和政策法制教育。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2.培训中青年党员领导干部。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3.培训意识形态部门的领导的理论干部。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4.协同组织人事部门，对学员在校期间进行考核考察。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5.围绕国际国内出现的新状况、新问题，开展教学教研。</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443" w:type="dxa"/>
            <w:shd w:val="clear" w:color="auto" w:fill="auto"/>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中国共产党大城县委员会党校</w:t>
            </w:r>
          </w:p>
        </w:tc>
        <w:tc>
          <w:tcPr>
            <w:tcW w:w="1134"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全额事业</w:t>
            </w:r>
          </w:p>
        </w:tc>
        <w:tc>
          <w:tcPr>
            <w:tcW w:w="1276"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Times New Roman" w:eastAsia="仿宋_GB2312"/>
          <w:sz w:val="32"/>
          <w:szCs w:val="32"/>
        </w:rPr>
        <w:t>中国共产党大城县委员会党校</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预算收入</w:t>
      </w:r>
      <w:r>
        <w:rPr>
          <w:rFonts w:hint="eastAsia" w:ascii="Times New Roman" w:hAnsi="Times New Roman" w:eastAsia="仿宋_GB2312" w:cs="Times New Roman"/>
          <w:sz w:val="32"/>
          <w:szCs w:val="32"/>
        </w:rPr>
        <w:t>403.95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403.95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sz w:val="32"/>
          <w:szCs w:val="32"/>
        </w:rPr>
        <w:t>中国共产党大城县委员会党校</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度部门预算中支出预算的总体情况。</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支出预算</w:t>
      </w:r>
      <w:r>
        <w:rPr>
          <w:rFonts w:hint="eastAsia" w:ascii="Times New Roman" w:hAnsi="Times New Roman" w:eastAsia="仿宋_GB2312" w:cs="Times New Roman"/>
          <w:sz w:val="32"/>
          <w:szCs w:val="32"/>
        </w:rPr>
        <w:t>403.95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398.15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372.57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25.59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特定目标类</w:t>
      </w:r>
      <w:r>
        <w:rPr>
          <w:rFonts w:hint="eastAsia" w:ascii="仿宋_GB2312" w:hAnsi="仿宋_GB2312" w:eastAsia="仿宋_GB2312" w:cs="仿宋_GB2312"/>
          <w:sz w:val="32"/>
          <w:szCs w:val="32"/>
        </w:rPr>
        <w:t>项目支出5.80万元，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本级支出，主要为</w:t>
      </w:r>
      <w:r>
        <w:rPr>
          <w:rFonts w:hint="eastAsia" w:ascii="仿宋_GB2312" w:hAnsi="仿宋_GB2312" w:eastAsia="仿宋_GB2312" w:cs="仿宋_GB2312"/>
          <w:sz w:val="32"/>
          <w:szCs w:val="32"/>
        </w:rPr>
        <w:t>教师调研及教室维修、组织干部培训班经费、建档立卡贫困户扶贫帮扶专项资金、省市县三级党校云视频会议设备购置及服务费等。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预算收支安排</w:t>
      </w:r>
      <w:r>
        <w:rPr>
          <w:rFonts w:hint="eastAsia" w:ascii="Times New Roman" w:hAnsi="Times New Roman" w:eastAsia="仿宋_GB2312" w:cs="Times New Roman"/>
          <w:sz w:val="32"/>
          <w:szCs w:val="32"/>
        </w:rPr>
        <w:t>403.95</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预算增加</w:t>
      </w:r>
      <w:r>
        <w:rPr>
          <w:rFonts w:hint="eastAsia" w:ascii="Times New Roman" w:hAnsi="Times New Roman" w:eastAsia="仿宋_GB2312" w:cs="Times New Roman"/>
          <w:sz w:val="32"/>
          <w:szCs w:val="32"/>
        </w:rPr>
        <w:t>12.8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8.97</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人员经费支出较去年增加31.22万元，日常公用较去年增加1.52万元</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减少18.42</w:t>
      </w:r>
      <w:r>
        <w:rPr>
          <w:rFonts w:ascii="Times New Roman" w:hAnsi="Times New Roman" w:eastAsia="仿宋_GB2312" w:cs="Times New Roman"/>
          <w:sz w:val="32"/>
          <w:szCs w:val="32"/>
        </w:rPr>
        <w:t>万元，主要为</w:t>
      </w:r>
      <w:r>
        <w:rPr>
          <w:rFonts w:hint="eastAsia" w:ascii="仿宋_GB2312" w:hAnsi="仿宋_GB2312" w:eastAsia="仿宋_GB2312" w:cs="仿宋_GB2312"/>
          <w:sz w:val="28"/>
          <w:szCs w:val="28"/>
        </w:rPr>
        <w:t>组织干部培训班及外出培训项目</w:t>
      </w:r>
      <w:r>
        <w:rPr>
          <w:rFonts w:hint="eastAsia" w:ascii="Times New Roman" w:hAnsi="Times New Roman" w:eastAsia="仿宋_GB2312" w:cs="Times New Roman"/>
          <w:sz w:val="32"/>
          <w:szCs w:val="32"/>
        </w:rPr>
        <w:t>进行了压减</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中国共产党大城县委员会党校</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25.59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我部门的</w:t>
      </w:r>
      <w:r>
        <w:rPr>
          <w:rFonts w:ascii="Times New Roman" w:hAnsi="Times New Roman" w:eastAsia="仿宋_GB2312" w:cs="Times New Roman"/>
          <w:sz w:val="32"/>
          <w:szCs w:val="32"/>
        </w:rPr>
        <w:t>办公区的日常维修、办公用房水电费、办公用房取暖费、</w:t>
      </w:r>
      <w:r>
        <w:rPr>
          <w:rFonts w:hint="eastAsia" w:ascii="仿宋_GB2312" w:hAnsi="仿宋_GB2312" w:eastAsia="仿宋_GB2312" w:cs="仿宋_GB2312"/>
          <w:sz w:val="32"/>
          <w:szCs w:val="32"/>
        </w:rPr>
        <w:t>公务用车运行维护费等日常运行支出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w:t>
      </w:r>
      <w:bookmarkStart w:id="2" w:name="_GoBack"/>
      <w:bookmarkEnd w:id="2"/>
      <w:r>
        <w:rPr>
          <w:rFonts w:ascii="Times New Roman" w:hAnsi="Times New Roman" w:eastAsia="仿宋_GB2312" w:cs="Times New Roman"/>
          <w:sz w:val="32"/>
          <w:szCs w:val="32"/>
        </w:rPr>
        <w:t>：公务用车购置费为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万元。因公出国（境）费</w:t>
      </w:r>
      <w:r>
        <w:rPr>
          <w:rFonts w:hint="eastAsia" w:ascii="Times New Roman" w:hAnsi="Times New Roman" w:eastAsia="仿宋_GB2312" w:cs="Times New Roman"/>
          <w:sz w:val="32"/>
          <w:szCs w:val="32"/>
        </w:rPr>
        <w:t>与</w:t>
      </w:r>
      <w:r>
        <w:rPr>
          <w:rFonts w:hint="eastAsia" w:ascii="仿宋_GB2312" w:hAnsi="仿宋_GB2312" w:eastAsia="仿宋_GB2312" w:cs="仿宋_GB2312"/>
          <w:sz w:val="32"/>
          <w:szCs w:val="32"/>
        </w:rPr>
        <w:t>2021年相比持平, 无增减变化；</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与</w:t>
      </w:r>
      <w:r>
        <w:rPr>
          <w:rFonts w:hint="eastAsia" w:ascii="仿宋_GB2312" w:hAnsi="仿宋_GB2312" w:eastAsia="仿宋_GB2312" w:cs="仿宋_GB2312"/>
          <w:sz w:val="32"/>
          <w:szCs w:val="32"/>
        </w:rPr>
        <w:t>2021年相比持平, 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w:t>
      </w:r>
      <w:r>
        <w:rPr>
          <w:rFonts w:hint="eastAsia" w:ascii="仿宋_GB2312" w:hAnsi="仿宋_GB2312" w:eastAsia="仿宋_GB2312" w:cs="仿宋_GB2312"/>
          <w:sz w:val="32"/>
          <w:szCs w:val="32"/>
        </w:rPr>
        <w:t>2021年相比持平, 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pacing w:line="584" w:lineRule="exact"/>
        <w:ind w:left="319" w:leftChars="152" w:firstLine="534" w:firstLineChars="167"/>
        <w:rPr>
          <w:rFonts w:ascii="仿宋_GB2312" w:hAnsi="仿宋" w:eastAsia="仿宋_GB2312" w:cs="仿宋"/>
          <w:sz w:val="32"/>
          <w:szCs w:val="32"/>
        </w:rPr>
      </w:pPr>
      <w:r>
        <w:rPr>
          <w:rFonts w:hint="eastAsia" w:ascii="仿宋_GB2312" w:hAnsi="仿宋" w:eastAsia="仿宋_GB2312"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0" w:lineRule="exact"/>
        <w:ind w:firstLine="948" w:firstLineChars="295"/>
        <w:rPr>
          <w:rFonts w:ascii="仿宋_GB2312" w:hAnsi="仿宋" w:eastAsia="仿宋_GB2312" w:cs="仿宋"/>
          <w:b/>
          <w:sz w:val="32"/>
        </w:rPr>
      </w:pPr>
      <w:r>
        <w:rPr>
          <w:rFonts w:hint="eastAsia" w:ascii="仿宋_GB2312" w:hAnsi="仿宋" w:eastAsia="仿宋_GB2312" w:cs="仿宋"/>
          <w:b/>
          <w:sz w:val="32"/>
        </w:rPr>
        <w:t>1、培训教育</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按照组织部的培训计划，培训、轮训党员领导干部</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绩效指标：</w:t>
      </w:r>
      <w:r>
        <w:rPr>
          <w:rFonts w:hint="eastAsia" w:ascii="仿宋_GB2312" w:hAnsi="仿宋" w:eastAsia="仿宋_GB2312" w:cs="仿宋"/>
          <w:bCs/>
          <w:sz w:val="32"/>
        </w:rPr>
        <w:t>聘请专家教授进行授课的培训班期数≥5期</w:t>
      </w:r>
    </w:p>
    <w:p>
      <w:pPr>
        <w:spacing w:line="580" w:lineRule="exact"/>
        <w:ind w:left="760" w:leftChars="362" w:firstLine="154" w:firstLineChars="48"/>
        <w:rPr>
          <w:rFonts w:ascii="仿宋_GB2312" w:hAnsi="仿宋" w:eastAsia="仿宋_GB2312" w:cs="仿宋"/>
          <w:b/>
          <w:sz w:val="32"/>
        </w:rPr>
      </w:pPr>
      <w:r>
        <w:rPr>
          <w:rFonts w:hint="eastAsia" w:ascii="仿宋_GB2312" w:hAnsi="仿宋" w:eastAsia="仿宋_GB2312" w:cs="仿宋"/>
          <w:b/>
          <w:sz w:val="32"/>
        </w:rPr>
        <w:t>2、理论研究和决策咨询</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通过调查研究，拿出一批优秀的宣讲课题</w:t>
      </w:r>
    </w:p>
    <w:p>
      <w:pPr>
        <w:pStyle w:val="2"/>
        <w:spacing w:before="15"/>
        <w:ind w:firstLine="964" w:firstLineChars="300"/>
        <w:rPr>
          <w:rFonts w:ascii="仿宋_GB2312" w:hAnsi="楷体_GB2312" w:eastAsia="仿宋_GB2312" w:cs="楷体_GB2312"/>
          <w:b/>
        </w:rPr>
      </w:pPr>
      <w:r>
        <w:rPr>
          <w:rFonts w:hint="eastAsia" w:ascii="仿宋_GB2312" w:hAnsi="仿宋" w:eastAsia="仿宋_GB2312" w:cs="仿宋"/>
          <w:b/>
          <w:lang w:val="en-US"/>
        </w:rPr>
        <w:t>绩效指标：</w:t>
      </w:r>
      <w:r>
        <w:rPr>
          <w:rFonts w:hint="eastAsia" w:ascii="仿宋_GB2312" w:hAnsi="仿宋" w:eastAsia="仿宋_GB2312" w:cs="仿宋"/>
          <w:bCs/>
        </w:rPr>
        <w:t>开展宣传方式的品种或数量（次或种）≥10次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spacing w:before="147" w:line="584" w:lineRule="exact"/>
        <w:ind w:left="0" w:firstLine="611" w:firstLineChars="200"/>
        <w:rPr>
          <w:rFonts w:ascii="仿宋_GB2312" w:hAnsi="仿宋" w:eastAsia="仿宋_GB2312" w:cs="仿宋"/>
          <w:b w:val="0"/>
          <w:bCs w:val="0"/>
        </w:rPr>
      </w:pPr>
      <w:r>
        <w:rPr>
          <w:rFonts w:hint="eastAsia" w:ascii="仿宋_GB2312" w:hAnsi="仿宋" w:eastAsia="仿宋_GB2312" w:cs="仿宋"/>
          <w:w w:val="95"/>
        </w:rPr>
        <w:t>1、完善</w:t>
      </w:r>
      <w:r>
        <w:rPr>
          <w:rFonts w:hint="eastAsia" w:ascii="仿宋_GB2312" w:hAnsi="仿宋" w:eastAsia="仿宋_GB2312" w:cs="仿宋"/>
          <w:spacing w:val="-7"/>
          <w:w w:val="95"/>
        </w:rPr>
        <w:t>制度建设。</w:t>
      </w:r>
      <w:r>
        <w:rPr>
          <w:rFonts w:hint="eastAsia" w:ascii="仿宋_GB2312" w:hAnsi="仿宋" w:eastAsia="仿宋_GB2312" w:cs="仿宋"/>
          <w:b w:val="0"/>
          <w:bCs w:val="0"/>
          <w:spacing w:val="-2"/>
          <w:w w:val="95"/>
        </w:rPr>
        <w:t>包括制定完善预算绩效管理制度、资金管</w:t>
      </w:r>
      <w:r>
        <w:rPr>
          <w:rFonts w:hint="eastAsia" w:ascii="仿宋_GB2312" w:hAnsi="仿宋" w:eastAsia="仿宋_GB2312" w:cs="仿宋"/>
          <w:b w:val="0"/>
          <w:bCs w:val="0"/>
          <w:spacing w:val="-8"/>
          <w:w w:val="95"/>
        </w:rPr>
        <w:t>理办法、工作保障制度等，为全年预算绩效目标的实现奠定制度</w:t>
      </w:r>
      <w:r>
        <w:rPr>
          <w:rFonts w:hint="eastAsia" w:ascii="仿宋_GB2312" w:hAnsi="仿宋" w:eastAsia="仿宋_GB2312" w:cs="仿宋"/>
          <w:b w:val="0"/>
          <w:bCs w:val="0"/>
          <w:spacing w:val="-8"/>
        </w:rPr>
        <w:t>基础。</w:t>
      </w:r>
    </w:p>
    <w:p>
      <w:pPr>
        <w:spacing w:line="584" w:lineRule="exact"/>
        <w:ind w:firstLine="611" w:firstLineChars="200"/>
        <w:rPr>
          <w:rFonts w:ascii="仿宋_GB2312" w:hAnsi="仿宋" w:eastAsia="仿宋_GB2312" w:cs="仿宋"/>
          <w:b/>
          <w:sz w:val="32"/>
          <w:szCs w:val="32"/>
        </w:rPr>
      </w:pPr>
      <w:r>
        <w:rPr>
          <w:rFonts w:hint="eastAsia" w:ascii="仿宋_GB2312" w:hAnsi="仿宋" w:eastAsia="仿宋_GB2312" w:cs="仿宋"/>
          <w:b/>
          <w:w w:val="95"/>
          <w:sz w:val="32"/>
          <w:szCs w:val="32"/>
        </w:rPr>
        <w:t>2、</w:t>
      </w:r>
      <w:r>
        <w:rPr>
          <w:rFonts w:hint="eastAsia" w:ascii="仿宋_GB2312" w:hAnsi="仿宋" w:eastAsia="仿宋_GB2312" w:cs="仿宋"/>
          <w:b/>
          <w:spacing w:val="-4"/>
          <w:sz w:val="32"/>
          <w:szCs w:val="32"/>
        </w:rPr>
        <w:t>加强支出管理。</w:t>
      </w:r>
      <w:r>
        <w:rPr>
          <w:rFonts w:hint="eastAsia" w:ascii="仿宋_GB2312" w:hAnsi="仿宋" w:eastAsia="仿宋_GB2312" w:cs="仿宋"/>
          <w:spacing w:val="-3"/>
          <w:sz w:val="32"/>
          <w:szCs w:val="32"/>
        </w:rPr>
        <w:t xml:space="preserve">通过优化支出结构、编细编实预算、加快履行政府采购手续、尽快启动项目、及时支付资金、6 </w:t>
      </w:r>
      <w:r>
        <w:rPr>
          <w:rFonts w:hint="eastAsia" w:ascii="仿宋_GB2312" w:hAnsi="仿宋" w:eastAsia="仿宋_GB2312" w:cs="仿宋"/>
          <w:sz w:val="32"/>
          <w:szCs w:val="32"/>
        </w:rPr>
        <w:t>月底前细</w:t>
      </w:r>
      <w:r>
        <w:rPr>
          <w:rFonts w:hint="eastAsia" w:ascii="仿宋_GB2312" w:hAnsi="仿宋" w:eastAsia="仿宋_GB2312" w:cs="仿宋"/>
          <w:spacing w:val="-8"/>
          <w:sz w:val="32"/>
          <w:szCs w:val="32"/>
        </w:rPr>
        <w:t>化代编预算、按规定及时下达资金等多种措施，确保支出进度达标。</w:t>
      </w:r>
    </w:p>
    <w:p>
      <w:pPr>
        <w:spacing w:line="584" w:lineRule="exact"/>
        <w:ind w:firstLine="611" w:firstLineChars="200"/>
        <w:rPr>
          <w:rFonts w:ascii="仿宋_GB2312" w:hAnsi="仿宋" w:eastAsia="仿宋_GB2312" w:cs="仿宋"/>
          <w:sz w:val="32"/>
          <w:szCs w:val="32"/>
        </w:rPr>
      </w:pPr>
      <w:r>
        <w:rPr>
          <w:rFonts w:hint="eastAsia" w:ascii="仿宋_GB2312" w:hAnsi="仿宋" w:eastAsia="仿宋_GB2312" w:cs="仿宋"/>
          <w:b/>
          <w:w w:val="95"/>
          <w:sz w:val="32"/>
          <w:szCs w:val="32"/>
        </w:rPr>
        <w:t>3、</w:t>
      </w:r>
      <w:r>
        <w:rPr>
          <w:rFonts w:hint="eastAsia" w:ascii="仿宋_GB2312" w:hAnsi="仿宋" w:eastAsia="仿宋_GB2312" w:cs="仿宋"/>
          <w:b/>
          <w:sz w:val="32"/>
          <w:szCs w:val="32"/>
        </w:rPr>
        <w:t>加强绩效运行监控。</w:t>
      </w:r>
      <w:r>
        <w:rPr>
          <w:rFonts w:hint="eastAsia" w:ascii="仿宋_GB2312" w:hAnsi="仿宋" w:eastAsia="仿宋_GB2312" w:cs="仿宋"/>
          <w:sz w:val="32"/>
          <w:szCs w:val="32"/>
        </w:rPr>
        <w:t>按要求开展绩效运行监控，发现问题及时采取措施，确保绩效目标如期保质实现。</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b/>
          <w:spacing w:val="-7"/>
          <w:sz w:val="32"/>
          <w:szCs w:val="32"/>
        </w:rPr>
        <w:t>做好绩效自评。</w:t>
      </w:r>
      <w:r>
        <w:rPr>
          <w:rFonts w:hint="eastAsia" w:ascii="仿宋_GB2312" w:hAnsi="仿宋" w:eastAsia="仿宋_GB2312" w:cs="仿宋"/>
          <w:sz w:val="32"/>
          <w:szCs w:val="32"/>
        </w:rPr>
        <w:t>按要求开展上年度部门预算绩效自评和重</w:t>
      </w:r>
      <w:r>
        <w:rPr>
          <w:rFonts w:hint="eastAsia" w:ascii="仿宋_GB2312" w:hAnsi="仿宋" w:eastAsia="仿宋_GB2312" w:cs="仿宋"/>
          <w:spacing w:val="-16"/>
          <w:sz w:val="32"/>
          <w:szCs w:val="32"/>
        </w:rPr>
        <w:t>点评价工作，对评价中发现的问题及时整改，调整优化支出结构， 提高财政资金使用效益。</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b/>
          <w:sz w:val="32"/>
          <w:szCs w:val="32"/>
        </w:rPr>
        <w:t>规范财务资产管理。</w:t>
      </w:r>
      <w:r>
        <w:rPr>
          <w:rFonts w:hint="eastAsia" w:ascii="仿宋_GB2312" w:hAnsi="仿宋" w:eastAsia="仿宋_GB2312" w:cs="仿宋"/>
          <w:sz w:val="32"/>
          <w:szCs w:val="32"/>
        </w:rPr>
        <w:t>完善财务管理制度，严格审批程序，</w:t>
      </w:r>
      <w:r>
        <w:rPr>
          <w:rFonts w:hint="eastAsia" w:ascii="仿宋_GB2312" w:hAnsi="仿宋" w:eastAsia="仿宋_GB2312" w:cs="仿宋"/>
          <w:spacing w:val="-5"/>
          <w:w w:val="95"/>
          <w:sz w:val="32"/>
          <w:szCs w:val="32"/>
        </w:rPr>
        <w:t>加强固定资产登记、使用和报废处置管理，做到支出合理，物尽</w:t>
      </w:r>
      <w:r>
        <w:rPr>
          <w:rFonts w:hint="eastAsia" w:ascii="仿宋_GB2312" w:hAnsi="仿宋" w:eastAsia="仿宋_GB2312" w:cs="仿宋"/>
          <w:spacing w:val="-5"/>
          <w:sz w:val="32"/>
          <w:szCs w:val="32"/>
        </w:rPr>
        <w:t>其用。</w:t>
      </w:r>
    </w:p>
    <w:p>
      <w:pPr>
        <w:spacing w:line="584" w:lineRule="exact"/>
        <w:ind w:firstLine="640" w:firstLineChars="200"/>
        <w:rPr>
          <w:rFonts w:ascii="仿宋_GB2312" w:hAnsi="仿宋" w:eastAsia="仿宋_GB2312" w:cs="仿宋"/>
          <w:spacing w:val="-11"/>
          <w:sz w:val="32"/>
          <w:szCs w:val="32"/>
        </w:rPr>
      </w:pPr>
      <w:r>
        <w:rPr>
          <w:rFonts w:hint="eastAsia" w:ascii="仿宋_GB2312" w:hAnsi="仿宋" w:eastAsia="仿宋_GB2312" w:cs="仿宋"/>
          <w:sz w:val="32"/>
          <w:szCs w:val="32"/>
        </w:rPr>
        <w:t>6、</w:t>
      </w:r>
      <w:r>
        <w:rPr>
          <w:rFonts w:hint="eastAsia" w:ascii="仿宋_GB2312" w:hAnsi="仿宋" w:eastAsia="仿宋_GB2312" w:cs="仿宋"/>
          <w:b/>
          <w:spacing w:val="-20"/>
          <w:sz w:val="32"/>
          <w:szCs w:val="32"/>
        </w:rPr>
        <w:t>加强内部监督。</w:t>
      </w:r>
      <w:r>
        <w:rPr>
          <w:rFonts w:hint="eastAsia" w:ascii="仿宋_GB2312" w:hAnsi="仿宋" w:eastAsia="仿宋_GB2312" w:cs="仿宋"/>
          <w:spacing w:val="-8"/>
          <w:sz w:val="32"/>
          <w:szCs w:val="32"/>
        </w:rPr>
        <w:t>加强内部监督制度建设，对绩效运行情况、</w:t>
      </w:r>
      <w:r>
        <w:rPr>
          <w:rFonts w:hint="eastAsia" w:ascii="仿宋_GB2312" w:hAnsi="仿宋" w:eastAsia="仿宋_GB2312" w:cs="仿宋"/>
          <w:spacing w:val="-7"/>
          <w:sz w:val="32"/>
          <w:szCs w:val="32"/>
        </w:rPr>
        <w:t>重大支出决策、对外投资、资产处置及其他重要经济业务事项的</w:t>
      </w:r>
      <w:r>
        <w:rPr>
          <w:rFonts w:hint="eastAsia" w:ascii="仿宋_GB2312" w:hAnsi="仿宋" w:eastAsia="仿宋_GB2312" w:cs="仿宋"/>
          <w:spacing w:val="-11"/>
          <w:sz w:val="32"/>
          <w:szCs w:val="32"/>
        </w:rPr>
        <w:t>决策和执行进行督导，对会计资料进行内部审计，并配合做好审计、财政监督等外部监督工作，确保财政资金安全有效。</w:t>
      </w:r>
    </w:p>
    <w:p>
      <w:pPr>
        <w:spacing w:line="584" w:lineRule="exact"/>
        <w:ind w:firstLine="596" w:firstLineChars="200"/>
        <w:rPr>
          <w:rFonts w:ascii="仿宋_GB2312" w:hAnsi="仿宋_GB2312" w:eastAsia="仿宋_GB2312" w:cs="仿宋_GB2312"/>
          <w:sz w:val="32"/>
          <w:szCs w:val="32"/>
        </w:rPr>
      </w:pPr>
      <w:r>
        <w:rPr>
          <w:rFonts w:hint="eastAsia" w:ascii="仿宋_GB2312" w:hAnsi="仿宋" w:eastAsia="仿宋_GB2312" w:cs="仿宋"/>
          <w:spacing w:val="-11"/>
          <w:sz w:val="32"/>
          <w:szCs w:val="32"/>
        </w:rPr>
        <w:t>7、</w:t>
      </w:r>
      <w:r>
        <w:rPr>
          <w:rFonts w:hint="eastAsia" w:ascii="仿宋_GB2312" w:hAnsi="仿宋" w:eastAsia="仿宋_GB2312" w:cs="仿宋"/>
          <w:b/>
          <w:spacing w:val="-3"/>
          <w:sz w:val="32"/>
          <w:szCs w:val="32"/>
        </w:rPr>
        <w:t>加强宣传培训调研等。</w:t>
      </w:r>
      <w:r>
        <w:rPr>
          <w:rFonts w:hint="eastAsia" w:ascii="仿宋_GB2312" w:hAnsi="仿宋" w:eastAsia="仿宋_GB2312" w:cs="仿宋"/>
          <w:spacing w:val="-4"/>
          <w:sz w:val="32"/>
          <w:szCs w:val="32"/>
        </w:rPr>
        <w:t>加强人员培训，提高本部门职工业务</w:t>
      </w:r>
      <w:r>
        <w:rPr>
          <w:rFonts w:hint="eastAsia" w:ascii="仿宋_GB2312" w:hAnsi="仿宋" w:eastAsia="仿宋_GB2312" w:cs="仿宋"/>
          <w:spacing w:val="-8"/>
          <w:sz w:val="32"/>
          <w:szCs w:val="32"/>
        </w:rPr>
        <w:t>素质；加强调研，提出优化财政资金配置、提高资金使用效益的</w:t>
      </w:r>
      <w:r>
        <w:rPr>
          <w:rFonts w:hint="eastAsia" w:ascii="仿宋_GB2312" w:hAnsi="仿宋" w:eastAsia="仿宋_GB2312" w:cs="仿宋"/>
          <w:spacing w:val="-10"/>
          <w:w w:val="95"/>
          <w:sz w:val="32"/>
          <w:szCs w:val="32"/>
        </w:rPr>
        <w:t>意见；加大宣传力度，强化预算绩效管理意识，促进预算绩</w:t>
      </w:r>
      <w:r>
        <w:rPr>
          <w:rFonts w:hint="eastAsia" w:ascii="仿宋_GB2312" w:hAnsi="仿宋" w:eastAsia="仿宋_GB2312" w:cs="仿宋"/>
          <w:spacing w:val="-10"/>
          <w:sz w:val="32"/>
          <w:szCs w:val="32"/>
        </w:rPr>
        <w:t>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9"/>
        <w:gridCol w:w="887"/>
        <w:gridCol w:w="1533"/>
        <w:gridCol w:w="1416"/>
        <w:gridCol w:w="3825"/>
        <w:gridCol w:w="409"/>
        <w:gridCol w:w="516"/>
        <w:gridCol w:w="132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continue"/>
            <w:tcBorders>
              <w:tl2br w:val="nil"/>
              <w:tr2bl w:val="nil"/>
            </w:tcBorders>
            <w:vAlign w:val="center"/>
          </w:tcPr>
          <w:p/>
        </w:tc>
        <w:tc>
          <w:tcPr>
            <w:tcW w:w="887" w:type="dxa"/>
            <w:vMerge w:val="continue"/>
            <w:tcBorders>
              <w:tl2br w:val="nil"/>
              <w:tr2bl w:val="nil"/>
            </w:tcBorders>
            <w:vAlign w:val="center"/>
          </w:tcPr>
          <w:p/>
        </w:tc>
        <w:tc>
          <w:tcPr>
            <w:tcW w:w="1533" w:type="dxa"/>
            <w:vMerge w:val="continue"/>
            <w:tcBorders>
              <w:tl2br w:val="nil"/>
              <w:tr2bl w:val="nil"/>
            </w:tcBorders>
            <w:vAlign w:val="center"/>
          </w:tcPr>
          <w:p/>
        </w:tc>
        <w:tc>
          <w:tcPr>
            <w:tcW w:w="1416" w:type="dxa"/>
            <w:vMerge w:val="continue"/>
            <w:tcBorders>
              <w:tl2br w:val="nil"/>
              <w:tr2bl w:val="nil"/>
            </w:tcBorders>
            <w:vAlign w:val="center"/>
          </w:tcPr>
          <w:p/>
        </w:tc>
        <w:tc>
          <w:tcPr>
            <w:tcW w:w="3825"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部门产出</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帮扶建档立卡贫困户数量</w:t>
            </w:r>
          </w:p>
        </w:tc>
        <w:tc>
          <w:tcPr>
            <w:tcW w:w="1416" w:type="dxa"/>
            <w:tcBorders>
              <w:tl2br w:val="nil"/>
              <w:tr2bl w:val="nil"/>
            </w:tcBorders>
            <w:vAlign w:val="center"/>
          </w:tcPr>
          <w:p>
            <w:pPr>
              <w:rPr>
                <w:rFonts w:ascii="宋体" w:hAnsi="宋体" w:cs="宋体"/>
                <w:sz w:val="18"/>
                <w:szCs w:val="18"/>
              </w:rPr>
            </w:pPr>
            <w:r>
              <w:rPr>
                <w:rFonts w:hint="eastAsia"/>
                <w:sz w:val="18"/>
                <w:szCs w:val="18"/>
              </w:rPr>
              <w:t>帮扶情况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完成帮扶的建档立卡贫困户数量</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6.00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人</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2021年帮扶情况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33" w:type="dxa"/>
            <w:tcBorders>
              <w:tl2br w:val="nil"/>
              <w:tr2bl w:val="nil"/>
            </w:tcBorders>
            <w:vAlign w:val="center"/>
          </w:tcPr>
          <w:p>
            <w:pPr>
              <w:rPr>
                <w:rFonts w:ascii="宋体" w:hAnsi="宋体" w:cs="宋体"/>
                <w:sz w:val="18"/>
                <w:szCs w:val="18"/>
              </w:rPr>
            </w:pPr>
            <w:r>
              <w:rPr>
                <w:rFonts w:hint="eastAsia"/>
                <w:sz w:val="18"/>
                <w:szCs w:val="18"/>
              </w:rPr>
              <w:t>对外宣讲学员的接受情况</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学员接受情况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对于所讲授的课程学员能够课上接受多少</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33" w:type="dxa"/>
            <w:tcBorders>
              <w:tl2br w:val="nil"/>
              <w:tr2bl w:val="nil"/>
            </w:tcBorders>
            <w:vAlign w:val="center"/>
          </w:tcPr>
          <w:p>
            <w:pPr>
              <w:rPr>
                <w:rFonts w:ascii="宋体" w:hAnsi="宋体" w:cs="宋体"/>
                <w:sz w:val="18"/>
                <w:szCs w:val="18"/>
              </w:rPr>
            </w:pPr>
            <w:r>
              <w:rPr>
                <w:rFonts w:hint="eastAsia"/>
                <w:sz w:val="18"/>
                <w:szCs w:val="18"/>
              </w:rPr>
              <w:t>12月底前完成所有资金的支付</w:t>
            </w:r>
          </w:p>
        </w:tc>
        <w:tc>
          <w:tcPr>
            <w:tcW w:w="1416" w:type="dxa"/>
            <w:tcBorders>
              <w:tl2br w:val="nil"/>
              <w:tr2bl w:val="nil"/>
            </w:tcBorders>
            <w:vAlign w:val="center"/>
          </w:tcPr>
          <w:p>
            <w:pPr>
              <w:rPr>
                <w:rFonts w:ascii="宋体" w:hAnsi="宋体" w:cs="宋体"/>
                <w:sz w:val="18"/>
                <w:szCs w:val="18"/>
              </w:rPr>
            </w:pPr>
            <w:r>
              <w:rPr>
                <w:rFonts w:hint="eastAsia"/>
                <w:sz w:val="18"/>
                <w:szCs w:val="18"/>
              </w:rPr>
              <w:t>资金支付情况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年度之前，将所有资金支付完成</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文字描述</w:t>
            </w:r>
          </w:p>
        </w:tc>
        <w:tc>
          <w:tcPr>
            <w:tcW w:w="516" w:type="dxa"/>
            <w:tcBorders>
              <w:tl2br w:val="nil"/>
              <w:tr2bl w:val="nil"/>
            </w:tcBorders>
            <w:vAlign w:val="center"/>
          </w:tcPr>
          <w:p>
            <w:pPr>
              <w:widowControl/>
              <w:adjustRightInd w:val="0"/>
              <w:snapToGrid w:val="0"/>
              <w:jc w:val="center"/>
              <w:rPr>
                <w:rFonts w:ascii="宋体" w:hAnsi="宋体" w:cs="宋体"/>
                <w:sz w:val="18"/>
                <w:szCs w:val="18"/>
              </w:rPr>
            </w:pPr>
          </w:p>
        </w:tc>
        <w:tc>
          <w:tcPr>
            <w:tcW w:w="1326" w:type="dxa"/>
            <w:tcBorders>
              <w:tl2br w:val="nil"/>
              <w:tr2bl w:val="nil"/>
            </w:tcBorders>
            <w:vAlign w:val="center"/>
          </w:tcPr>
          <w:p>
            <w:pPr>
              <w:jc w:val="center"/>
              <w:rPr>
                <w:rFonts w:ascii="方正书宋_GBK" w:eastAsia="方正书宋_GBK"/>
              </w:rPr>
            </w:pPr>
            <w:r>
              <w:rPr>
                <w:rFonts w:hint="eastAsia"/>
                <w:sz w:val="18"/>
                <w:szCs w:val="18"/>
              </w:rPr>
              <w:t>12月底前完成资金的支付</w:t>
            </w:r>
          </w:p>
        </w:tc>
        <w:tc>
          <w:tcPr>
            <w:tcW w:w="1506" w:type="dxa"/>
            <w:tcBorders>
              <w:tl2br w:val="nil"/>
              <w:tr2bl w:val="nil"/>
            </w:tcBorders>
            <w:vAlign w:val="center"/>
          </w:tcPr>
          <w:p>
            <w:pPr>
              <w:rPr>
                <w:rFonts w:ascii="宋体" w:hAnsi="宋体" w:cs="宋体"/>
                <w:sz w:val="18"/>
                <w:szCs w:val="18"/>
              </w:rPr>
            </w:pPr>
            <w:r>
              <w:rPr>
                <w:rFonts w:hint="eastAsia"/>
                <w:sz w:val="18"/>
                <w:szCs w:val="18"/>
              </w:rPr>
              <w:t>培训计划</w:t>
            </w:r>
          </w:p>
          <w:p>
            <w:pPr>
              <w:widowControl/>
              <w:adjustRightInd w:val="0"/>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33"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1416" w:type="dxa"/>
            <w:tcBorders>
              <w:tl2br w:val="nil"/>
              <w:tr2bl w:val="nil"/>
            </w:tcBorders>
            <w:vAlign w:val="center"/>
          </w:tcPr>
          <w:p>
            <w:pPr>
              <w:rPr>
                <w:rFonts w:ascii="宋体" w:hAnsi="宋体" w:cs="宋体"/>
                <w:sz w:val="18"/>
                <w:szCs w:val="18"/>
              </w:rPr>
            </w:pPr>
            <w:r>
              <w:rPr>
                <w:rFonts w:hint="eastAsia"/>
                <w:sz w:val="18"/>
                <w:szCs w:val="18"/>
              </w:rPr>
              <w:t>完成项目经费情况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方正书宋_GBK" w:eastAsia="方正书宋_GBK"/>
              </w:rPr>
            </w:pPr>
            <w:r>
              <w:rPr>
                <w:rFonts w:hint="eastAsia"/>
                <w:sz w:val="18"/>
                <w:szCs w:val="18"/>
              </w:rPr>
              <w:t>24.22</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万元</w:t>
            </w:r>
          </w:p>
        </w:tc>
        <w:tc>
          <w:tcPr>
            <w:tcW w:w="1506" w:type="dxa"/>
            <w:tcBorders>
              <w:tl2br w:val="nil"/>
              <w:tr2bl w:val="nil"/>
            </w:tcBorders>
            <w:vAlign w:val="center"/>
          </w:tcPr>
          <w:p>
            <w:pPr>
              <w:rPr>
                <w:rFonts w:ascii="方正书宋_GBK" w:eastAsia="方正书宋_GBK"/>
              </w:rPr>
            </w:pPr>
            <w:r>
              <w:rPr>
                <w:rFonts w:hint="eastAsia"/>
                <w:sz w:val="18"/>
                <w:szCs w:val="18"/>
              </w:rPr>
              <w:t>2022年预算情况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33" w:type="dxa"/>
            <w:tcBorders>
              <w:tl2br w:val="nil"/>
              <w:tr2bl w:val="nil"/>
            </w:tcBorders>
            <w:vAlign w:val="center"/>
          </w:tcPr>
          <w:p>
            <w:pPr>
              <w:rPr>
                <w:rFonts w:ascii="宋体" w:hAnsi="宋体" w:cs="宋体"/>
                <w:sz w:val="18"/>
                <w:szCs w:val="18"/>
              </w:rPr>
            </w:pPr>
            <w:r>
              <w:rPr>
                <w:rFonts w:hint="eastAsia"/>
                <w:sz w:val="18"/>
                <w:szCs w:val="18"/>
              </w:rPr>
              <w:t>确保资助项目政治导向正确</w:t>
            </w:r>
          </w:p>
        </w:tc>
        <w:tc>
          <w:tcPr>
            <w:tcW w:w="1416" w:type="dxa"/>
            <w:tcBorders>
              <w:tl2br w:val="nil"/>
              <w:tr2bl w:val="nil"/>
            </w:tcBorders>
            <w:vAlign w:val="center"/>
          </w:tcPr>
          <w:p>
            <w:pPr>
              <w:rPr>
                <w:rFonts w:ascii="宋体" w:hAnsi="宋体" w:cs="宋体"/>
                <w:sz w:val="18"/>
                <w:szCs w:val="18"/>
              </w:rPr>
            </w:pPr>
            <w:r>
              <w:rPr>
                <w:rFonts w:hint="eastAsia"/>
                <w:sz w:val="18"/>
                <w:szCs w:val="18"/>
              </w:rPr>
              <w:t>社会效益情况</w:t>
            </w:r>
          </w:p>
        </w:tc>
        <w:tc>
          <w:tcPr>
            <w:tcW w:w="3825" w:type="dxa"/>
            <w:tcBorders>
              <w:tl2br w:val="nil"/>
              <w:tr2bl w:val="nil"/>
            </w:tcBorders>
            <w:vAlign w:val="center"/>
          </w:tcPr>
          <w:p>
            <w:pPr>
              <w:rPr>
                <w:rFonts w:ascii="宋体" w:hAnsi="宋体" w:cs="宋体"/>
                <w:sz w:val="18"/>
                <w:szCs w:val="18"/>
              </w:rPr>
            </w:pPr>
            <w:r>
              <w:rPr>
                <w:rFonts w:hint="eastAsia"/>
                <w:sz w:val="18"/>
                <w:szCs w:val="18"/>
              </w:rPr>
              <w:t>资助项目不出现上级通报的意识形态重大问题（个）</w:t>
            </w:r>
          </w:p>
        </w:tc>
        <w:tc>
          <w:tcPr>
            <w:tcW w:w="409" w:type="dxa"/>
            <w:tcBorders>
              <w:tl2br w:val="nil"/>
              <w:tr2bl w:val="nil"/>
            </w:tcBorders>
            <w:vAlign w:val="center"/>
          </w:tcPr>
          <w:p>
            <w:pPr>
              <w:widowControl/>
              <w:adjustRightInd w:val="0"/>
              <w:snapToGrid w:val="0"/>
              <w:jc w:val="center"/>
              <w:rPr>
                <w:rFonts w:ascii="方正书宋_GBK" w:eastAsia="方正书宋_GBK"/>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次</w:t>
            </w:r>
          </w:p>
        </w:tc>
        <w:tc>
          <w:tcPr>
            <w:tcW w:w="1506" w:type="dxa"/>
            <w:tcBorders>
              <w:tl2br w:val="nil"/>
              <w:tr2bl w:val="nil"/>
            </w:tcBorders>
            <w:vAlign w:val="center"/>
          </w:tcPr>
          <w:p>
            <w:pPr>
              <w:rPr>
                <w:rFonts w:ascii="宋体" w:hAnsi="宋体" w:cs="宋体"/>
                <w:sz w:val="18"/>
                <w:szCs w:val="18"/>
              </w:rPr>
            </w:pPr>
            <w:r>
              <w:rPr>
                <w:rFonts w:hint="eastAsia"/>
                <w:sz w:val="18"/>
                <w:szCs w:val="18"/>
              </w:rPr>
              <w:t>历史情况</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参见宣讲的学员对授课内容的满意度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rPr>
                <w:rFonts w:ascii="宋体" w:hAnsi="宋体" w:cs="宋体"/>
                <w:sz w:val="18"/>
                <w:szCs w:val="18"/>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参见宣讲学员对授课环境的满意度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bl>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spacing w:line="584"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仿宋_GB2312" w:hAnsi="仿宋_GB2312" w:eastAsia="仿宋_GB2312" w:cs="仿宋_GB2312"/>
          <w:sz w:val="28"/>
          <w:szCs w:val="28"/>
        </w:rPr>
        <w:t>建档立卡贫困户扶贫帮扶专项资金绩效目标表</w:t>
      </w:r>
    </w:p>
    <w:p>
      <w:pPr>
        <w:spacing w:line="14" w:lineRule="exact"/>
        <w:ind w:firstLine="420" w:firstLineChars="200"/>
        <w:jc w:val="center"/>
        <w:rPr>
          <w:rFonts w:ascii="Times New Roman" w:hAnsi="Times New Roman" w:eastAsia="仿宋_GB2312" w:cs="Times New Roman"/>
        </w:rPr>
      </w:pPr>
      <w:r>
        <w:rPr>
          <w:rFonts w:hint="eastAsia" w:ascii="Times New Roman" w:hAnsi="Times New Roman" w:eastAsia="仿宋_GB2312" w:cs="Times New Roman"/>
        </w:rPr>
        <w:t>、、</w:t>
      </w:r>
    </w:p>
    <w:tbl>
      <w:tblPr>
        <w:tblStyle w:val="9"/>
        <w:tblW w:w="15397" w:type="dxa"/>
        <w:jc w:val="center"/>
        <w:tblLayout w:type="autofit"/>
        <w:tblCellMar>
          <w:top w:w="0" w:type="dxa"/>
          <w:left w:w="108" w:type="dxa"/>
          <w:bottom w:w="0" w:type="dxa"/>
          <w:right w:w="108" w:type="dxa"/>
        </w:tblCellMar>
      </w:tblPr>
      <w:tblGrid>
        <w:gridCol w:w="1656"/>
        <w:gridCol w:w="219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[13102522P009201100010]2022年建档立卡脱贫户生产生活补助金</w:t>
            </w:r>
            <w:r>
              <w:rPr>
                <w:rFonts w:hint="eastAsia" w:ascii="宋体" w:hAnsi="宋体"/>
                <w:sz w:val="18"/>
                <w:szCs w:val="18"/>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1.2万元</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对建档立卡贫困户进行帮扶</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户</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历年情况</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慰问品质量合格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慰问品的质量能合格</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合格证</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12月底完成帮扶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提高了帮扶人员的生活水平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提高帮扶人员生活水平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帮扶人员生活水平提高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调查了解</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bl>
    <w:p>
      <w:pPr>
        <w:spacing w:line="584" w:lineRule="exact"/>
        <w:ind w:firstLine="560" w:firstLineChars="200"/>
        <w:rPr>
          <w:rFonts w:ascii="Times New Roman" w:hAnsi="Times New Roman" w:eastAsia="仿宋_GB2312" w:cs="Times New Roman"/>
          <w:sz w:val="28"/>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仿宋_GB2312" w:hAnsi="仿宋_GB2312" w:eastAsia="仿宋_GB2312" w:cs="仿宋_GB2312"/>
          <w:sz w:val="28"/>
          <w:szCs w:val="28"/>
        </w:rPr>
        <w:t>教师调研及教室维护经费绩效目标表</w:t>
      </w:r>
    </w:p>
    <w:p>
      <w:pPr>
        <w:spacing w:line="14" w:lineRule="exact"/>
        <w:ind w:firstLine="420" w:firstLineChars="200"/>
        <w:jc w:val="center"/>
        <w:rPr>
          <w:rFonts w:ascii="Times New Roman" w:hAnsi="Times New Roman" w:eastAsia="仿宋_GB2312" w:cs="Times New Roman"/>
        </w:rPr>
      </w:pPr>
    </w:p>
    <w:tbl>
      <w:tblPr>
        <w:tblStyle w:val="9"/>
        <w:tblW w:w="14767" w:type="dxa"/>
        <w:jc w:val="center"/>
        <w:tblLayout w:type="autofit"/>
        <w:tblCellMar>
          <w:top w:w="0" w:type="dxa"/>
          <w:left w:w="108" w:type="dxa"/>
          <w:bottom w:w="0" w:type="dxa"/>
          <w:right w:w="108" w:type="dxa"/>
        </w:tblCellMar>
      </w:tblPr>
      <w:tblGrid>
        <w:gridCol w:w="1656"/>
        <w:gridCol w:w="156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[13102522P00920010001A]2022年教师调研及教室维修经费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5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4.6万元</w:t>
            </w:r>
          </w:p>
        </w:tc>
      </w:tr>
      <w:tr>
        <w:tblPrEx>
          <w:tblCellMar>
            <w:top w:w="0" w:type="dxa"/>
            <w:left w:w="108" w:type="dxa"/>
            <w:bottom w:w="0" w:type="dxa"/>
            <w:right w:w="108" w:type="dxa"/>
          </w:tblCellMar>
        </w:tblPrEx>
        <w:trPr>
          <w:trHeight w:val="6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11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教师调研宣讲和教室维修的经费</w:t>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下乡宣讲次数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2021年宣讲开展情况</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学员接受程度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授课学员接受情况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2021年宣讲情况</w:t>
            </w:r>
          </w:p>
        </w:tc>
      </w:tr>
      <w:tr>
        <w:tblPrEx>
          <w:tblCellMar>
            <w:top w:w="0" w:type="dxa"/>
            <w:left w:w="108" w:type="dxa"/>
            <w:bottom w:w="0" w:type="dxa"/>
            <w:right w:w="108" w:type="dxa"/>
          </w:tblCellMar>
        </w:tblPrEx>
        <w:trPr>
          <w:trHeight w:val="33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宣讲成本少于2万元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2021年宣讲情况</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服务对象满意度指标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_GB2312" w:hAnsi="仿宋_GB2312" w:eastAsia="仿宋_GB2312" w:cs="仿宋_GB2312"/>
          <w:sz w:val="32"/>
          <w:szCs w:val="24"/>
        </w:rPr>
      </w:pPr>
      <w:bookmarkStart w:id="0" w:name="_Toc471398468"/>
      <w:r>
        <w:rPr>
          <w:rFonts w:hint="eastAsia" w:ascii="Times New Roman" w:hAnsi="Times New Roman" w:eastAsia="仿宋_GB2312" w:cs="Times New Roman"/>
          <w:sz w:val="32"/>
          <w:szCs w:val="24"/>
        </w:rPr>
        <w:t>2022年</w:t>
      </w:r>
      <w:r>
        <w:rPr>
          <w:rFonts w:ascii="Times New Roman" w:hAnsi="Times New Roman" w:eastAsia="仿宋_GB2312" w:cs="Times New Roman"/>
          <w:sz w:val="32"/>
          <w:szCs w:val="24"/>
        </w:rPr>
        <w:t>，我部门安排政府采购预算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r>
        <w:rPr>
          <w:rFonts w:hint="eastAsia" w:ascii="仿宋_GB2312" w:hAnsi="仿宋_GB2312" w:eastAsia="仿宋_GB2312" w:cs="仿宋_GB2312"/>
          <w:sz w:val="32"/>
          <w:szCs w:val="24"/>
        </w:rPr>
        <w:t>我单位未安排政府采购。</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中国共产党大城县委员会党校</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531" w:type="dxa"/>
            <w:shd w:val="clear" w:color="auto" w:fill="auto"/>
            <w:vAlign w:val="center"/>
          </w:tcPr>
          <w:p>
            <w:pPr>
              <w:spacing w:line="300" w:lineRule="exact"/>
              <w:jc w:val="center"/>
              <w:rPr>
                <w:rFonts w:ascii="方正书宋_GBK" w:eastAsia="方正书宋_GBK" w:cs="Times New Roman"/>
                <w:bCs/>
              </w:rPr>
            </w:pPr>
          </w:p>
        </w:tc>
        <w:tc>
          <w:tcPr>
            <w:tcW w:w="1531" w:type="dxa"/>
            <w:shd w:val="clear" w:color="auto" w:fill="auto"/>
            <w:vAlign w:val="center"/>
          </w:tcPr>
          <w:p>
            <w:pPr>
              <w:spacing w:line="300" w:lineRule="exact"/>
              <w:jc w:val="center"/>
              <w:rPr>
                <w:rFonts w:ascii="方正书宋_GBK" w:eastAsia="方正书宋_GBK" w:cs="Times New Roman"/>
                <w:bCs/>
              </w:rPr>
            </w:pPr>
          </w:p>
        </w:tc>
        <w:tc>
          <w:tcPr>
            <w:tcW w:w="709" w:type="dxa"/>
            <w:shd w:val="clear" w:color="auto" w:fill="auto"/>
            <w:vAlign w:val="center"/>
          </w:tcPr>
          <w:p>
            <w:pPr>
              <w:spacing w:line="300" w:lineRule="exact"/>
              <w:jc w:val="center"/>
              <w:rPr>
                <w:rFonts w:ascii="方正书宋_GBK" w:eastAsia="方正书宋_GBK" w:cs="Times New Roman"/>
                <w:bCs/>
              </w:rPr>
            </w:pPr>
          </w:p>
        </w:tc>
        <w:tc>
          <w:tcPr>
            <w:tcW w:w="907" w:type="dxa"/>
            <w:shd w:val="clear" w:color="auto" w:fill="auto"/>
            <w:vAlign w:val="center"/>
          </w:tcPr>
          <w:p>
            <w:pPr>
              <w:spacing w:line="300" w:lineRule="exact"/>
              <w:jc w:val="center"/>
              <w:rPr>
                <w:rFonts w:ascii="方正书宋_GBK" w:eastAsia="方正书宋_GBK" w:cs="Times New Roman"/>
                <w:bCs/>
              </w:rPr>
            </w:pPr>
          </w:p>
        </w:tc>
        <w:tc>
          <w:tcPr>
            <w:tcW w:w="907"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outlineLvl w:val="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注：本单位无政府采购，空表列示。</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中国共产党大城县委员会党校上年末固定资产金额</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241.39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tbl>
      <w:tblPr>
        <w:tblStyle w:val="9"/>
        <w:tblpPr w:leftFromText="180" w:rightFromText="180" w:vertAnchor="text" w:horzAnchor="page" w:tblpX="1553" w:tblpY="130"/>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Times New Roman" w:eastAsia="仿宋_GB2312"/>
                <w:b/>
                <w:bCs/>
                <w:kern w:val="0"/>
                <w:sz w:val="32"/>
                <w:szCs w:val="32"/>
              </w:rPr>
              <w:t>中国共产党大城县委员会党校部门固定资产占用情况表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中国共产党大城县委员会党校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rPr>
              <w:t>2021年</w:t>
            </w:r>
            <w:r>
              <w:rPr>
                <w:rFonts w:ascii="Times New Roman" w:hAnsi="Times New Roman" w:eastAsia="仿宋_GB2312" w:cs="Times New Roman"/>
                <w:kern w:val="0"/>
                <w:sz w:val="22"/>
              </w:rPr>
              <w:t xml:space="preserve">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241.39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207.73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207.73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15.62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rPr>
              <w:t>18.04</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IxZDJjZWY2ZjExMmNjMmU1YzBjMjdiNzdmZGY3ZjEifQ=="/>
  </w:docVars>
  <w:rsids>
    <w:rsidRoot w:val="00D347CC"/>
    <w:rsid w:val="00133574"/>
    <w:rsid w:val="001801D3"/>
    <w:rsid w:val="00281034"/>
    <w:rsid w:val="002D1A32"/>
    <w:rsid w:val="002F4DA7"/>
    <w:rsid w:val="003442D8"/>
    <w:rsid w:val="003F24E0"/>
    <w:rsid w:val="004A54AA"/>
    <w:rsid w:val="004F6E9F"/>
    <w:rsid w:val="007775AB"/>
    <w:rsid w:val="00794729"/>
    <w:rsid w:val="007D3587"/>
    <w:rsid w:val="009001A4"/>
    <w:rsid w:val="0095463D"/>
    <w:rsid w:val="0097039C"/>
    <w:rsid w:val="00971DD7"/>
    <w:rsid w:val="00B80935"/>
    <w:rsid w:val="00BA35C8"/>
    <w:rsid w:val="00BD1404"/>
    <w:rsid w:val="00BF4970"/>
    <w:rsid w:val="00C65F21"/>
    <w:rsid w:val="00D347CC"/>
    <w:rsid w:val="00DC2531"/>
    <w:rsid w:val="00DC76AA"/>
    <w:rsid w:val="00DF31E3"/>
    <w:rsid w:val="00E11D9A"/>
    <w:rsid w:val="00E42E82"/>
    <w:rsid w:val="00E81CED"/>
    <w:rsid w:val="00ED72C5"/>
    <w:rsid w:val="00F81BE5"/>
    <w:rsid w:val="00F83F6A"/>
    <w:rsid w:val="02717475"/>
    <w:rsid w:val="02732F88"/>
    <w:rsid w:val="064C31B8"/>
    <w:rsid w:val="08795745"/>
    <w:rsid w:val="0D3B1C2B"/>
    <w:rsid w:val="0DD14784"/>
    <w:rsid w:val="0E816748"/>
    <w:rsid w:val="14577713"/>
    <w:rsid w:val="166661F7"/>
    <w:rsid w:val="18945DF0"/>
    <w:rsid w:val="201D192B"/>
    <w:rsid w:val="2338017A"/>
    <w:rsid w:val="274517C9"/>
    <w:rsid w:val="290466AD"/>
    <w:rsid w:val="2C2822B6"/>
    <w:rsid w:val="2D307165"/>
    <w:rsid w:val="2E792A9B"/>
    <w:rsid w:val="324F6589"/>
    <w:rsid w:val="34B709E4"/>
    <w:rsid w:val="36097E21"/>
    <w:rsid w:val="382D1FB9"/>
    <w:rsid w:val="3F3F43E1"/>
    <w:rsid w:val="3F8A033F"/>
    <w:rsid w:val="464674B3"/>
    <w:rsid w:val="46E71798"/>
    <w:rsid w:val="49391FCC"/>
    <w:rsid w:val="4DDC3DD8"/>
    <w:rsid w:val="4EAC0655"/>
    <w:rsid w:val="54382012"/>
    <w:rsid w:val="55E73D2F"/>
    <w:rsid w:val="565E5E89"/>
    <w:rsid w:val="5D725329"/>
    <w:rsid w:val="63BD7F34"/>
    <w:rsid w:val="649C7E11"/>
    <w:rsid w:val="64FD253E"/>
    <w:rsid w:val="65BA5335"/>
    <w:rsid w:val="6D0D4676"/>
    <w:rsid w:val="73635709"/>
    <w:rsid w:val="746E59E6"/>
    <w:rsid w:val="765E4BCC"/>
    <w:rsid w:val="76801BB7"/>
    <w:rsid w:val="77964DB4"/>
    <w:rsid w:val="78F27A3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782</Words>
  <Characters>4459</Characters>
  <Lines>37</Lines>
  <Paragraphs>10</Paragraphs>
  <TotalTime>32</TotalTime>
  <ScaleCrop>false</ScaleCrop>
  <LinksUpToDate>false</LinksUpToDate>
  <CharactersWithSpaces>5231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2023-06-01T01:23:54Z</cp:lastPrinted>
  <dcterms:modified xsi:type="dcterms:W3CDTF">2023-06-01T01:26:13Z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D7B9F0A71DC943F5A065B18FAE6F2496</vt:lpwstr>
  </property>
</Properties>
</file>