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36"/>
          <w:szCs w:val="36"/>
        </w:rPr>
        <w:sectPr>
          <w:headerReference r:id="rId5" w:type="default"/>
          <w:headerReference r:id="rId6" w:type="even"/>
          <w:pgSz w:w="11906" w:h="16838"/>
          <w:pgMar w:top="2098" w:right="1474" w:bottom="1985" w:left="1588" w:header="851" w:footer="992" w:gutter="0"/>
          <w:cols w:space="425" w:num="1"/>
          <w:docGrid w:type="lines" w:linePitch="312" w:charSpace="0"/>
        </w:sectPr>
      </w:pPr>
      <w:r>
        <w:rPr>
          <w:rFonts w:hint="eastAsia"/>
          <w:b/>
          <w:sz w:val="36"/>
          <w:szCs w:val="36"/>
        </w:rPr>
        <w:t>中共河北省大城县委政法委员会</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hint="eastAsia" w:ascii="仿宋" w:hAnsi="仿宋" w:eastAsia="仿宋" w:cs="仿宋"/>
          <w:sz w:val="32"/>
          <w:szCs w:val="32"/>
        </w:rPr>
      </w:pPr>
      <w:r>
        <w:rPr>
          <w:rFonts w:hint="eastAsia" w:ascii="仿宋" w:hAnsi="仿宋" w:eastAsia="仿宋" w:cs="仿宋"/>
          <w:sz w:val="32"/>
          <w:szCs w:val="32"/>
        </w:rPr>
        <w:t>一、部门职责</w:t>
      </w:r>
    </w:p>
    <w:p>
      <w:pPr>
        <w:widowControl/>
        <w:spacing w:line="580" w:lineRule="exact"/>
        <w:ind w:firstLine="1273" w:firstLineChars="398"/>
        <w:rPr>
          <w:rFonts w:eastAsia="仿宋_GB2312"/>
          <w:sz w:val="32"/>
          <w:szCs w:val="32"/>
        </w:rPr>
      </w:pPr>
      <w:r>
        <w:rPr>
          <w:rFonts w:hint="eastAsia" w:ascii="仿宋" w:hAnsi="仿宋" w:eastAsia="仿宋" w:cs="仿宋"/>
          <w:sz w:val="32"/>
          <w:szCs w:val="32"/>
        </w:rPr>
        <w:t>二、机构设置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一、收入支出决算总表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二、收入决算表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三、支出决算表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九、国有资本经营预算财政拨款支出决算表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中共河北省大城县委政法委员会</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二、收入决算情况说明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三、支出决算情况说明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五、一般公共预算财政拨款“三公”经费支出决算情况说明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六、预算绩效情况说明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七、其他重要事项的说明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3"/>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（一）深入贯彻习近平新时代中国特色社会主义思想，坚持党对政法工作的绝对领导，坚决维护习近平总书记</w:t>
      </w:r>
      <w:bookmarkStart w:id="0" w:name="_GoBack"/>
      <w:bookmarkEnd w:id="0"/>
      <w:r>
        <w:rPr>
          <w:rFonts w:hint="eastAsia" w:ascii="仿宋" w:hAnsi="仿宋" w:eastAsia="仿宋" w:cs="仿宋"/>
          <w:sz w:val="32"/>
          <w:szCs w:val="32"/>
        </w:rPr>
        <w:t>党中央的核心、全党的核心地位，坚决维护党中央权威和集中统一领导，深入贯彻党的路线方针政策和中央、省市县委的决策部署，统一全县政法单位思想和行动，确保全县政法单位坚定正确的政治方向。</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（二）对全县政法工作研究提出全局性部署，推进平安大城、法治大城建设，加强过硬队伍建设，深化智能化建设，坚决维护国家政治安全、确保社会大局稳定、促进社会公平正义、保障人民安居乐业。</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（三）了解掌握和分析研判政法工作情况动态，分析社会稳定形势，创新完善多部门参与的综治维稳工作机制，协调推动预防、化解影响稳定的社会矛盾和风险，协调应对和处置重大突发事件。</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（四）加强对政法工作的督查，统筹协调社会治安综合治理、维护社会稳定、反邪教有关法律法规政策的实施工作。</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（五）组织开展政法领域的调查研究，研究拟订政法工作的重大措施，及时向县委提出建议。</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（六）掌握分析政法舆情动态，指导协调政法单位媒体网络宣传工作，指导政法单位做好涉及政法工作的重大宣传工作。</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（七）监督和支持政法单位依法行使职权，指导和协调政法单位密切配合，研究和协调重大、疑难案件，指导政法单位涉法涉诉信访工作，推进严格执法、公正司法。</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（八）组织研究政法改革中带有方向性、倾向性和普遍性的重大问题，深化政法改革，联系县委全面依法治县委员会办公室。 </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（九）指导推动政法系统党的建设和政法队伍建设，协调和指导全县见义勇为工作，代管县法学会。</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（十）统筹推动全县政法系统信息化工作，指导政法智能化建设。</w:t>
      </w:r>
    </w:p>
    <w:p>
      <w:pPr>
        <w:tabs>
          <w:tab w:val="left" w:pos="11490"/>
        </w:tabs>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（十一）完成市委政法委、县委交办的其他任务。</w:t>
      </w:r>
    </w:p>
    <w:p>
      <w:pPr>
        <w:pStyle w:val="3"/>
        <w:spacing w:before="0" w:after="0" w:line="600" w:lineRule="exact"/>
        <w:jc w:val="left"/>
        <w:rPr>
          <w:rFonts w:hint="eastAsia"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keepNext/>
        <w:keepLines/>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从决算编报单位构成看，纳入2018 年度本部门决算汇编范围的独立核算单位（以下简称“单位”）共1个，具体情况如下：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015"/>
        <w:gridCol w:w="191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401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191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center"/>
          </w:tcPr>
          <w:p>
            <w:pPr>
              <w:spacing w:after="0" w:line="5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015" w:type="dxa"/>
            <w:vAlign w:val="center"/>
          </w:tcPr>
          <w:p>
            <w:pPr>
              <w:spacing w:line="6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rPr>
              <w:t>中共河北省大城县委政法委员会</w:t>
            </w:r>
            <w:r>
              <w:rPr>
                <w:rFonts w:hint="eastAsia" w:ascii="仿宋" w:hAnsi="仿宋" w:eastAsia="仿宋" w:cs="仿宋"/>
                <w:sz w:val="21"/>
                <w:szCs w:val="21"/>
                <w:lang w:val="en-US" w:eastAsia="zh-CN"/>
              </w:rPr>
              <w:t>（本级）</w:t>
            </w:r>
          </w:p>
        </w:tc>
        <w:tc>
          <w:tcPr>
            <w:tcW w:w="1915" w:type="dxa"/>
            <w:vAlign w:val="center"/>
          </w:tcPr>
          <w:p>
            <w:pPr>
              <w:spacing w:line="640" w:lineRule="exact"/>
              <w:jc w:val="center"/>
              <w:rPr>
                <w:rFonts w:hint="eastAsia" w:ascii="仿宋" w:hAnsi="仿宋" w:eastAsia="仿宋" w:cs="仿宋"/>
                <w:sz w:val="21"/>
                <w:szCs w:val="21"/>
                <w:lang w:eastAsia="zh-CN"/>
              </w:rPr>
            </w:pPr>
            <w:r>
              <w:rPr>
                <w:rFonts w:hint="eastAsia" w:ascii="仿宋" w:hAnsi="仿宋" w:eastAsia="仿宋" w:cs="仿宋"/>
                <w:sz w:val="21"/>
                <w:szCs w:val="21"/>
              </w:rPr>
              <w:t>行政</w:t>
            </w:r>
            <w:r>
              <w:rPr>
                <w:rFonts w:hint="eastAsia" w:ascii="仿宋" w:hAnsi="仿宋" w:eastAsia="仿宋" w:cs="仿宋"/>
                <w:sz w:val="21"/>
                <w:szCs w:val="21"/>
                <w:lang w:eastAsia="zh-CN"/>
              </w:rPr>
              <w:t>单位</w:t>
            </w:r>
          </w:p>
        </w:tc>
        <w:tc>
          <w:tcPr>
            <w:tcW w:w="2665" w:type="dxa"/>
            <w:vAlign w:val="center"/>
          </w:tcPr>
          <w:p>
            <w:pPr>
              <w:spacing w:after="0" w:line="560" w:lineRule="exact"/>
              <w:jc w:val="center"/>
              <w:rPr>
                <w:rFonts w:hint="eastAsia" w:ascii="仿宋" w:hAnsi="仿宋" w:eastAsia="仿宋" w:cs="仿宋"/>
                <w:kern w:val="0"/>
                <w:sz w:val="21"/>
                <w:szCs w:val="21"/>
              </w:rPr>
            </w:pPr>
            <w:r>
              <w:rPr>
                <w:rFonts w:hint="eastAsia" w:ascii="仿宋" w:hAnsi="仿宋" w:eastAsia="仿宋" w:cs="仿宋"/>
                <w:color w:val="000000" w:themeColor="text1"/>
                <w:sz w:val="21"/>
                <w:szCs w:val="21"/>
              </w:rPr>
              <w:t>财政拨款</w:t>
            </w:r>
          </w:p>
        </w:tc>
      </w:tr>
    </w:tbl>
    <w:p>
      <w:pPr>
        <w:widowControl/>
        <w:spacing w:line="560" w:lineRule="exact"/>
        <w:rPr>
          <w:rFonts w:ascii="黑体" w:eastAsia="黑体" w:cs="MS-UIGothic,Bold" w:hAnsiTheme="minorHAnsi"/>
          <w:bCs/>
          <w:kern w:val="0"/>
          <w:sz w:val="52"/>
          <w:szCs w:val="52"/>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7303"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部门：中共河北省大城县委政法委员会</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2443.20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815.85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131.00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14.13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7.18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330.67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1427.65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2574.20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2595.49</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88.62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67.33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2662.82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2662.82</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0" w:type="auto"/>
        <w:jc w:val="center"/>
        <w:tblLayout w:type="fixed"/>
        <w:tblCellMar>
          <w:top w:w="0" w:type="dxa"/>
          <w:left w:w="0" w:type="dxa"/>
          <w:bottom w:w="0" w:type="dxa"/>
          <w:right w:w="0" w:type="dxa"/>
        </w:tblCellMar>
      </w:tblPr>
      <w:tblGrid>
        <w:gridCol w:w="335"/>
        <w:gridCol w:w="179"/>
        <w:gridCol w:w="520"/>
        <w:gridCol w:w="1496"/>
        <w:gridCol w:w="355"/>
        <w:gridCol w:w="260"/>
        <w:gridCol w:w="377"/>
        <w:gridCol w:w="438"/>
        <w:gridCol w:w="413"/>
        <w:gridCol w:w="403"/>
        <w:gridCol w:w="589"/>
        <w:gridCol w:w="226"/>
        <w:gridCol w:w="624"/>
        <w:gridCol w:w="191"/>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9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6406"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部门：中共河北省大城县委政法委员会</w:t>
            </w: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530"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92"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5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92"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85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739"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496"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92"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5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92"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5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39"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5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7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454" w:hRule="atLeast"/>
          <w:jc w:val="center"/>
        </w:trPr>
        <w:tc>
          <w:tcPr>
            <w:tcW w:w="253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92"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2574.2</w:t>
            </w:r>
          </w:p>
        </w:tc>
        <w:tc>
          <w:tcPr>
            <w:tcW w:w="85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2443.20</w:t>
            </w:r>
          </w:p>
        </w:tc>
        <w:tc>
          <w:tcPr>
            <w:tcW w:w="9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85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739"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一般公共服务支出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790.04</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659.04</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党委办公厅（室）及相关机构事务</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790.04</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659.04</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行政运行</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161.37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161.37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2013102</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一般行政管理事务</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497.67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497.67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2013105</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专项业务</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131.00</w:t>
            </w: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社会保障和就业支出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行政事业单位离退休</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2080505</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机关事业单位基本养老保险缴费支出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18.50</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医疗卫生与计划生育支出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行政事业单位医疗</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2101101</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行政单位医疗</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7.33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城乡社区支出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国有土地使用权出让收入及对应专项债务收入安排的支出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2120804</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农村基础设施建设支出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CellMar>
            <w:top w:w="0" w:type="dxa"/>
            <w:left w:w="0" w:type="dxa"/>
            <w:bottom w:w="0" w:type="dxa"/>
            <w:right w:w="0" w:type="dxa"/>
          </w:tblCellMar>
        </w:tblPrEx>
        <w:trPr>
          <w:trHeight w:val="454"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2290400</w:t>
            </w:r>
          </w:p>
        </w:tc>
        <w:tc>
          <w:tcPr>
            <w:tcW w:w="1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hint="eastAsia" w:ascii="宋体" w:hAnsi="宋体" w:cs="宋体"/>
                <w:color w:val="000000"/>
                <w:sz w:val="15"/>
                <w:szCs w:val="15"/>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7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712"/>
        <w:gridCol w:w="91"/>
        <w:gridCol w:w="1117"/>
        <w:gridCol w:w="493"/>
        <w:gridCol w:w="154"/>
        <w:gridCol w:w="697"/>
        <w:gridCol w:w="421"/>
        <w:gridCol w:w="571"/>
        <w:gridCol w:w="549"/>
        <w:gridCol w:w="585"/>
        <w:gridCol w:w="53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6502" w:type="dxa"/>
            <w:gridSpan w:val="1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部门：中共河北省大城县委政法委员会</w:t>
            </w: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99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851"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992"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3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86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61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1"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92"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3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6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8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9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86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99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2595.49</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179.49</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2416.00</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一般公共服务支出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815.85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657.67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党委办公厅（室）及相关机构事务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815.85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657.67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行政运行</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2013102</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一般行政管理事务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465.09</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465.09</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2013105</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专项业务</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192.58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192.58</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社会保障和就业支出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行政事业单位离退休</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2080505</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机关事业单位基本养老保险缴费支出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医疗卫生与计划生育支出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行政事业单位医疗</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2101101</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行政单位医疗</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城乡社区支出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国有土地使用权出让收入及对应专项债务收入安排的支出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2120804</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农村基础设施建设支出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29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2290400</w:t>
            </w:r>
          </w:p>
        </w:tc>
        <w:tc>
          <w:tcPr>
            <w:tcW w:w="170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85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9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1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6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部门：中共河北省大城县委政法委员会</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684.87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1758.33</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330.67</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1427.65</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2443.20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2402.91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644.58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1758.33</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40.29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40.29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2443.20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2443.20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684.87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1758.33</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424"/>
        <w:gridCol w:w="142"/>
        <w:gridCol w:w="288"/>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10"/>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2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3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部门：中共河北省大城县委政法委员会</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55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301"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566"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46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56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46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566"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46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55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55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644.58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179.49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465.09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一般公共服务支出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党委办公厅（室）及相关机构事务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623.27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行政运行</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158.18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2013102</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一般行政管理事务</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465.09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465.09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社会保障和就业支出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行政事业单位离退休</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2080505</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机关事业单位基本养老保险缴费支出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14.13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医疗卫生与计划生育支出</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行政事业单位医疗</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2101101</w:t>
            </w:r>
          </w:p>
        </w:tc>
        <w:tc>
          <w:tcPr>
            <w:tcW w:w="25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行政单位医疗</w:t>
            </w:r>
          </w:p>
        </w:tc>
        <w:tc>
          <w:tcPr>
            <w:tcW w:w="146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7.18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部门：中共河北省大城县委政法委员会</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144.71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24.95</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59.39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2.70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34.43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21.83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2.10</w:t>
            </w: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7.32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2.10</w:t>
            </w: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1.00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7.18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0.43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7.74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0.49</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12.50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160" w:firstLineChars="100"/>
              <w:textAlignment w:val="center"/>
              <w:rPr>
                <w:rFonts w:ascii="宋体" w:hAnsi="宋体" w:cs="宋体"/>
                <w:color w:val="000000"/>
                <w:sz w:val="16"/>
                <w:szCs w:val="16"/>
              </w:rPr>
            </w:pP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7.74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8.26</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32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27.05</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部门：中共河北省大城县委政法委员会</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13.00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0.50</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0.49</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932"/>
        <w:gridCol w:w="610"/>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5208" w:type="dxa"/>
            <w:gridSpan w:val="8"/>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Cs w:val="21"/>
              </w:rPr>
              <w:t>部门：中共河北省大城县委政法委员会</w:t>
            </w: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5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6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601"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60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601"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6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56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56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1758.33</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1758.33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r>
              <w:rPr>
                <w:rFonts w:hint="eastAsia" w:ascii="宋体" w:hAnsi="宋体" w:cs="宋体"/>
                <w:b/>
                <w:color w:val="000000"/>
                <w:szCs w:val="21"/>
              </w:rPr>
              <w:t>1758.33</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城乡社区支出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国有土地使用权出让收入及对应专项债务收入安排的支出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2120804</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农村基础设施建设支出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330.67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1809"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ascii="宋体" w:hAnsi="宋体" w:cs="宋体"/>
                <w:color w:val="000000"/>
                <w:szCs w:val="21"/>
              </w:rPr>
              <w:t>2290400</w:t>
            </w:r>
          </w:p>
        </w:tc>
        <w:tc>
          <w:tcPr>
            <w:tcW w:w="16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Arial"/>
                <w:color w:val="000000"/>
                <w:sz w:val="15"/>
                <w:szCs w:val="15"/>
              </w:rPr>
            </w:pPr>
            <w:r>
              <w:rPr>
                <w:rFonts w:hint="eastAsia" w:cs="Arial"/>
                <w:color w:val="000000"/>
                <w:sz w:val="15"/>
                <w:szCs w:val="15"/>
              </w:rPr>
              <w:t>其他政府性基金及对应专项债务收入安排的支出</w:t>
            </w:r>
          </w:p>
        </w:tc>
        <w:tc>
          <w:tcPr>
            <w:tcW w:w="6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r>
              <w:rPr>
                <w:rFonts w:hint="eastAsia" w:ascii="宋体" w:hAnsi="宋体" w:cs="宋体"/>
                <w:color w:val="000000"/>
                <w:szCs w:val="21"/>
              </w:rPr>
              <w:t>1427.65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r>
              <w:rPr>
                <w:rFonts w:hint="eastAsia" w:ascii="宋体" w:hAnsi="宋体" w:cs="宋体"/>
                <w:color w:val="000000"/>
                <w:kern w:val="0"/>
                <w:sz w:val="22"/>
                <w:szCs w:val="22"/>
              </w:rPr>
              <w:t>编制单位：中共河北省大城县委政法委员会</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注：本部门本年度无相关收支情况，按要求空表列示。</w:t>
            </w:r>
          </w:p>
        </w:tc>
      </w:tr>
    </w:tbl>
    <w:p>
      <w:pPr>
        <w:widowControl/>
        <w:spacing w:after="0" w:line="560" w:lineRule="exact"/>
        <w:jc w:val="left"/>
        <w:rPr>
          <w:rFonts w:ascii="仿宋" w:hAnsi="仿宋" w:eastAsia="仿宋"/>
          <w:b/>
          <w:color w:val="FF0000"/>
          <w:sz w:val="28"/>
          <w:szCs w:val="28"/>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编制单位：中共河北省大城县委政法委员会</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2646.54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2646.54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76.00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2570.54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2572.74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2572.74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2.20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2570.54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2634.98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2634.98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75.56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2559.42</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2561.38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2561.38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2559.42</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73.60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73.60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73.60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4"/>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收支总计（含结转和结余）2662.82万元。与2017年度决算相比，收入增加1058.49万元，增长65.98%，主要是增加综治视联网建设费、“雪亮护城河工程”建设经费、县、乡综治中心建设经费等项目；支出增加1058.49万元，增长65.98%，主要是增加综治视联网建设费、“雪亮护城河工程”建设经费、县、乡综治中心建设经费等项目。</w:t>
      </w:r>
    </w:p>
    <w:p>
      <w:pPr>
        <w:adjustRightInd w:val="0"/>
        <w:snapToGrid w:val="0"/>
        <w:spacing w:after="0" w:line="580" w:lineRule="exact"/>
        <w:ind w:firstLine="640" w:firstLineChars="200"/>
        <w:rPr>
          <w:rFonts w:ascii="黑体" w:eastAsia="黑体"/>
          <w:b/>
          <w:bCs/>
          <w:sz w:val="32"/>
          <w:szCs w:val="32"/>
        </w:rPr>
      </w:pPr>
      <w:r>
        <w:rPr>
          <w:rFonts w:hint="eastAsia" w:ascii="黑体" w:eastAsia="黑体"/>
          <w:sz w:val="32"/>
          <w:szCs w:val="32"/>
        </w:rPr>
        <w:t>二、收入决算情况说明</w:t>
      </w:r>
    </w:p>
    <w:p>
      <w:pPr>
        <w:adjustRightInd w:val="0"/>
        <w:snapToGrid w:val="0"/>
        <w:spacing w:after="0" w:line="580" w:lineRule="exact"/>
        <w:ind w:firstLine="640" w:firstLineChars="200"/>
        <w:jc w:val="center"/>
        <w:rPr>
          <w:rFonts w:eastAsia="仿宋_GB2312"/>
          <w:sz w:val="32"/>
          <w:szCs w:val="32"/>
        </w:rPr>
      </w:pPr>
      <w:r>
        <w:rPr>
          <w:rFonts w:hint="eastAsia" w:ascii="仿宋" w:hAnsi="仿宋" w:eastAsia="仿宋" w:cs="仿宋"/>
          <w:sz w:val="32"/>
          <w:szCs w:val="32"/>
        </w:rPr>
        <w:t xml:space="preserve">本部门2018年度本年收入合计2574.2万元，其中：财政拨款收入2443.2万元，占94.91%；事业收入0万元，占0%；经营收入0万元，占0%；其他收入131万元，占5.09%。如图所示： </w:t>
      </w:r>
      <w:r>
        <w:rPr>
          <w:rFonts w:hint="eastAsia" w:ascii="仿宋_GB2312" w:eastAsia="仿宋_GB2312" w:cs="DengXian-Regular"/>
          <w:sz w:val="32"/>
          <w:szCs w:val="32"/>
        </w:rPr>
        <w:t xml:space="preserve">     </w:t>
      </w:r>
      <w:r>
        <w:rPr>
          <w:rFonts w:eastAsia="仿宋_GB2312"/>
          <w:sz w:val="32"/>
          <w:szCs w:val="32"/>
        </w:rPr>
        <w:t>图1：收入决算结构饼状图</w:t>
      </w:r>
    </w:p>
    <w:p>
      <w:pPr>
        <w:adjustRightInd w:val="0"/>
        <w:snapToGrid w:val="0"/>
        <w:spacing w:after="0" w:line="580" w:lineRule="exact"/>
        <w:rPr>
          <w:rFonts w:ascii="黑体" w:eastAsia="黑体"/>
          <w:b/>
          <w:bCs/>
        </w:rPr>
      </w:pPr>
      <w:r>
        <w:rPr>
          <w:rFonts w:hint="eastAsia" w:ascii="黑体" w:eastAsia="黑体"/>
          <w:b/>
          <w:bCs/>
        </w:rPr>
        <w:drawing>
          <wp:anchor distT="0" distB="0" distL="114300" distR="114300" simplePos="0" relativeHeight="251660288" behindDoc="0" locked="0" layoutInCell="1" allowOverlap="1">
            <wp:simplePos x="0" y="0"/>
            <wp:positionH relativeFrom="column">
              <wp:posOffset>296545</wp:posOffset>
            </wp:positionH>
            <wp:positionV relativeFrom="paragraph">
              <wp:posOffset>248920</wp:posOffset>
            </wp:positionV>
            <wp:extent cx="4943475" cy="2924175"/>
            <wp:effectExtent l="19050" t="0" r="9525" b="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ind w:firstLine="640" w:firstLineChars="200"/>
        <w:rPr>
          <w:rFonts w:ascii="黑体" w:eastAsia="黑体"/>
          <w:b/>
          <w:bCs/>
          <w:sz w:val="32"/>
          <w:szCs w:val="32"/>
        </w:rPr>
      </w:pPr>
      <w:r>
        <w:rPr>
          <w:rFonts w:hint="eastAsia" w:ascii="黑体" w:eastAsia="黑体"/>
          <w:b/>
          <w:bCs/>
          <w:sz w:val="32"/>
          <w:szCs w:val="32"/>
        </w:rPr>
        <w:t>三、支出决算情况说明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本部门2018年度本年支出合计2595.49万元，其中：基本支出179.49万元，占6.92%；项目支出2416万元，占93.08%；经营支出0万元，占0%。如图所示：</w:t>
      </w:r>
    </w:p>
    <w:p>
      <w:pPr>
        <w:adjustRightInd w:val="0"/>
        <w:snapToGrid w:val="0"/>
        <w:spacing w:after="0" w:line="580" w:lineRule="exact"/>
        <w:ind w:firstLine="640" w:firstLineChars="200"/>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59264" behindDoc="0" locked="0" layoutInCell="1" allowOverlap="1">
            <wp:simplePos x="0" y="0"/>
            <wp:positionH relativeFrom="column">
              <wp:posOffset>582295</wp:posOffset>
            </wp:positionH>
            <wp:positionV relativeFrom="page">
              <wp:posOffset>3486150</wp:posOffset>
            </wp:positionV>
            <wp:extent cx="4436110" cy="2457450"/>
            <wp:effectExtent l="19050" t="0" r="21590" b="0"/>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4"/>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0"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财政拨款本年收入2443.2万元,比2017年度增加955.37万元，增长39.1%，主要是增加综治视联网建设费、“雪亮护城河工程”建设经费、县、乡综治中心建设经费等项目；本年支出2402.91万元，增加915.08万元，增长38.08%，主要是增加综治视联网建设费、“雪亮护城河工程”建设经费、县、乡综治中心建设经费等项目。</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其中：一般公共预算财政拨款本年收入684.87万元，比2017年度减少467.04万元；主要是一般公共服务支出减少；本年支出644.58万元，比2017年度减少507.33万元，降低78.71%，主要是一般公共服务支出减少。政府性基金预算财政拨款本年收入1758.33万元，比2017年度增加1422.41万元，增长80.9%，主要是增加综治视联网建设费、“雪亮护城河工程”建设经费、县、乡综治中心建设经费等项目；本年支出2402.91万元，比2017年度增加915.08万元，增长38.08%，主要是增加综治视联网建设费、“雪亮护城河工程”建设经费、县、乡综治中心建设经费等项目。</w:t>
      </w:r>
    </w:p>
    <w:p>
      <w:pPr>
        <w:adjustRightInd w:val="0"/>
        <w:snapToGrid w:val="0"/>
        <w:spacing w:after="0" w:line="580" w:lineRule="exact"/>
        <w:jc w:val="center"/>
        <w:rPr>
          <w:rFonts w:eastAsia="仿宋_GB2312"/>
          <w:sz w:val="32"/>
          <w:szCs w:val="32"/>
        </w:rPr>
      </w:pPr>
      <w:r>
        <w:rPr>
          <w:rFonts w:hint="eastAsia" w:eastAsia="仿宋_GB2312"/>
          <w:sz w:val="32"/>
          <w:szCs w:val="32"/>
        </w:rPr>
        <w:t>图3：财政拨款收支情况</w:t>
      </w: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61312" behindDoc="0" locked="0" layoutInCell="1" allowOverlap="1">
            <wp:simplePos x="0" y="0"/>
            <wp:positionH relativeFrom="column">
              <wp:posOffset>325120</wp:posOffset>
            </wp:positionH>
            <wp:positionV relativeFrom="paragraph">
              <wp:posOffset>264795</wp:posOffset>
            </wp:positionV>
            <wp:extent cx="5426075" cy="2790825"/>
            <wp:effectExtent l="19050" t="0" r="3175"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0" cstate="print"/>
                    <a:srcRect/>
                    <a:stretch>
                      <a:fillRect/>
                    </a:stretch>
                  </pic:blipFill>
                  <pic:spPr>
                    <a:xfrm>
                      <a:off x="0" y="0"/>
                      <a:ext cx="5426075" cy="2790825"/>
                    </a:xfrm>
                    <a:prstGeom prst="rect">
                      <a:avLst/>
                    </a:prstGeom>
                    <a:noFill/>
                  </pic:spPr>
                </pic:pic>
              </a:graphicData>
            </a:graphic>
          </wp:anchor>
        </w:drawing>
      </w:r>
    </w:p>
    <w:p>
      <w:pPr>
        <w:spacing w:after="0" w:line="580" w:lineRule="exact"/>
        <w:ind w:firstLine="640"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财政拨款本年收入2443.2万元，完成年初预算的103.52%,比年初预算增加83.15万元，决算数大于预算数主要是精神障碍患者监护人以奖代补和责任险资金、综治信息系统（9+X信息系统）建设费等项目预算调整；本年支出2402.91万元，完成年初预算的101.82%,比年初预算增加42.86万元，决算数大于预算数主要是精神障碍患者监护人以奖代补和责任险资金、综治信息系统（9+X信息系统）建设费等项目预算调整。</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其中，一般公共预算财政拨款本年收入完成年初预算113.82%，比年初预算增加83.15万元，决算数大于预算数主要是精神障碍患者监护人以奖代补和责任险资金、综治信息系统（9+X信息系统）建设费等项目预算调整；支出完成年初预算107.12%，比年初预算增加42.86万元，决算数大于预算数主要是精神障碍患者监护人以奖代补和责任险资金、综治信息系统（9+X信息系统）建设费等项目预算调整。政府性基金预算财政拨款本年收入完成年初预算100%，比年初预算增加0万元，决算数大于预算数主要是</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；支出完成年初预算100%，比年初预算增加0万元，决算数大于预算数主要是</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ascii="仿宋_GB2312" w:eastAsia="仿宋_GB2312" w:cs="DengXian-Regular"/>
          <w:sz w:val="32"/>
          <w:szCs w:val="32"/>
          <w:highlight w:val="yellow"/>
        </w:rPr>
      </w:pPr>
      <w:r>
        <w:rPr>
          <w:rFonts w:ascii="仿宋_GB2312" w:eastAsia="仿宋_GB2312" w:cs="DengXian-Regular"/>
          <w:sz w:val="32"/>
          <w:szCs w:val="32"/>
        </w:rPr>
        <w:drawing>
          <wp:anchor distT="0" distB="0" distL="114300" distR="114300" simplePos="0" relativeHeight="251662336" behindDoc="0" locked="0" layoutInCell="1" allowOverlap="1">
            <wp:simplePos x="0" y="0"/>
            <wp:positionH relativeFrom="column">
              <wp:posOffset>239395</wp:posOffset>
            </wp:positionH>
            <wp:positionV relativeFrom="paragraph">
              <wp:posOffset>153670</wp:posOffset>
            </wp:positionV>
            <wp:extent cx="5153025" cy="2905125"/>
            <wp:effectExtent l="19050" t="0" r="9525" b="0"/>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11" cstate="print"/>
                    <a:srcRect/>
                    <a:stretch>
                      <a:fillRect/>
                    </a:stretch>
                  </pic:blipFill>
                  <pic:spPr>
                    <a:xfrm>
                      <a:off x="0" y="0"/>
                      <a:ext cx="5153025" cy="2905125"/>
                    </a:xfrm>
                    <a:prstGeom prst="rect">
                      <a:avLst/>
                    </a:prstGeom>
                    <a:noFill/>
                  </pic:spPr>
                </pic:pic>
              </a:graphicData>
            </a:graphic>
          </wp:anchor>
        </w:drawing>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 年度财政拨款支出2402.91万元，主要用于以下方面一般公共服务（类）支出623.27万元，占25.94%；公共安全（类）支出0万元，占0%；教育（类）支出0万元，占0%；科学技术（类）支出0万元，占 0%；社会保障和就业（类）支出 14.13万元，占0.59%；住房保障（类）支出0万元，占0%;医疗卫生与计划生育（类）支出7.18万元，占0.3%。</w:t>
      </w:r>
    </w:p>
    <w:p>
      <w:pPr>
        <w:adjustRightInd w:val="0"/>
        <w:snapToGrid w:val="0"/>
        <w:spacing w:after="0" w:line="580" w:lineRule="exact"/>
        <w:ind w:firstLine="1440" w:firstLineChars="450"/>
        <w:rPr>
          <w:rFonts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p>
    <w:p>
      <w:pPr>
        <w:adjustRightInd w:val="0"/>
        <w:snapToGrid w:val="0"/>
        <w:spacing w:after="0" w:line="580" w:lineRule="exact"/>
        <w:rPr>
          <w:rFonts w:eastAsia="仿宋_GB2312"/>
          <w:sz w:val="32"/>
          <w:szCs w:val="32"/>
        </w:rPr>
      </w:pPr>
      <w:r>
        <w:rPr>
          <w:rFonts w:hint="eastAsia" w:eastAsia="仿宋_GB2312"/>
          <w:sz w:val="32"/>
          <w:szCs w:val="32"/>
        </w:rPr>
        <w:drawing>
          <wp:anchor distT="0" distB="0" distL="114300" distR="114300" simplePos="0" relativeHeight="251663360" behindDoc="0" locked="0" layoutInCell="1" allowOverlap="1">
            <wp:simplePos x="0" y="0"/>
            <wp:positionH relativeFrom="column">
              <wp:posOffset>296545</wp:posOffset>
            </wp:positionH>
            <wp:positionV relativeFrom="page">
              <wp:posOffset>1009650</wp:posOffset>
            </wp:positionV>
            <wp:extent cx="4886325" cy="2276475"/>
            <wp:effectExtent l="19050" t="0" r="9525" b="0"/>
            <wp:wrapTopAndBottom/>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 年度一般公共预算财政拨款基本支出179.5万元，其中：人员经费152.45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27.05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4"/>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本部门2018年度一般公共预算财政拨款“三公”经费支出共计12.99万元，比年初预算减少0.01万元，降低0.08%，主要是厉行节约的原则；比2017年度决算增加0.51万元，增长3.93%，主要是因扶贫工作下乡次数增加，公车使用率相应增加。具体情况如下：</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hint="eastAsia" w:ascii="仿宋" w:hAnsi="仿宋" w:eastAsia="仿宋" w:cs="仿宋"/>
          <w:sz w:val="32"/>
          <w:szCs w:val="32"/>
        </w:rPr>
        <w:t>本部门2018年度因公出国（境）团组0个、共0人/参加其他单位组织的因公出国（境）团组0个、共0人/无本单位组织的出国（境）团组。因公出国（境）费支出比年初预算增加0万元，增长0%，主要是</w:t>
      </w:r>
      <w:r>
        <w:rPr>
          <w:rFonts w:hint="eastAsia" w:ascii="仿宋" w:hAnsi="仿宋" w:eastAsia="仿宋" w:cs="仿宋"/>
          <w:color w:val="000000"/>
          <w:sz w:val="32"/>
          <w:szCs w:val="32"/>
        </w:rPr>
        <w:t>未发生因公出国（境）费支出</w:t>
      </w:r>
      <w:r>
        <w:rPr>
          <w:rFonts w:hint="eastAsia" w:ascii="仿宋" w:hAnsi="仿宋" w:eastAsia="仿宋" w:cs="仿宋"/>
          <w:sz w:val="32"/>
          <w:szCs w:val="32"/>
        </w:rPr>
        <w:t>；比2017年度决算增加0万元，增长0%，主要是</w:t>
      </w:r>
      <w:r>
        <w:rPr>
          <w:rFonts w:hint="eastAsia" w:ascii="仿宋" w:hAnsi="仿宋" w:eastAsia="仿宋" w:cs="仿宋"/>
          <w:color w:val="000000"/>
          <w:sz w:val="32"/>
          <w:szCs w:val="32"/>
        </w:rPr>
        <w:t>未发生因公出国（境）费支出</w:t>
      </w:r>
      <w:r>
        <w:rPr>
          <w:rFonts w:hint="eastAsia" w:ascii="仿宋" w:hAnsi="仿宋" w:eastAsia="仿宋" w:cs="仿宋"/>
          <w:sz w:val="32"/>
          <w:szCs w:val="32"/>
        </w:rPr>
        <w:t>。</w:t>
      </w:r>
    </w:p>
    <w:p>
      <w:pPr>
        <w:adjustRightInd w:val="0"/>
        <w:snapToGrid w:val="0"/>
        <w:spacing w:line="584" w:lineRule="exact"/>
        <w:ind w:firstLine="640" w:firstLineChars="200"/>
        <w:rPr>
          <w:rFonts w:hint="eastAsia" w:ascii="仿宋" w:hAnsi="仿宋" w:eastAsia="仿宋" w:cs="仿宋"/>
          <w:b/>
          <w:bCs/>
          <w:sz w:val="32"/>
          <w:szCs w:val="32"/>
        </w:rPr>
      </w:pPr>
      <w:r>
        <w:rPr>
          <w:rFonts w:eastAsia="楷体_GB2312"/>
          <w:b/>
          <w:bCs/>
          <w:sz w:val="32"/>
          <w:szCs w:val="32"/>
        </w:rPr>
        <w:t>（二）公务用车购置及运行维护费支出</w:t>
      </w:r>
      <w:r>
        <w:rPr>
          <w:rFonts w:hint="eastAsia" w:eastAsia="楷体_GB2312"/>
          <w:b/>
          <w:bCs/>
          <w:sz w:val="32"/>
          <w:szCs w:val="32"/>
        </w:rPr>
        <w:t>12.5</w:t>
      </w:r>
      <w:r>
        <w:rPr>
          <w:rFonts w:eastAsia="楷体_GB2312"/>
          <w:b/>
          <w:bCs/>
          <w:sz w:val="32"/>
          <w:szCs w:val="32"/>
        </w:rPr>
        <w:t>万元。</w:t>
      </w:r>
      <w:r>
        <w:rPr>
          <w:rFonts w:hint="eastAsia" w:ascii="仿宋" w:hAnsi="仿宋" w:eastAsia="仿宋" w:cs="仿宋"/>
          <w:sz w:val="32"/>
          <w:szCs w:val="32"/>
        </w:rPr>
        <w:t>本部门2018年度公务用车购置及运行维护费比年初预算增加0万元，增长0%,主要是与年初预算持平，无增减变化；比2017年度决算增加0.02万元，增长0.16%，主要是因扶贫工作下乡次数增加，公车使用率相应增加。</w:t>
      </w:r>
      <w:r>
        <w:rPr>
          <w:rFonts w:hint="eastAsia" w:ascii="仿宋" w:hAnsi="仿宋" w:eastAsia="仿宋" w:cs="仿宋"/>
          <w:b/>
          <w:bCs/>
          <w:sz w:val="32"/>
          <w:szCs w:val="32"/>
        </w:rPr>
        <w:t>其中：</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hint="eastAsia" w:ascii="仿宋" w:hAnsi="仿宋" w:eastAsia="仿宋" w:cs="仿宋"/>
          <w:sz w:val="32"/>
          <w:szCs w:val="32"/>
        </w:rPr>
        <w:t>本部门2018年度公务用车购置数量0辆。公务用车购置费支出比年初预算增加0万元，增长0%，主要是未发生公务用车购置经费支出；比2017年度决算增加0万元，增长0%，主要是未发生公务用车购置经费支出。</w:t>
      </w:r>
    </w:p>
    <w:p>
      <w:pPr>
        <w:adjustRightInd w:val="0"/>
        <w:snapToGrid w:val="0"/>
        <w:spacing w:line="584" w:lineRule="exact"/>
        <w:ind w:firstLine="640" w:firstLineChars="200"/>
        <w:rPr>
          <w:rFonts w:hint="eastAsia" w:ascii="仿宋" w:hAnsi="仿宋" w:eastAsia="仿宋" w:cs="仿宋"/>
          <w:sz w:val="32"/>
          <w:szCs w:val="32"/>
          <w:highlight w:val="yellow"/>
        </w:rPr>
      </w:pPr>
      <w:r>
        <w:rPr>
          <w:rFonts w:eastAsia="仿宋_GB2312"/>
          <w:b/>
          <w:sz w:val="32"/>
          <w:szCs w:val="32"/>
        </w:rPr>
        <w:t>公务用车运行维护费支出</w:t>
      </w:r>
      <w:r>
        <w:rPr>
          <w:rFonts w:hint="eastAsia" w:eastAsia="仿宋_GB2312"/>
          <w:b/>
          <w:sz w:val="32"/>
          <w:szCs w:val="32"/>
        </w:rPr>
        <w:t>12.5</w:t>
      </w:r>
      <w:r>
        <w:rPr>
          <w:rFonts w:eastAsia="仿宋_GB2312"/>
          <w:b/>
          <w:sz w:val="32"/>
          <w:szCs w:val="32"/>
        </w:rPr>
        <w:t>万元。</w:t>
      </w:r>
      <w:r>
        <w:rPr>
          <w:rFonts w:hint="eastAsia" w:ascii="仿宋" w:hAnsi="仿宋" w:eastAsia="仿宋" w:cs="仿宋"/>
          <w:sz w:val="32"/>
          <w:szCs w:val="32"/>
        </w:rPr>
        <w:t>本部门2018年末单位公务用车保有量2辆。公车运行维护费支出比年初预算增加0万元，增长0%，主要是</w:t>
      </w:r>
      <w:r>
        <w:rPr>
          <w:rFonts w:hint="eastAsia" w:ascii="仿宋" w:hAnsi="仿宋" w:eastAsia="仿宋" w:cs="仿宋"/>
          <w:color w:val="000000"/>
          <w:sz w:val="32"/>
          <w:szCs w:val="32"/>
        </w:rPr>
        <w:t>较年初预算无增减变化</w:t>
      </w:r>
      <w:r>
        <w:rPr>
          <w:rFonts w:hint="eastAsia" w:ascii="仿宋" w:hAnsi="仿宋" w:eastAsia="仿宋" w:cs="仿宋"/>
          <w:sz w:val="32"/>
          <w:szCs w:val="32"/>
        </w:rPr>
        <w:t>；比2017年度决算增加0.02万元，增长0.16%，主要是因扶贫工作下乡次数增加，公车使用率相应增加。</w:t>
      </w:r>
    </w:p>
    <w:p>
      <w:pPr>
        <w:adjustRightInd w:val="0"/>
        <w:snapToGrid w:val="0"/>
        <w:spacing w:line="584" w:lineRule="exact"/>
        <w:ind w:firstLine="640"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0.49</w:t>
      </w:r>
      <w:r>
        <w:rPr>
          <w:rFonts w:eastAsia="楷体_GB2312"/>
          <w:b/>
          <w:bCs/>
          <w:sz w:val="32"/>
          <w:szCs w:val="32"/>
        </w:rPr>
        <w:t>万元。</w:t>
      </w:r>
      <w:r>
        <w:rPr>
          <w:rFonts w:hint="eastAsia" w:ascii="仿宋" w:hAnsi="仿宋" w:eastAsia="仿宋" w:cs="仿宋"/>
          <w:sz w:val="32"/>
          <w:szCs w:val="32"/>
        </w:rPr>
        <w:t>本部门2018年度公务接待共8批次、80人次。公务接待费支出比年初预算减少0.01万元，降低2%，主要是厉行节约的原则；比2017年度决算增加0.49万元，增长100%，主要是上级督导检查工作增加。</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b/>
          <w:bCs/>
          <w:sz w:val="32"/>
          <w:szCs w:val="32"/>
        </w:rPr>
      </w:pPr>
      <w:r>
        <w:rPr>
          <w:rFonts w:hint="eastAsia" w:ascii="仿宋_GB2312" w:eastAsia="仿宋_GB2312" w:cs="DengXian-Regular"/>
          <w:b/>
          <w:bCs/>
          <w:sz w:val="32"/>
          <w:szCs w:val="32"/>
        </w:rPr>
        <w:t>（一）预算绩效管理工作开展情况。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2018年，县委政法委以习近平新时代中国特色社会主义思想为统领，全面落实中央、省市政法工作会议工作部署，坚持党对政法工作的绝对领导，坚持以人民为中心的发展思想，认真履行维护国家政治安全、确保社会大局稳定、促进社会公平正义、保障人民安居乐业“四大任务”，聚焦平安建设、法治建设、队伍建设、智能化建设“四大建设”，有力管控各类风险，不断增强人民群众获得感、幸福感、安全感，为高质量建设新时代“产业强县、大美大城”，创造安全的政治环境、稳定的社会环境、公正的法治环境和优质的服务环境，全县政法综治维稳工作各项任务完成年初工作目标的100%。</w:t>
      </w:r>
    </w:p>
    <w:p>
      <w:pPr>
        <w:adjustRightInd w:val="0"/>
        <w:snapToGrid w:val="0"/>
        <w:spacing w:after="0" w:line="580" w:lineRule="exact"/>
        <w:ind w:firstLine="640" w:firstLineChars="200"/>
        <w:rPr>
          <w:rFonts w:ascii="仿宋_GB2312" w:eastAsia="仿宋_GB2312" w:cs="DengXian-Regular"/>
          <w:b/>
          <w:bCs/>
          <w:sz w:val="32"/>
          <w:szCs w:val="32"/>
        </w:rPr>
      </w:pPr>
      <w:r>
        <w:rPr>
          <w:rFonts w:hint="eastAsia" w:ascii="仿宋_GB2312" w:eastAsia="仿宋_GB2312" w:cs="DengXian-Regular"/>
          <w:b/>
          <w:bCs/>
          <w:sz w:val="32"/>
          <w:szCs w:val="32"/>
        </w:rPr>
        <w:t>（二）项目绩效自评结果。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全力维护社会大局稳定：深化隐蔽战线斗争、反恐专项斗争，加强区域部位和重点人员管控，圆满完成全国“两会”、国庆等敏感期安保任务，确保了各个敏感期的平稳过渡。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强力打造平安大城：保持严打高压态势，共立刑事案件1031起，同比下降20%，破获各类刑事案件350起同比下降10.5%，抓获各类违法犯罪嫌疑人373人，同比上升13.3%；新发命案2起全部侦破。打掉团伙15个，涉及团伙成员85人，抓获各类逃犯195人。共破获侵财类案件134起，抓获侵财类犯罪嫌疑人78人；批准逮捕各类刑事犯罪案件188件255人，提起公诉323件443人；受理各类刑事案件375件，审结305件，给予刑事处罚369人，对各类犯罪形成强大震慑。同时全面提升整体防控水平。加快立体化、信息化社会治安防控体系建设，2018年，接有效警情7148起，同比下降17.4%（刑事警情633起，同比下降32.0%；治安警情744起，同比下降6.4%；交通事故5771起，同比下降16.7%），全县社会治安总体平稳有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面夯实综治工作：健全落实综治维稳领导责任制、加强县乡村三级综治中心建设、强力推进综治信息化建设、推动严重精神障碍患者监护人“以奖代补”和监护人责任险工作、推动保险业参与平安建设、深入开展矛盾纠纷排查化解，各项工作全部完成全年工作任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稳步推进依法治县工作：加强依法执政制度建设，加强执法主体资格管理，深入开展“七五普法”活动，法治建设各项工作全面推进，并在全市位次靠前。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深入推进扫黑除恶专项斗争：强化涉黑涉恶案件线索摸排、严厉打击涉黑涉恶犯罪、加强基层反腐及基层组织建设，扫黑除恶专项斗争工作任务全部完成。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加强政法队伍建设:实施“筑魂”、“强体”、“淬火”、“聚力”四大工程，政法机关领导班子和队伍建设得到全面加强。  </w:t>
      </w:r>
    </w:p>
    <w:p>
      <w:pPr>
        <w:numPr>
          <w:ilvl w:val="0"/>
          <w:numId w:val="0"/>
        </w:numPr>
        <w:ind w:leftChars="200"/>
        <w:rPr>
          <w:rFonts w:hint="eastAsia" w:ascii="仿宋_GB2312" w:eastAsia="仿宋_GB2312" w:cs="DengXian-Regular"/>
          <w:b/>
          <w:bCs/>
          <w:sz w:val="32"/>
          <w:szCs w:val="32"/>
        </w:rPr>
      </w:pPr>
      <w:r>
        <w:rPr>
          <w:rFonts w:hint="eastAsia" w:ascii="仿宋_GB2312" w:eastAsia="仿宋_GB2312" w:cs="DengXian-Regular"/>
          <w:b/>
          <w:bCs/>
          <w:sz w:val="32"/>
          <w:szCs w:val="32"/>
          <w:lang w:eastAsia="zh-CN"/>
        </w:rPr>
        <w:t>（三）</w:t>
      </w:r>
      <w:r>
        <w:rPr>
          <w:rFonts w:hint="eastAsia" w:ascii="仿宋_GB2312" w:eastAsia="仿宋_GB2312" w:cs="DengXian-Regular"/>
          <w:b/>
          <w:bCs/>
          <w:sz w:val="32"/>
          <w:szCs w:val="32"/>
        </w:rPr>
        <w:t>重点项目绩效评价结果。</w:t>
      </w:r>
    </w:p>
    <w:p>
      <w:pPr>
        <w:autoSpaceDE/>
        <w:autoSpaceDN/>
        <w:spacing w:line="560" w:lineRule="exact"/>
        <w:ind w:firstLine="640" w:firstLineChars="200"/>
        <w:jc w:val="both"/>
        <w:rPr>
          <w:rFonts w:hint="eastAsia" w:ascii="仿宋" w:hAnsi="仿宋" w:eastAsia="仿宋" w:cs="仿宋"/>
          <w:b w:val="0"/>
          <w:bCs w:val="0"/>
        </w:rPr>
      </w:pPr>
      <w:r>
        <w:rPr>
          <w:rFonts w:hint="eastAsia" w:ascii="仿宋" w:hAnsi="仿宋" w:eastAsia="仿宋" w:cs="仿宋"/>
          <w:sz w:val="32"/>
          <w:szCs w:val="32"/>
          <w:lang w:eastAsia="zh-CN"/>
        </w:rPr>
        <w:t>中共河北省大城县委政法委员会</w:t>
      </w:r>
      <w:r>
        <w:rPr>
          <w:rFonts w:hint="eastAsia" w:ascii="仿宋" w:hAnsi="仿宋" w:eastAsia="仿宋" w:cs="仿宋"/>
          <w:sz w:val="32"/>
          <w:szCs w:val="32"/>
        </w:rPr>
        <w:t>是县委领导政法工作的职能部门，主要职责是加强党的领导，确保全县政法单位坚定正确的政治方向，监督和支持政法单位依法行使职权，指导和协调政法单位密切配合，研究和协调重大、疑难案件，指导政法单位涉法涉诉信访工作，推进严格执法、公正司法；统筹协调社会治安综合治理、维护社会稳定、反邪教有关法律法规政策的实施；掌握分析政法舆情动态，指导协调政法单位做好涉及政法工作的重大宣传工作，协调和指导全县见义勇为工作；全力推进平安大城、法治大城建设，加强过硬队伍建设，深化政法改革，深化法系统信息化、智能化建设，坚决维护国家政治安全，创新完善多部门参与的综治维稳工作机制，协调推动预防、化解影响稳定的社会矛盾和风险，协调应对和处置重大突发事件，总体目标是全面提升政法工作现代化水平，努力建设更高水平的平安大城、法治大城，为新时代加快建设经济强县、美丽大城创造安全的政治环境、稳定的社会环境、公正的法治环境、优质的服务环境。</w:t>
      </w:r>
      <w:r>
        <w:rPr>
          <w:rFonts w:hint="eastAsia" w:ascii="仿宋" w:hAnsi="仿宋" w:eastAsia="仿宋" w:cs="仿宋"/>
          <w:sz w:val="32"/>
          <w:szCs w:val="32"/>
          <w:lang w:val="en-US" w:eastAsia="zh-CN"/>
        </w:rPr>
        <w:t>绩效自评等级为“优”。</w:t>
      </w:r>
    </w:p>
    <w:p>
      <w:pPr>
        <w:pStyle w:val="4"/>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本部门2018年度机关运行经费支出27.05万元，比年初预算数增加0.27万元，增长1 %。主要是人员调整，公务交通补贴增加。较2017年度决算增加3.07万元，增长11.35%，主要是人员调整。</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本部门2018年度政府采购支出总额2634.98万元，从采购类型来看，</w:t>
      </w:r>
      <w:r>
        <w:rPr>
          <w:rFonts w:hint="eastAsia" w:ascii="仿宋" w:hAnsi="仿宋" w:eastAsia="仿宋" w:cs="仿宋"/>
          <w:color w:val="000000"/>
          <w:kern w:val="0"/>
          <w:sz w:val="32"/>
          <w:szCs w:val="32"/>
        </w:rPr>
        <w:t>政府采购货物支出2561.38 万元、政府采购工程支出0万元、政府采购服务支出 73.6万元。授予中小企业合同金0万元，占政府采购支出总额的0%，其中授予小微企业合同金额0万元，占政府采购支出总额的 0%。</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截至2018年12月31日，本部门共有车辆2辆，比上年增加0辆，主要是</w:t>
      </w:r>
      <w:r>
        <w:rPr>
          <w:rFonts w:hint="eastAsia" w:ascii="仿宋" w:hAnsi="仿宋" w:eastAsia="仿宋" w:cs="仿宋"/>
          <w:color w:val="000000"/>
          <w:sz w:val="32"/>
          <w:szCs w:val="32"/>
        </w:rPr>
        <w:t>较上年无增减变化</w:t>
      </w:r>
      <w:r>
        <w:rPr>
          <w:rFonts w:hint="eastAsia" w:ascii="仿宋" w:hAnsi="仿宋" w:eastAsia="仿宋" w:cs="仿宋"/>
          <w:sz w:val="32"/>
          <w:szCs w:val="32"/>
        </w:rPr>
        <w:t>。其中，副部（省）级及以上领导用车0辆，主要领导干部用车0辆，机要通信用车0辆，应急保障用车2辆，执法执勤用车0辆，特种专业技术用车0辆，离退休干部用车0辆，其他用车0辆，其他用车主要是无需要说明的情况；单位价值50万元以上通用设备0台（套），比上年增加0套，主要是</w:t>
      </w:r>
      <w:r>
        <w:rPr>
          <w:rFonts w:hint="eastAsia" w:ascii="仿宋" w:hAnsi="仿宋" w:eastAsia="仿宋" w:cs="仿宋"/>
          <w:color w:val="000000"/>
          <w:sz w:val="32"/>
          <w:szCs w:val="32"/>
        </w:rPr>
        <w:t>较上年无增减变化</w:t>
      </w:r>
      <w:r>
        <w:rPr>
          <w:rFonts w:hint="eastAsia" w:ascii="仿宋" w:hAnsi="仿宋" w:eastAsia="仿宋" w:cs="仿宋"/>
          <w:sz w:val="32"/>
          <w:szCs w:val="32"/>
        </w:rPr>
        <w:t xml:space="preserve"> ，单位价值100万元以上专用设备0台（套）比上年增加0套,主要是</w:t>
      </w:r>
      <w:r>
        <w:rPr>
          <w:rFonts w:hint="eastAsia" w:ascii="仿宋" w:hAnsi="仿宋" w:eastAsia="仿宋" w:cs="仿宋"/>
          <w:color w:val="000000"/>
          <w:sz w:val="32"/>
          <w:szCs w:val="32"/>
        </w:rPr>
        <w:t>较上年无增减变化</w:t>
      </w:r>
      <w:r>
        <w:rPr>
          <w:rFonts w:hint="eastAsia" w:ascii="仿宋" w:hAnsi="仿宋" w:eastAsia="仿宋" w:cs="仿宋"/>
          <w:sz w:val="32"/>
          <w:szCs w:val="32"/>
        </w:rPr>
        <w:t>。</w:t>
      </w:r>
    </w:p>
    <w:p>
      <w:pPr>
        <w:pStyle w:val="5"/>
        <w:spacing w:before="0" w:after="0" w:line="580" w:lineRule="exact"/>
        <w:ind w:firstLine="640"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1、本部门2018年度结转资金67.33万元，结转资金为人员增资补助、部分项目资金及上级拨款。</w:t>
      </w:r>
    </w:p>
    <w:p>
      <w:pPr>
        <w:adjustRightInd w:val="0"/>
        <w:snapToGrid w:val="0"/>
        <w:spacing w:after="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0" w:firstLineChars="200"/>
        <w:jc w:val="left"/>
        <w:rPr>
          <w:rFonts w:hint="eastAsia" w:ascii="仿宋" w:hAnsi="仿宋" w:eastAsia="仿宋" w:cs="仿宋"/>
          <w:b/>
          <w:bCs/>
          <w:kern w:val="0"/>
          <w:sz w:val="44"/>
          <w:szCs w:val="44"/>
        </w:rPr>
        <w:sectPr>
          <w:pgSz w:w="11906" w:h="16838"/>
          <w:pgMar w:top="2098" w:right="1474" w:bottom="1985" w:left="1588" w:header="851" w:footer="992" w:gutter="0"/>
          <w:cols w:space="0" w:num="1"/>
          <w:docGrid w:type="linesAndChar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5" w:left="1588" w:header="851" w:footer="992" w:gutter="0"/>
          <w:cols w:space="0" w:num="1"/>
          <w:docGrid w:type="linesAndChars" w:linePitch="312" w:charSpace="0"/>
        </w:sectPr>
      </w:pP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（一）财政拨款收入：</w:t>
      </w:r>
      <w:r>
        <w:rPr>
          <w:rFonts w:hint="eastAsia" w:ascii="仿宋" w:hAnsi="仿宋" w:eastAsia="仿宋" w:cs="仿宋"/>
          <w:color w:val="000000"/>
          <w:kern w:val="0"/>
          <w:sz w:val="32"/>
          <w:szCs w:val="32"/>
        </w:rPr>
        <w:t>本年度从本级财政部门取得的财政拨款，包括一般公共预算财政拨款和政府性基金预算财政拨款。</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（三）其他收入：</w:t>
      </w:r>
      <w:r>
        <w:rPr>
          <w:rFonts w:hint="eastAsia" w:ascii="仿宋" w:hAnsi="仿宋" w:eastAsia="仿宋" w:cs="仿宋"/>
          <w:color w:val="000000"/>
          <w:kern w:val="0"/>
          <w:sz w:val="32"/>
          <w:szCs w:val="32"/>
        </w:rPr>
        <w:t>指除上述“财政拨款收入”“事业收入”“经营收入”等以外的收入。</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（四）用事业基金弥补收支差额：</w:t>
      </w:r>
      <w:r>
        <w:rPr>
          <w:rFonts w:hint="eastAsia" w:ascii="仿宋" w:hAnsi="仿宋" w:eastAsia="仿宋" w:cs="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（五）年初结转和结余：</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（六）结余分配：</w:t>
      </w:r>
      <w:r>
        <w:rPr>
          <w:rFonts w:hint="eastAsia" w:ascii="仿宋" w:hAnsi="仿宋" w:eastAsia="仿宋" w:cs="仿宋"/>
          <w:color w:val="000000"/>
          <w:kern w:val="0"/>
          <w:sz w:val="32"/>
          <w:szCs w:val="32"/>
        </w:rPr>
        <w:t>指事业单位按照事业单位会计制度的规定从非财政补助结余中分配的事业基金和职工福利基金等。</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（七）年末结转和结余：</w:t>
      </w:r>
      <w:r>
        <w:rPr>
          <w:rFonts w:hint="eastAsia" w:ascii="仿宋" w:hAnsi="仿宋" w:eastAsia="仿宋" w:cs="仿宋"/>
          <w:color w:val="000000"/>
          <w:kern w:val="0"/>
          <w:sz w:val="32"/>
          <w:szCs w:val="32"/>
        </w:rPr>
        <w:t>指单位按有关规定结转到下年或以后年度继续使用的资金，或项目已完成等产生的结余资金。</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（八）基本支出：</w:t>
      </w:r>
      <w:r>
        <w:rPr>
          <w:rFonts w:hint="eastAsia" w:ascii="仿宋" w:hAnsi="仿宋" w:eastAsia="仿宋" w:cs="仿宋"/>
          <w:color w:val="000000"/>
          <w:kern w:val="0"/>
          <w:sz w:val="32"/>
          <w:szCs w:val="32"/>
        </w:rPr>
        <w:t>填列单位为保障机构正常运转、完成日常工作任务而发生的各项支出。</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（九）项目支出：</w:t>
      </w:r>
      <w:r>
        <w:rPr>
          <w:rFonts w:hint="eastAsia" w:ascii="仿宋" w:hAnsi="仿宋" w:eastAsia="仿宋" w:cs="仿宋"/>
          <w:color w:val="000000"/>
          <w:kern w:val="0"/>
          <w:sz w:val="32"/>
          <w:szCs w:val="32"/>
        </w:rPr>
        <w:t>填列单位为完成特定的行政工作任务或事业发展目标，在基本支出之外发生的各项支出</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（十）资本性支出（基本建设）：</w:t>
      </w:r>
      <w:r>
        <w:rPr>
          <w:rFonts w:hint="eastAsia" w:ascii="仿宋" w:hAnsi="仿宋" w:eastAsia="仿宋" w:cs="仿宋"/>
          <w:color w:val="000000"/>
          <w:kern w:val="0"/>
          <w:sz w:val="32"/>
          <w:szCs w:val="32"/>
        </w:rPr>
        <w:t>填列切块由发展改革部门安排的基本建设支出，对企业补助支出不在此科目反映。</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（十一）资本性支出：</w:t>
      </w:r>
      <w:r>
        <w:rPr>
          <w:rFonts w:hint="eastAsia" w:ascii="仿宋" w:hAnsi="仿宋" w:eastAsia="仿宋" w:cs="仿宋"/>
          <w:color w:val="000000"/>
          <w:kern w:val="0"/>
          <w:sz w:val="32"/>
          <w:szCs w:val="32"/>
        </w:rPr>
        <w:t>填列各单位安排的资本性支出。切块由发展改革部门安排的基本建设支出不在此科目反映。</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（十二）“三公”经费：</w:t>
      </w:r>
      <w:r>
        <w:rPr>
          <w:rFonts w:hint="eastAsia" w:ascii="仿宋" w:hAnsi="仿宋" w:eastAsia="仿宋" w:cs="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（十三）其他交通费用：</w:t>
      </w:r>
      <w:r>
        <w:rPr>
          <w:rFonts w:hint="eastAsia" w:ascii="仿宋" w:hAnsi="仿宋" w:eastAsia="仿宋" w:cs="仿宋"/>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（十四）公务用车购置：</w:t>
      </w:r>
      <w:r>
        <w:rPr>
          <w:rFonts w:hint="eastAsia" w:ascii="仿宋" w:hAnsi="仿宋" w:eastAsia="仿宋" w:cs="仿宋"/>
          <w:color w:val="000000"/>
          <w:kern w:val="0"/>
          <w:sz w:val="32"/>
          <w:szCs w:val="32"/>
        </w:rPr>
        <w:t>填列单位公务用车购置支出（含车辆购置税、牌照费）。</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（十五）其他交通工具购置：</w:t>
      </w:r>
      <w:r>
        <w:rPr>
          <w:rFonts w:hint="eastAsia" w:ascii="仿宋" w:hAnsi="仿宋" w:eastAsia="仿宋" w:cs="仿宋"/>
          <w:color w:val="000000"/>
          <w:kern w:val="0"/>
          <w:sz w:val="32"/>
          <w:szCs w:val="32"/>
        </w:rPr>
        <w:t>填列单位除公务用车外的其他各类交通工具（如船舶、飞机）购置支出（含车辆购置税、牌照费）。</w:t>
      </w:r>
    </w:p>
    <w:p>
      <w:pPr>
        <w:widowControl/>
        <w:spacing w:after="0"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（十六）机关运行经费：</w:t>
      </w:r>
      <w:r>
        <w:rPr>
          <w:rFonts w:hint="eastAsia" w:ascii="仿宋" w:hAnsi="仿宋" w:eastAsia="仿宋" w:cs="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0" w:firstLineChars="200"/>
        <w:rPr>
          <w:rFonts w:hint="eastAsia" w:ascii="仿宋" w:hAnsi="仿宋" w:eastAsia="仿宋" w:cs="仿宋"/>
          <w:kern w:val="0"/>
          <w:sz w:val="32"/>
          <w:szCs w:val="32"/>
        </w:rPr>
      </w:pPr>
      <w:r>
        <w:rPr>
          <w:rFonts w:hint="eastAsia" w:ascii="仿宋" w:hAnsi="仿宋" w:eastAsia="仿宋" w:cs="仿宋"/>
          <w:b/>
          <w:bCs/>
          <w:color w:val="000000"/>
          <w:kern w:val="0"/>
          <w:sz w:val="32"/>
          <w:szCs w:val="32"/>
        </w:rPr>
        <w:t>（十七）经费形式:</w:t>
      </w:r>
      <w:r>
        <w:rPr>
          <w:rFonts w:hint="eastAsia" w:ascii="仿宋" w:hAnsi="仿宋" w:eastAsia="仿宋" w:cs="仿宋"/>
          <w:color w:val="000000"/>
          <w:kern w:val="0"/>
          <w:sz w:val="32"/>
          <w:szCs w:val="32"/>
        </w:rPr>
        <w:t>按照经费来源，</w:t>
      </w:r>
      <w:r>
        <w:rPr>
          <w:rFonts w:hint="eastAsia" w:ascii="仿宋" w:hAnsi="仿宋" w:eastAsia="仿宋" w:cs="仿宋"/>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hint="eastAsia" w:ascii="仿宋" w:hAnsi="仿宋" w:eastAsia="仿宋" w:cs="仿宋"/>
          <w:kern w:val="0"/>
          <w:sz w:val="32"/>
          <w:szCs w:val="32"/>
        </w:rPr>
      </w:pPr>
    </w:p>
    <w:p>
      <w:pPr>
        <w:widowControl/>
        <w:spacing w:after="0" w:line="560" w:lineRule="exact"/>
        <w:ind w:firstLine="640" w:firstLineChars="200"/>
        <w:rPr>
          <w:rFonts w:hint="eastAsia" w:ascii="仿宋" w:hAnsi="仿宋" w:eastAsia="仿宋" w:cs="仿宋"/>
          <w:kern w:val="0"/>
          <w:sz w:val="32"/>
          <w:szCs w:val="32"/>
        </w:rPr>
      </w:pPr>
    </w:p>
    <w:p>
      <w:pPr>
        <w:widowControl/>
        <w:spacing w:after="0" w:line="560" w:lineRule="exact"/>
        <w:rPr>
          <w:rFonts w:hint="eastAsia" w:ascii="仿宋" w:hAnsi="仿宋" w:eastAsia="仿宋" w:cs="仿宋"/>
          <w:kern w:val="0"/>
          <w:sz w:val="32"/>
          <w:szCs w:val="32"/>
        </w:rPr>
      </w:pPr>
    </w:p>
    <w:sectPr>
      <w:pgSz w:w="11906" w:h="16838"/>
      <w:pgMar w:top="2098" w:right="1474" w:bottom="1985" w:left="1588"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23B4D23-C310-4F75-9BCA-78772397162C}"/>
  </w:font>
  <w:font w:name="黑体">
    <w:panose1 w:val="02010609060101010101"/>
    <w:charset w:val="86"/>
    <w:family w:val="auto"/>
    <w:pitch w:val="default"/>
    <w:sig w:usb0="800002BF" w:usb1="38CF7CFA" w:usb2="00000016" w:usb3="00000000" w:csb0="00040001" w:csb1="00000000"/>
    <w:embedRegular r:id="rId2" w:fontKey="{9201310A-D32A-4AD0-8F5F-23C23C9C769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73E9DCF6-265C-4732-9A38-83420ECF4D71}"/>
  </w:font>
  <w:font w:name="楷体">
    <w:panose1 w:val="02010609060101010101"/>
    <w:charset w:val="86"/>
    <w:family w:val="modern"/>
    <w:pitch w:val="default"/>
    <w:sig w:usb0="800002BF" w:usb1="38CF7CFA" w:usb2="00000016" w:usb3="00000000" w:csb0="00040001" w:csb1="00000000"/>
    <w:embedRegular r:id="rId4" w:fontKey="{8019C6DB-97F9-4012-A212-9A28CBA09B44}"/>
  </w:font>
  <w:font w:name="仿宋">
    <w:panose1 w:val="02010609060101010101"/>
    <w:charset w:val="86"/>
    <w:family w:val="modern"/>
    <w:pitch w:val="default"/>
    <w:sig w:usb0="800002BF" w:usb1="38CF7CFA" w:usb2="00000016" w:usb3="00000000" w:csb0="00040001" w:csb1="00000000"/>
    <w:embedRegular r:id="rId5" w:fontKey="{4BD3BDAE-B252-4844-93C0-3F2BEB5E0792}"/>
  </w:font>
  <w:font w:name="仿宋_GB2312">
    <w:panose1 w:val="02010609030101010101"/>
    <w:charset w:val="86"/>
    <w:family w:val="modern"/>
    <w:pitch w:val="default"/>
    <w:sig w:usb0="00000001" w:usb1="080E0000" w:usb2="00000000" w:usb3="00000000" w:csb0="00040000" w:csb1="00000000"/>
    <w:embedRegular r:id="rId6" w:fontKey="{81B29FE7-82A5-463C-A344-25C95AA48BAC}"/>
  </w:font>
  <w:font w:name="ArialUnicodeMS">
    <w:altName w:val="Malgun Gothic"/>
    <w:panose1 w:val="00000000000000000000"/>
    <w:charset w:val="81"/>
    <w:family w:val="auto"/>
    <w:pitch w:val="default"/>
    <w:sig w:usb0="00000000" w:usb1="00000000" w:usb2="00000010" w:usb3="00000000" w:csb0="00080001" w:csb1="00000000"/>
    <w:embedRegular r:id="rId7" w:fontKey="{0C8A99C4-3609-4D8D-A3F6-6248D345F715}"/>
  </w:font>
  <w:font w:name="MS-UIGothic,Bold">
    <w:altName w:val="Malgun Gothic"/>
    <w:panose1 w:val="00000000000000000000"/>
    <w:charset w:val="81"/>
    <w:family w:val="auto"/>
    <w:pitch w:val="default"/>
    <w:sig w:usb0="00000000" w:usb1="00000000" w:usb2="00000010" w:usb3="00000000" w:csb0="00080000" w:csb1="00000000"/>
    <w:embedRegular r:id="rId8" w:fontKey="{84F35D51-F6BB-47F1-B5DA-C3E21902D317}"/>
  </w:font>
  <w:font w:name="DengXian-Regular">
    <w:altName w:val="宋体"/>
    <w:panose1 w:val="00000000000000000000"/>
    <w:charset w:val="86"/>
    <w:family w:val="auto"/>
    <w:pitch w:val="default"/>
    <w:sig w:usb0="00000000" w:usb1="00000000" w:usb2="00000010" w:usb3="00000000" w:csb0="00040001" w:csb1="00000000"/>
    <w:embedRegular r:id="rId9" w:fontKey="{623C9F2B-A2CC-4A67-A5C1-196875D4F4E1}"/>
  </w:font>
  <w:font w:name="楷体_GB2312">
    <w:altName w:val="楷体"/>
    <w:panose1 w:val="00000000000000000000"/>
    <w:charset w:val="86"/>
    <w:family w:val="modern"/>
    <w:pitch w:val="default"/>
    <w:sig w:usb0="00000000" w:usb1="00000000" w:usb2="00000000" w:usb3="00000000" w:csb0="00040000" w:csb1="00000000"/>
    <w:embedRegular r:id="rId10" w:fontKey="{03403C27-67A8-4EB8-B87D-150837B0548C}"/>
  </w:font>
  <w:font w:name="DengXian-Bold">
    <w:altName w:val="宋体"/>
    <w:panose1 w:val="00000000000000000000"/>
    <w:charset w:val="86"/>
    <w:family w:val="auto"/>
    <w:pitch w:val="default"/>
    <w:sig w:usb0="00000000" w:usb1="00000000" w:usb2="00000010" w:usb3="00000000" w:csb0="00040001" w:csb1="00000000"/>
    <w:embedRegular r:id="rId11" w:fontKey="{80F6E9E6-6F16-4DA9-905C-3A592021E92C}"/>
  </w:font>
  <w:font w:name="Malgun Gothic">
    <w:panose1 w:val="020B0503020000020004"/>
    <w:charset w:val="81"/>
    <w:family w:val="auto"/>
    <w:pitch w:val="default"/>
    <w:sig w:usb0="900002AF" w:usb1="01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Y2ViYjM4MTcyMjdiYjY4ZDg5ZTAxMWQ1NzAyN2IifQ=="/>
  </w:docVars>
  <w:rsids>
    <w:rsidRoot w:val="003C1413"/>
    <w:rsid w:val="000065A5"/>
    <w:rsid w:val="00020FAF"/>
    <w:rsid w:val="00022474"/>
    <w:rsid w:val="00024E7F"/>
    <w:rsid w:val="00026659"/>
    <w:rsid w:val="000475A0"/>
    <w:rsid w:val="00052CCE"/>
    <w:rsid w:val="00067693"/>
    <w:rsid w:val="000838C3"/>
    <w:rsid w:val="00090628"/>
    <w:rsid w:val="000B2446"/>
    <w:rsid w:val="000D56F6"/>
    <w:rsid w:val="000D6AEC"/>
    <w:rsid w:val="000D7C65"/>
    <w:rsid w:val="000E2F81"/>
    <w:rsid w:val="000F3ECD"/>
    <w:rsid w:val="00101F8D"/>
    <w:rsid w:val="00103404"/>
    <w:rsid w:val="00106B44"/>
    <w:rsid w:val="00116D30"/>
    <w:rsid w:val="00117946"/>
    <w:rsid w:val="00117E2C"/>
    <w:rsid w:val="001365A6"/>
    <w:rsid w:val="00146C47"/>
    <w:rsid w:val="00152FB8"/>
    <w:rsid w:val="00176658"/>
    <w:rsid w:val="0018239E"/>
    <w:rsid w:val="001B3410"/>
    <w:rsid w:val="001B619D"/>
    <w:rsid w:val="001B7503"/>
    <w:rsid w:val="001C030D"/>
    <w:rsid w:val="001C0D41"/>
    <w:rsid w:val="001C4A84"/>
    <w:rsid w:val="001E281E"/>
    <w:rsid w:val="001E328F"/>
    <w:rsid w:val="001E5902"/>
    <w:rsid w:val="00233705"/>
    <w:rsid w:val="00245F9A"/>
    <w:rsid w:val="00246D99"/>
    <w:rsid w:val="00257266"/>
    <w:rsid w:val="00262306"/>
    <w:rsid w:val="00267B86"/>
    <w:rsid w:val="00275CA2"/>
    <w:rsid w:val="00290089"/>
    <w:rsid w:val="002A65A5"/>
    <w:rsid w:val="002B368C"/>
    <w:rsid w:val="002B7795"/>
    <w:rsid w:val="002C04C4"/>
    <w:rsid w:val="002C5B81"/>
    <w:rsid w:val="002D08B0"/>
    <w:rsid w:val="002D1AE3"/>
    <w:rsid w:val="002D7727"/>
    <w:rsid w:val="002F2ECE"/>
    <w:rsid w:val="00335739"/>
    <w:rsid w:val="00341C8F"/>
    <w:rsid w:val="0035463A"/>
    <w:rsid w:val="00364779"/>
    <w:rsid w:val="00391D9D"/>
    <w:rsid w:val="00392D25"/>
    <w:rsid w:val="003B6C51"/>
    <w:rsid w:val="003C1413"/>
    <w:rsid w:val="003C1C60"/>
    <w:rsid w:val="003C549F"/>
    <w:rsid w:val="003D5174"/>
    <w:rsid w:val="003D5A16"/>
    <w:rsid w:val="003E22F8"/>
    <w:rsid w:val="003E7DB3"/>
    <w:rsid w:val="003F04E7"/>
    <w:rsid w:val="003F2705"/>
    <w:rsid w:val="00431175"/>
    <w:rsid w:val="004374A3"/>
    <w:rsid w:val="0045575F"/>
    <w:rsid w:val="00493686"/>
    <w:rsid w:val="004B6E37"/>
    <w:rsid w:val="004C32BA"/>
    <w:rsid w:val="004C68EF"/>
    <w:rsid w:val="004F6480"/>
    <w:rsid w:val="0051280C"/>
    <w:rsid w:val="005162B9"/>
    <w:rsid w:val="00555471"/>
    <w:rsid w:val="00565CFD"/>
    <w:rsid w:val="00575922"/>
    <w:rsid w:val="00581423"/>
    <w:rsid w:val="005A3C0D"/>
    <w:rsid w:val="005A6C90"/>
    <w:rsid w:val="005B37E6"/>
    <w:rsid w:val="005B7D2A"/>
    <w:rsid w:val="005D0345"/>
    <w:rsid w:val="005D0611"/>
    <w:rsid w:val="005D7806"/>
    <w:rsid w:val="005E3FB0"/>
    <w:rsid w:val="005F127D"/>
    <w:rsid w:val="005F4B66"/>
    <w:rsid w:val="005F5208"/>
    <w:rsid w:val="00615C31"/>
    <w:rsid w:val="00620EA8"/>
    <w:rsid w:val="00641318"/>
    <w:rsid w:val="0064405D"/>
    <w:rsid w:val="006506F6"/>
    <w:rsid w:val="00650C64"/>
    <w:rsid w:val="006747FE"/>
    <w:rsid w:val="006759A1"/>
    <w:rsid w:val="00675A3F"/>
    <w:rsid w:val="00695557"/>
    <w:rsid w:val="006A665D"/>
    <w:rsid w:val="006B08C7"/>
    <w:rsid w:val="006C1A62"/>
    <w:rsid w:val="006C5A2D"/>
    <w:rsid w:val="006D4EA7"/>
    <w:rsid w:val="0070012A"/>
    <w:rsid w:val="0070664B"/>
    <w:rsid w:val="007071B8"/>
    <w:rsid w:val="007155C2"/>
    <w:rsid w:val="00721791"/>
    <w:rsid w:val="0072227C"/>
    <w:rsid w:val="00723759"/>
    <w:rsid w:val="007414DE"/>
    <w:rsid w:val="007577B2"/>
    <w:rsid w:val="00760C0C"/>
    <w:rsid w:val="007905A9"/>
    <w:rsid w:val="007B3D79"/>
    <w:rsid w:val="007B493A"/>
    <w:rsid w:val="007E072B"/>
    <w:rsid w:val="007E102E"/>
    <w:rsid w:val="007E5500"/>
    <w:rsid w:val="007F055B"/>
    <w:rsid w:val="007F471F"/>
    <w:rsid w:val="00811C2F"/>
    <w:rsid w:val="00817A69"/>
    <w:rsid w:val="00832CF8"/>
    <w:rsid w:val="00833D46"/>
    <w:rsid w:val="00836215"/>
    <w:rsid w:val="00840A97"/>
    <w:rsid w:val="00871D62"/>
    <w:rsid w:val="00872B02"/>
    <w:rsid w:val="00873292"/>
    <w:rsid w:val="008773D8"/>
    <w:rsid w:val="008A39C6"/>
    <w:rsid w:val="008A640A"/>
    <w:rsid w:val="008C0149"/>
    <w:rsid w:val="008C20E7"/>
    <w:rsid w:val="008D5DED"/>
    <w:rsid w:val="008E25CA"/>
    <w:rsid w:val="008F2DCE"/>
    <w:rsid w:val="008F34FC"/>
    <w:rsid w:val="008F4309"/>
    <w:rsid w:val="00914DFA"/>
    <w:rsid w:val="00944CD7"/>
    <w:rsid w:val="00961190"/>
    <w:rsid w:val="0096430F"/>
    <w:rsid w:val="00976FA2"/>
    <w:rsid w:val="009831B2"/>
    <w:rsid w:val="00990228"/>
    <w:rsid w:val="009A1ABE"/>
    <w:rsid w:val="009C032E"/>
    <w:rsid w:val="009D7A5F"/>
    <w:rsid w:val="009E21A4"/>
    <w:rsid w:val="009F22C6"/>
    <w:rsid w:val="00A00B54"/>
    <w:rsid w:val="00A07E50"/>
    <w:rsid w:val="00A12C15"/>
    <w:rsid w:val="00A15397"/>
    <w:rsid w:val="00A35CE0"/>
    <w:rsid w:val="00A36AF1"/>
    <w:rsid w:val="00A4462E"/>
    <w:rsid w:val="00A44AA4"/>
    <w:rsid w:val="00A4683A"/>
    <w:rsid w:val="00A51CD1"/>
    <w:rsid w:val="00A57EC0"/>
    <w:rsid w:val="00A61623"/>
    <w:rsid w:val="00A7570D"/>
    <w:rsid w:val="00A773AC"/>
    <w:rsid w:val="00A84687"/>
    <w:rsid w:val="00AA0458"/>
    <w:rsid w:val="00AB0A0E"/>
    <w:rsid w:val="00AD3B6E"/>
    <w:rsid w:val="00AD5D91"/>
    <w:rsid w:val="00AE5AB7"/>
    <w:rsid w:val="00AF6D31"/>
    <w:rsid w:val="00B0156D"/>
    <w:rsid w:val="00B1751F"/>
    <w:rsid w:val="00B36519"/>
    <w:rsid w:val="00B414AC"/>
    <w:rsid w:val="00B50F96"/>
    <w:rsid w:val="00B56722"/>
    <w:rsid w:val="00B67044"/>
    <w:rsid w:val="00B74D39"/>
    <w:rsid w:val="00B827C6"/>
    <w:rsid w:val="00B91DA4"/>
    <w:rsid w:val="00BA0BA5"/>
    <w:rsid w:val="00BA7174"/>
    <w:rsid w:val="00BD1B58"/>
    <w:rsid w:val="00BD3741"/>
    <w:rsid w:val="00C12630"/>
    <w:rsid w:val="00C34562"/>
    <w:rsid w:val="00C3774E"/>
    <w:rsid w:val="00C57456"/>
    <w:rsid w:val="00C65387"/>
    <w:rsid w:val="00C87FAB"/>
    <w:rsid w:val="00C91FF7"/>
    <w:rsid w:val="00C92D15"/>
    <w:rsid w:val="00C94E53"/>
    <w:rsid w:val="00CA063D"/>
    <w:rsid w:val="00CC5C8A"/>
    <w:rsid w:val="00CD25E3"/>
    <w:rsid w:val="00CE3FC3"/>
    <w:rsid w:val="00CE62DE"/>
    <w:rsid w:val="00CF4CEB"/>
    <w:rsid w:val="00CF4E1C"/>
    <w:rsid w:val="00D0048E"/>
    <w:rsid w:val="00D23E7A"/>
    <w:rsid w:val="00D24857"/>
    <w:rsid w:val="00D550D4"/>
    <w:rsid w:val="00D56D8F"/>
    <w:rsid w:val="00D61063"/>
    <w:rsid w:val="00D62091"/>
    <w:rsid w:val="00D64D2B"/>
    <w:rsid w:val="00DB35AF"/>
    <w:rsid w:val="00DC01BE"/>
    <w:rsid w:val="00DC2435"/>
    <w:rsid w:val="00DD0240"/>
    <w:rsid w:val="00DD6405"/>
    <w:rsid w:val="00DD72D7"/>
    <w:rsid w:val="00DF5B88"/>
    <w:rsid w:val="00E0589E"/>
    <w:rsid w:val="00E0697F"/>
    <w:rsid w:val="00E241FA"/>
    <w:rsid w:val="00E24C51"/>
    <w:rsid w:val="00E2595E"/>
    <w:rsid w:val="00E35374"/>
    <w:rsid w:val="00E50C19"/>
    <w:rsid w:val="00E57D33"/>
    <w:rsid w:val="00E64655"/>
    <w:rsid w:val="00E70C15"/>
    <w:rsid w:val="00E71D33"/>
    <w:rsid w:val="00E73081"/>
    <w:rsid w:val="00E856C9"/>
    <w:rsid w:val="00EA4F68"/>
    <w:rsid w:val="00EA5DFD"/>
    <w:rsid w:val="00EB6A8B"/>
    <w:rsid w:val="00EC6814"/>
    <w:rsid w:val="00ED411D"/>
    <w:rsid w:val="00EF38C6"/>
    <w:rsid w:val="00F214C5"/>
    <w:rsid w:val="00F679C7"/>
    <w:rsid w:val="00F7711A"/>
    <w:rsid w:val="00F80C72"/>
    <w:rsid w:val="00FA0D58"/>
    <w:rsid w:val="00FA1580"/>
    <w:rsid w:val="00FA56F4"/>
    <w:rsid w:val="00FB4350"/>
    <w:rsid w:val="00FB4EDA"/>
    <w:rsid w:val="00FD3BD5"/>
    <w:rsid w:val="00FE0802"/>
    <w:rsid w:val="00FE2D7A"/>
    <w:rsid w:val="00FE3DC8"/>
    <w:rsid w:val="04073F84"/>
    <w:rsid w:val="0B60750A"/>
    <w:rsid w:val="0E7D00C0"/>
    <w:rsid w:val="10686488"/>
    <w:rsid w:val="10DF728A"/>
    <w:rsid w:val="1264200E"/>
    <w:rsid w:val="141C5B77"/>
    <w:rsid w:val="151C68A6"/>
    <w:rsid w:val="18D8339D"/>
    <w:rsid w:val="1A21388F"/>
    <w:rsid w:val="1A570D2F"/>
    <w:rsid w:val="20651927"/>
    <w:rsid w:val="28FB0B8D"/>
    <w:rsid w:val="2D2B7942"/>
    <w:rsid w:val="2D46481D"/>
    <w:rsid w:val="2E733B28"/>
    <w:rsid w:val="31852B5A"/>
    <w:rsid w:val="32D01238"/>
    <w:rsid w:val="381E7321"/>
    <w:rsid w:val="3B6A428E"/>
    <w:rsid w:val="3DFC59A8"/>
    <w:rsid w:val="3ECF245E"/>
    <w:rsid w:val="3FB96314"/>
    <w:rsid w:val="53A44FAF"/>
    <w:rsid w:val="594329EC"/>
    <w:rsid w:val="5B49676D"/>
    <w:rsid w:val="5BEE1540"/>
    <w:rsid w:val="5DE61A5D"/>
    <w:rsid w:val="63C04243"/>
    <w:rsid w:val="649C01C7"/>
    <w:rsid w:val="699A3F60"/>
    <w:rsid w:val="6B254E0E"/>
    <w:rsid w:val="70491666"/>
    <w:rsid w:val="72902E62"/>
    <w:rsid w:val="73C61104"/>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szCs w:val="32"/>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8"/>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1"/>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3"/>
    <w:qFormat/>
    <w:uiPriority w:val="9"/>
    <w:rPr>
      <w:rFonts w:ascii="Times New Roman" w:hAnsi="Times New Roman" w:eastAsia="宋体" w:cs="Times New Roman"/>
      <w:b/>
      <w:bCs/>
      <w:kern w:val="44"/>
      <w:sz w:val="44"/>
      <w:szCs w:val="44"/>
    </w:rPr>
  </w:style>
  <w:style w:type="character" w:customStyle="1" w:styleId="29">
    <w:name w:val="标题 2 Char"/>
    <w:basedOn w:val="15"/>
    <w:link w:val="4"/>
    <w:qFormat/>
    <w:uiPriority w:val="9"/>
    <w:rPr>
      <w:rFonts w:asciiTheme="majorHAnsi" w:hAnsiTheme="majorHAnsi" w:eastAsiaTheme="majorEastAsia" w:cstheme="majorBidi"/>
      <w:b/>
      <w:bCs/>
      <w:sz w:val="32"/>
      <w:szCs w:val="32"/>
    </w:rPr>
  </w:style>
  <w:style w:type="character" w:customStyle="1" w:styleId="30">
    <w:name w:val="标题 3 Char"/>
    <w:basedOn w:val="15"/>
    <w:link w:val="5"/>
    <w:qFormat/>
    <w:uiPriority w:val="9"/>
    <w:rPr>
      <w:rFonts w:ascii="Times New Roman" w:hAnsi="Times New Roman" w:eastAsia="宋体" w:cs="Times New Roman"/>
      <w:b/>
      <w:bCs/>
      <w:sz w:val="32"/>
      <w:szCs w:val="32"/>
    </w:rPr>
  </w:style>
  <w:style w:type="character" w:customStyle="1" w:styleId="31">
    <w:name w:val="标题 4 Char"/>
    <w:basedOn w:val="15"/>
    <w:link w:val="6"/>
    <w:qFormat/>
    <w:uiPriority w:val="9"/>
    <w:rPr>
      <w:rFonts w:asciiTheme="majorHAnsi" w:hAnsiTheme="majorHAnsi" w:eastAsiaTheme="majorEastAsia" w:cstheme="majorBidi"/>
      <w:b/>
      <w:bCs/>
      <w:sz w:val="28"/>
      <w:szCs w:val="28"/>
    </w:rPr>
  </w:style>
  <w:style w:type="character" w:customStyle="1" w:styleId="32">
    <w:name w:val="日期 Char"/>
    <w:basedOn w:val="15"/>
    <w:link w:val="7"/>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3.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82636145336765"/>
          <c:y val="0.000867489751092298"/>
        </c:manualLayout>
      </c:layout>
      <c:overlay val="0"/>
      <c:spPr>
        <a:noFill/>
        <a:ln>
          <a:noFill/>
        </a:ln>
        <a:effectLst/>
      </c:spPr>
      <c:txPr>
        <a:bodyPr rot="0" spcFirstLastPara="0"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88597531847136"/>
          <c:y val="0.0636498013040167"/>
          <c:w val="0.558625000000004"/>
          <c:h val="0.744833333333336"/>
        </c:manualLayout>
      </c:layout>
      <c:pieChart>
        <c:varyColors val="1"/>
        <c:ser>
          <c:idx val="0"/>
          <c:order val="0"/>
          <c:tx>
            <c:strRef>
              <c:f>Sheet1!$B$1</c:f>
              <c:strCache>
                <c:ptCount val="1"/>
                <c:pt idx="0">
                  <c:v>收入情况</c:v>
                </c:pt>
              </c:strCache>
            </c:strRef>
          </c:tx>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9</a:t>
                    </a:r>
                    <a:r>
                      <a:rPr lang="en-US"/>
                      <a:t>4</a:t>
                    </a:r>
                    <a:r>
                      <a:t>.</a:t>
                    </a:r>
                    <a:r>
                      <a:rPr lang="en-US"/>
                      <a:t>91</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delete val="1"/>
            </c:dLbl>
            <c:dLbl>
              <c:idx val="2"/>
              <c:delete val="1"/>
            </c:dLbl>
            <c:dLbl>
              <c:idx val="3"/>
              <c:layout>
                <c:manualLayout>
                  <c:x val="0.0335239886921649"/>
                  <c:y val="0.09916916737199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5.09</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0.00%</c:formatCode>
                <c:ptCount val="4"/>
                <c:pt idx="0">
                  <c:v>0.9491</c:v>
                </c:pt>
                <c:pt idx="1" c:formatCode="General">
                  <c:v>0</c:v>
                </c:pt>
                <c:pt idx="2" c:formatCode="General">
                  <c:v>0</c:v>
                </c:pt>
                <c:pt idx="3">
                  <c:v>0.0509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支出情况</c:v>
                </c:pt>
              </c:strCache>
            </c:strRef>
          </c:tx>
          <c:explosion val="0"/>
          <c:dPt>
            <c:idx val="0"/>
            <c:bubble3D val="0"/>
          </c:dPt>
          <c:dPt>
            <c:idx val="1"/>
            <c:bubble3D val="0"/>
          </c:dPt>
          <c:dPt>
            <c:idx val="2"/>
            <c:bubble3D val="0"/>
          </c:dPt>
          <c:dPt>
            <c:idx val="3"/>
            <c:bubble3D val="0"/>
          </c:dPt>
          <c:dLbls>
            <c:dLbl>
              <c:idx val="0"/>
              <c:layout>
                <c:manualLayout>
                  <c:x val="-0.0397354889757017"/>
                  <c:y val="0.098897637795275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6.92%</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33453633927022"/>
                  <c:y val="-0.21720930232558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93.08%</a:t>
                    </a:r>
                    <a:endParaRPr 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delete val="1"/>
            </c:dLbl>
            <c:dLbl>
              <c:idx val="3"/>
              <c:delete val="1"/>
            </c:dLbl>
            <c:spPr>
              <a:noFill/>
              <a:ln>
                <a:solidFill>
                  <a:schemeClr val="accent1"/>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3"/>
                <c:pt idx="0">
                  <c:v>基本支出</c:v>
                </c:pt>
                <c:pt idx="1">
                  <c:v>项目支出</c:v>
                </c:pt>
                <c:pt idx="2">
                  <c:v>经营支出</c:v>
                </c:pt>
              </c:strCache>
            </c:strRef>
          </c:cat>
          <c:val>
            <c:numRef>
              <c:f>Sheet1!$B$2:$B$5</c:f>
              <c:numCache>
                <c:formatCode>0.00%</c:formatCode>
                <c:ptCount val="4"/>
                <c:pt idx="0">
                  <c:v>0.0692</c:v>
                </c:pt>
                <c:pt idx="1">
                  <c:v>0.930800000000001</c:v>
                </c:pt>
                <c:pt idx="2" c:formatCode="General">
                  <c:v>0</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财政拨款支出决算结构情况</a:t>
            </a:r>
            <a:endParaRPr lang="zh-CN" altLang="en-US"/>
          </a:p>
        </c:rich>
      </c:tx>
      <c:layout/>
      <c:overlay val="0"/>
    </c:title>
    <c:autoTitleDeleted val="0"/>
    <c:plotArea>
      <c:layout>
        <c:manualLayout>
          <c:layoutTarget val="inner"/>
          <c:xMode val="edge"/>
          <c:yMode val="edge"/>
          <c:x val="0.390947967915537"/>
          <c:y val="0.523405735764004"/>
          <c:w val="0.246735383878006"/>
          <c:h val="0.455453653372219"/>
        </c:manualLayout>
      </c:layout>
      <c:pieChart>
        <c:varyColors val="1"/>
        <c:ser>
          <c:idx val="0"/>
          <c:order val="0"/>
          <c:tx>
            <c:strRef>
              <c:f>'Sheet1'!$B$1</c:f>
              <c:strCache>
                <c:ptCount val="1"/>
                <c:pt idx="0">
                  <c:v>支出情况</c:v>
                </c:pt>
              </c:strCache>
            </c:strRef>
          </c:tx>
          <c:explosion val="0"/>
          <c:dPt>
            <c:idx val="0"/>
            <c:bubble3D val="0"/>
          </c:dPt>
          <c:dPt>
            <c:idx val="1"/>
            <c:bubble3D val="0"/>
          </c:dPt>
          <c:dPt>
            <c:idx val="2"/>
            <c:bubble3D val="0"/>
          </c:dPt>
          <c:dPt>
            <c:idx val="3"/>
            <c:bubble3D val="0"/>
          </c:dPt>
          <c:dPt>
            <c:idx val="4"/>
            <c:bubble3D val="0"/>
          </c:dPt>
          <c:dPt>
            <c:idx val="5"/>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25.94</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manualLayout>
                  <c:x val="0.00922267757465989"/>
                  <c:y val="0.09329819128257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0.3%</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9890798835892"/>
                  <c:y val="0.14196669271789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0.59</a:t>
                    </a:r>
                    <a:r>
                      <a:rPr altLang="en-US"/>
                      <a:t>%</a:t>
                    </a:r>
                    <a:endParaRPr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delete val="1"/>
            </c:dLbl>
            <c:dLbl>
              <c:idx val="4"/>
              <c:delete val="1"/>
            </c:dLbl>
            <c:dLbl>
              <c:idx val="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一般公共服务类</c:v>
                </c:pt>
                <c:pt idx="1">
                  <c:v>医疗卫生与计划生育（类）</c:v>
                </c:pt>
                <c:pt idx="2">
                  <c:v>社会保障和就业（类）</c:v>
                </c:pt>
                <c:pt idx="3">
                  <c:v>住房保障（类）</c:v>
                </c:pt>
                <c:pt idx="4">
                  <c:v>科学技术（类）</c:v>
                </c:pt>
                <c:pt idx="5">
                  <c:v>公共安全（类）</c:v>
                </c:pt>
              </c:strCache>
            </c:strRef>
          </c:cat>
          <c:val>
            <c:numRef>
              <c:f>'Sheet1'!$B$2:$B$7</c:f>
              <c:numCache>
                <c:formatCode>0.00%</c:formatCode>
                <c:ptCount val="6"/>
                <c:pt idx="0">
                  <c:v>0.2594</c:v>
                </c:pt>
                <c:pt idx="1">
                  <c:v>0.00300000000000001</c:v>
                </c:pt>
                <c:pt idx="2">
                  <c:v>0.00590000000000002</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0.52176</cdr:x>
      <cdr:y>0.62791</cdr:y>
    </cdr:from>
    <cdr:to>
      <cdr:x>0.72788</cdr:x>
      <cdr:y>1</cdr:y>
    </cdr:to>
    <cdr:sp>
      <cdr:nvSpPr>
        <cdr:cNvPr id="2" name="矩形 1"/>
        <cdr:cNvSpPr/>
      </cdr:nvSpPr>
      <cdr:spPr xmlns:a="http://schemas.openxmlformats.org/drawingml/2006/main">
        <a:xfrm xmlns:a="http://schemas.openxmlformats.org/drawingml/2006/main">
          <a:off x="2314575" y="159067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sz="1100"/>
        </a:p>
      </cdr:txBody>
    </cdr:sp>
  </cdr:relSizeAnchor>
</c:userShape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3CFE3A2F-7C6B-43B6-ABD2-F19699B16D79}">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10007</Words>
  <Characters>12159</Characters>
  <Lines>112</Lines>
  <Paragraphs>31</Paragraphs>
  <TotalTime>15</TotalTime>
  <ScaleCrop>false</ScaleCrop>
  <LinksUpToDate>false</LinksUpToDate>
  <CharactersWithSpaces>12359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2019-11-05T02:08:00Z</dcterms:created>
  <dc:creator>User</dc:creator>
  <cp:lastModifiedBy>Administrator</cp:lastModifiedBy>
  <cp:lastPrinted>2019-09-27T00:42:00Z</cp:lastPrinted>
  <dcterms:modified xsi:type="dcterms:W3CDTF">2023-04-14T03:38:44Z</dcterms:modified>
  <dc:subject>石家庄市xxx部门</dc:subject>
  <dc:title>2017年度部门决算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A77361A14F0D4ACDAFBCB248273199CC_13</vt:lpwstr>
  </property>
</Properties>
</file>