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大城县医疗保障局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大城县医疗保障局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widowControl/>
        <w:numPr>
          <w:ilvl w:val="0"/>
          <w:numId w:val="0"/>
        </w:numPr>
        <w:pBdr>
          <w:top w:val="none" w:color="auto" w:sz="0" w:space="1"/>
          <w:left w:val="none" w:color="auto" w:sz="0" w:space="4"/>
          <w:bottom w:val="none" w:color="auto" w:sz="0" w:space="1"/>
          <w:right w:val="none" w:color="auto" w:sz="0" w:space="4"/>
          <w:between w:val="none" w:color="auto" w:sz="0" w:space="0"/>
        </w:pBdr>
        <w:shd w:val="clear" w:color="auto" w:fill="FFFFFF"/>
        <w:spacing w:line="580" w:lineRule="exact"/>
        <w:ind w:leftChars="200"/>
        <w:jc w:val="left"/>
        <w:rPr>
          <w:rFonts w:hint="eastAsia" w:ascii="华文仿宋" w:hAnsi="华文仿宋" w:eastAsia="华文仿宋" w:cs="华文仿宋"/>
          <w:color w:val="000000"/>
          <w:kern w:val="0"/>
          <w:sz w:val="32"/>
          <w:szCs w:val="32"/>
        </w:rPr>
      </w:pP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lang w:val="en-US" w:eastAsia="zh-CN"/>
        </w:rPr>
        <w:t>一</w:t>
      </w:r>
      <w:r>
        <w:rPr>
          <w:rFonts w:hint="eastAsia" w:ascii="楷体_GB2312" w:hAnsi="楷体_GB2312" w:eastAsia="楷体_GB2312" w:cs="楷体_GB2312"/>
          <w:b w:val="0"/>
          <w:bCs/>
          <w:sz w:val="32"/>
          <w:szCs w:val="32"/>
          <w:lang w:eastAsia="zh-CN"/>
        </w:rPr>
        <w:t>）</w:t>
      </w:r>
      <w:r>
        <w:rPr>
          <w:rFonts w:hint="eastAsia" w:ascii="华文仿宋" w:hAnsi="华文仿宋" w:eastAsia="华文仿宋" w:cs="华文仿宋"/>
          <w:color w:val="000000"/>
          <w:kern w:val="0"/>
          <w:sz w:val="32"/>
          <w:szCs w:val="32"/>
        </w:rPr>
        <w:t>全面执行省、市城镇职工和城乡居民医疗保险、生育保险、大病保险、医疗救助等医疗保障地方性政策、制度、规划和标准。贯彻落实省、市离休干部医疗费社会统筹政策并组织实施。</w:t>
      </w:r>
    </w:p>
    <w:p>
      <w:pPr>
        <w:widowControl/>
        <w:numPr>
          <w:ilvl w:val="0"/>
          <w:numId w:val="0"/>
        </w:numPr>
        <w:pBdr>
          <w:top w:val="none" w:color="auto" w:sz="0" w:space="1"/>
          <w:left w:val="none" w:color="auto" w:sz="0" w:space="4"/>
          <w:bottom w:val="none" w:color="auto" w:sz="0" w:space="1"/>
          <w:right w:val="none" w:color="auto" w:sz="0" w:space="4"/>
          <w:between w:val="none" w:color="auto" w:sz="0" w:space="0"/>
        </w:pBdr>
        <w:shd w:val="clear" w:color="auto" w:fill="FFFFFF"/>
        <w:spacing w:line="580" w:lineRule="exact"/>
        <w:ind w:leftChars="200"/>
        <w:jc w:val="left"/>
        <w:rPr>
          <w:rFonts w:hint="eastAsia" w:ascii="华文仿宋" w:hAnsi="华文仿宋" w:eastAsia="华文仿宋" w:cs="华文仿宋"/>
          <w:color w:val="000000"/>
          <w:kern w:val="0"/>
          <w:sz w:val="32"/>
          <w:szCs w:val="32"/>
        </w:rPr>
      </w:pPr>
      <w:r>
        <w:rPr>
          <w:rFonts w:hint="eastAsia" w:ascii="华文仿宋" w:hAnsi="华文仿宋" w:eastAsia="华文仿宋" w:cs="华文仿宋"/>
          <w:color w:val="000000"/>
          <w:kern w:val="0"/>
          <w:sz w:val="32"/>
          <w:szCs w:val="32"/>
          <w:lang w:eastAsia="zh-CN"/>
        </w:rPr>
        <w:t>（二）</w:t>
      </w:r>
      <w:r>
        <w:rPr>
          <w:rFonts w:hint="eastAsia" w:ascii="华文仿宋" w:hAnsi="华文仿宋" w:eastAsia="华文仿宋" w:cs="华文仿宋"/>
          <w:color w:val="000000"/>
          <w:kern w:val="0"/>
          <w:sz w:val="32"/>
          <w:szCs w:val="32"/>
        </w:rPr>
        <w:t>贯彻落实省、市医疗保障基金监督管理办法，建立健全医疗保障基金安全防控机制，组织建设智能监控平台，推进医疗保障基金支付改革，并组织实施。</w:t>
      </w:r>
    </w:p>
    <w:p>
      <w:pPr>
        <w:widowControl/>
        <w:numPr>
          <w:ilvl w:val="0"/>
          <w:numId w:val="0"/>
        </w:numPr>
        <w:pBdr>
          <w:top w:val="none" w:color="auto" w:sz="0" w:space="1"/>
          <w:left w:val="none" w:color="auto" w:sz="0" w:space="4"/>
          <w:bottom w:val="none" w:color="auto" w:sz="0" w:space="1"/>
          <w:right w:val="none" w:color="auto" w:sz="0" w:space="4"/>
          <w:between w:val="none" w:color="auto" w:sz="0" w:space="0"/>
        </w:pBdr>
        <w:shd w:val="clear" w:color="auto" w:fill="FFFFFF"/>
        <w:spacing w:line="580" w:lineRule="exact"/>
        <w:ind w:leftChars="200"/>
        <w:jc w:val="left"/>
        <w:rPr>
          <w:rFonts w:hint="eastAsia" w:ascii="华文仿宋" w:hAnsi="华文仿宋" w:eastAsia="华文仿宋" w:cs="华文仿宋"/>
          <w:color w:val="000000"/>
          <w:kern w:val="0"/>
          <w:sz w:val="32"/>
          <w:szCs w:val="32"/>
        </w:rPr>
      </w:pPr>
      <w:r>
        <w:rPr>
          <w:rFonts w:hint="eastAsia" w:ascii="华文仿宋" w:hAnsi="华文仿宋" w:eastAsia="华文仿宋" w:cs="华文仿宋"/>
          <w:color w:val="000000"/>
          <w:kern w:val="0"/>
          <w:sz w:val="32"/>
          <w:szCs w:val="32"/>
          <w:lang w:val="en-US" w:eastAsia="zh-CN"/>
        </w:rPr>
        <w:t xml:space="preserve"> (三）</w:t>
      </w:r>
      <w:r>
        <w:rPr>
          <w:rFonts w:hint="eastAsia" w:ascii="华文仿宋" w:hAnsi="华文仿宋" w:eastAsia="华文仿宋" w:cs="华文仿宋"/>
          <w:color w:val="000000"/>
          <w:kern w:val="0"/>
          <w:sz w:val="32"/>
          <w:szCs w:val="32"/>
        </w:rPr>
        <w:t>组织实施全县城镇职工、城乡居民参保筹资和保障待遇政策，统筹城乡医疗保障政策标准，建立健全与筹资水平相适应的待遇调整机制。贯彻落实省、市长期护理保险制度方案及政策标准并组织实施。</w:t>
      </w:r>
    </w:p>
    <w:p>
      <w:pPr>
        <w:widowControl/>
        <w:numPr>
          <w:ilvl w:val="0"/>
          <w:numId w:val="0"/>
        </w:numPr>
        <w:pBdr>
          <w:top w:val="none" w:color="auto" w:sz="0" w:space="1"/>
          <w:left w:val="none" w:color="auto" w:sz="0" w:space="4"/>
          <w:bottom w:val="none" w:color="auto" w:sz="0" w:space="1"/>
          <w:right w:val="none" w:color="auto" w:sz="0" w:space="4"/>
          <w:between w:val="none" w:color="auto" w:sz="0" w:space="0"/>
        </w:pBdr>
        <w:shd w:val="clear" w:color="auto" w:fill="FFFFFF"/>
        <w:spacing w:line="580" w:lineRule="exact"/>
        <w:jc w:val="left"/>
        <w:rPr>
          <w:rFonts w:hint="eastAsia" w:ascii="华文仿宋" w:hAnsi="华文仿宋" w:eastAsia="华文仿宋" w:cs="华文仿宋"/>
          <w:color w:val="000000"/>
          <w:kern w:val="0"/>
          <w:sz w:val="32"/>
          <w:szCs w:val="32"/>
        </w:rPr>
      </w:pPr>
      <w:r>
        <w:rPr>
          <w:rFonts w:hint="eastAsia" w:ascii="华文仿宋" w:hAnsi="华文仿宋" w:eastAsia="华文仿宋" w:cs="华文仿宋"/>
          <w:color w:val="000000"/>
          <w:kern w:val="0"/>
          <w:sz w:val="32"/>
          <w:szCs w:val="32"/>
          <w:lang w:val="en-US" w:eastAsia="zh-CN"/>
        </w:rPr>
        <w:t xml:space="preserve">   </w:t>
      </w:r>
      <w:r>
        <w:rPr>
          <w:rFonts w:hint="eastAsia" w:ascii="华文仿宋" w:hAnsi="华文仿宋" w:eastAsia="华文仿宋" w:cs="华文仿宋"/>
          <w:color w:val="000000"/>
          <w:kern w:val="0"/>
          <w:sz w:val="32"/>
          <w:szCs w:val="32"/>
          <w:lang w:eastAsia="zh-CN"/>
        </w:rPr>
        <w:t>（四）</w:t>
      </w:r>
      <w:r>
        <w:rPr>
          <w:rFonts w:hint="eastAsia" w:ascii="华文仿宋" w:hAnsi="华文仿宋" w:eastAsia="华文仿宋" w:cs="华文仿宋"/>
          <w:color w:val="000000"/>
          <w:kern w:val="0"/>
          <w:sz w:val="32"/>
          <w:szCs w:val="32"/>
        </w:rPr>
        <w:t>贯彻落实省、市城乡统一的药品、医用耗材、医疗服务项目、医疗服务设施等医保目录和医保支付标准，建立动态调整机制。</w:t>
      </w:r>
    </w:p>
    <w:p>
      <w:pPr>
        <w:widowControl/>
        <w:numPr>
          <w:ilvl w:val="0"/>
          <w:numId w:val="0"/>
        </w:numPr>
        <w:pBdr>
          <w:top w:val="none" w:color="auto" w:sz="0" w:space="1"/>
          <w:left w:val="none" w:color="auto" w:sz="0" w:space="4"/>
          <w:bottom w:val="none" w:color="auto" w:sz="0" w:space="1"/>
          <w:right w:val="none" w:color="auto" w:sz="0" w:space="4"/>
          <w:between w:val="none" w:color="auto" w:sz="0" w:space="0"/>
        </w:pBdr>
        <w:shd w:val="clear" w:color="auto" w:fill="FFFFFF"/>
        <w:spacing w:line="580" w:lineRule="exact"/>
        <w:jc w:val="left"/>
        <w:rPr>
          <w:rFonts w:hint="eastAsia" w:ascii="华文仿宋" w:hAnsi="华文仿宋" w:eastAsia="华文仿宋" w:cs="华文仿宋"/>
          <w:color w:val="000000"/>
          <w:kern w:val="0"/>
          <w:sz w:val="32"/>
          <w:szCs w:val="32"/>
        </w:rPr>
      </w:pPr>
      <w:r>
        <w:rPr>
          <w:rFonts w:hint="eastAsia" w:ascii="华文仿宋" w:hAnsi="华文仿宋" w:eastAsia="华文仿宋" w:cs="华文仿宋"/>
          <w:color w:val="000000"/>
          <w:kern w:val="0"/>
          <w:sz w:val="32"/>
          <w:szCs w:val="32"/>
          <w:lang w:val="en-US" w:eastAsia="zh-CN"/>
        </w:rPr>
        <w:t xml:space="preserve">    (五）</w:t>
      </w:r>
      <w:r>
        <w:rPr>
          <w:rFonts w:hint="eastAsia" w:ascii="华文仿宋" w:hAnsi="华文仿宋" w:eastAsia="华文仿宋" w:cs="华文仿宋"/>
          <w:color w:val="000000"/>
          <w:kern w:val="0"/>
          <w:sz w:val="32"/>
          <w:szCs w:val="32"/>
        </w:rPr>
        <w:t>贯彻落实上级药品、医用耗材价格和医疗服务项目、医疗服务设施收费等政策。建立医保支付医药服务价格合理确定和动态调整机制，依法管理药品、医用耗材、医疗服务价格政策执行情况。建立和完善药品、医用耗材和医疗服务监测信息发布制度。</w:t>
      </w:r>
    </w:p>
    <w:p>
      <w:pPr>
        <w:widowControl/>
        <w:numPr>
          <w:ilvl w:val="0"/>
          <w:numId w:val="0"/>
        </w:numPr>
        <w:pBdr>
          <w:top w:val="none" w:color="auto" w:sz="0" w:space="1"/>
          <w:left w:val="none" w:color="auto" w:sz="0" w:space="4"/>
          <w:bottom w:val="none" w:color="auto" w:sz="0" w:space="1"/>
          <w:right w:val="none" w:color="auto" w:sz="0" w:space="4"/>
          <w:between w:val="none" w:color="auto" w:sz="0" w:space="0"/>
        </w:pBdr>
        <w:shd w:val="clear" w:color="auto" w:fill="FFFFFF"/>
        <w:spacing w:line="580" w:lineRule="exact"/>
        <w:jc w:val="left"/>
        <w:rPr>
          <w:rFonts w:hint="eastAsia" w:ascii="华文仿宋" w:hAnsi="华文仿宋" w:eastAsia="华文仿宋" w:cs="华文仿宋"/>
          <w:color w:val="000000"/>
          <w:kern w:val="0"/>
          <w:sz w:val="32"/>
          <w:szCs w:val="32"/>
        </w:rPr>
      </w:pPr>
      <w:r>
        <w:rPr>
          <w:rFonts w:hint="eastAsia" w:ascii="华文仿宋" w:hAnsi="华文仿宋" w:eastAsia="华文仿宋" w:cs="华文仿宋"/>
          <w:color w:val="000000"/>
          <w:kern w:val="0"/>
          <w:sz w:val="32"/>
          <w:szCs w:val="32"/>
          <w:lang w:val="en-US" w:eastAsia="zh-CN"/>
        </w:rPr>
        <w:t xml:space="preserve">   </w:t>
      </w:r>
      <w:r>
        <w:rPr>
          <w:rFonts w:hint="eastAsia" w:ascii="华文仿宋" w:hAnsi="华文仿宋" w:eastAsia="华文仿宋" w:cs="华文仿宋"/>
          <w:color w:val="000000"/>
          <w:kern w:val="0"/>
          <w:sz w:val="32"/>
          <w:szCs w:val="32"/>
          <w:lang w:eastAsia="zh-CN"/>
        </w:rPr>
        <w:t>（六）</w:t>
      </w:r>
      <w:r>
        <w:rPr>
          <w:rFonts w:hint="eastAsia" w:ascii="华文仿宋" w:hAnsi="华文仿宋" w:eastAsia="华文仿宋" w:cs="华文仿宋"/>
          <w:color w:val="000000"/>
          <w:kern w:val="0"/>
          <w:sz w:val="32"/>
          <w:szCs w:val="32"/>
        </w:rPr>
        <w:t>贯彻落实上级药品、医用耗材的招标采购政策并组织实施，做好监督工作。做好药品、医用耗材招标采购平台建设相关工作。</w:t>
      </w:r>
    </w:p>
    <w:p>
      <w:pPr>
        <w:widowControl/>
        <w:numPr>
          <w:ilvl w:val="0"/>
          <w:numId w:val="0"/>
        </w:numPr>
        <w:pBdr>
          <w:top w:val="none" w:color="auto" w:sz="0" w:space="1"/>
          <w:left w:val="none" w:color="auto" w:sz="0" w:space="4"/>
          <w:bottom w:val="none" w:color="auto" w:sz="0" w:space="1"/>
          <w:right w:val="none" w:color="auto" w:sz="0" w:space="4"/>
          <w:between w:val="none" w:color="auto" w:sz="0" w:space="0"/>
        </w:pBdr>
        <w:shd w:val="clear" w:color="auto" w:fill="FFFFFF"/>
        <w:spacing w:line="580" w:lineRule="exact"/>
        <w:jc w:val="left"/>
        <w:rPr>
          <w:rFonts w:hint="eastAsia" w:ascii="华文仿宋" w:hAnsi="华文仿宋" w:eastAsia="华文仿宋" w:cs="华文仿宋"/>
          <w:color w:val="000000"/>
          <w:kern w:val="0"/>
          <w:sz w:val="32"/>
          <w:szCs w:val="32"/>
        </w:rPr>
      </w:pPr>
      <w:r>
        <w:rPr>
          <w:rFonts w:hint="eastAsia" w:ascii="华文仿宋" w:hAnsi="华文仿宋" w:eastAsia="华文仿宋" w:cs="华文仿宋"/>
          <w:color w:val="000000"/>
          <w:kern w:val="0"/>
          <w:sz w:val="32"/>
          <w:szCs w:val="32"/>
          <w:lang w:val="en-US" w:eastAsia="zh-CN"/>
        </w:rPr>
        <w:t xml:space="preserve">    (七）</w:t>
      </w:r>
      <w:r>
        <w:rPr>
          <w:rFonts w:hint="eastAsia" w:ascii="华文仿宋" w:hAnsi="华文仿宋" w:eastAsia="华文仿宋" w:cs="华文仿宋"/>
          <w:color w:val="000000"/>
          <w:kern w:val="0"/>
          <w:sz w:val="32"/>
          <w:szCs w:val="32"/>
        </w:rPr>
        <w:t>做好全县定点医药机构协议签订和支付管理。建立健全医疗保障信用评价体系和信息披露制度，监督管理定点医药机构的医疗服务行为、医疗费用和医药价格，依法查处医疗保障领域违法违规行为。</w:t>
      </w:r>
    </w:p>
    <w:p>
      <w:pPr>
        <w:widowControl/>
        <w:numPr>
          <w:ilvl w:val="0"/>
          <w:numId w:val="0"/>
        </w:numPr>
        <w:pBdr>
          <w:top w:val="none" w:color="auto" w:sz="0" w:space="1"/>
          <w:left w:val="none" w:color="auto" w:sz="0" w:space="4"/>
          <w:bottom w:val="none" w:color="auto" w:sz="0" w:space="1"/>
          <w:right w:val="none" w:color="auto" w:sz="0" w:space="4"/>
          <w:between w:val="none" w:color="auto" w:sz="0" w:space="0"/>
        </w:pBdr>
        <w:shd w:val="clear" w:color="auto" w:fill="FFFFFF"/>
        <w:spacing w:line="580" w:lineRule="exact"/>
        <w:jc w:val="left"/>
        <w:rPr>
          <w:rFonts w:hint="eastAsia" w:ascii="华文仿宋" w:hAnsi="华文仿宋" w:eastAsia="华文仿宋" w:cs="华文仿宋"/>
          <w:color w:val="000000"/>
          <w:kern w:val="0"/>
          <w:sz w:val="32"/>
          <w:szCs w:val="32"/>
        </w:rPr>
      </w:pPr>
      <w:r>
        <w:rPr>
          <w:rFonts w:hint="eastAsia" w:ascii="华文仿宋" w:hAnsi="华文仿宋" w:eastAsia="华文仿宋" w:cs="华文仿宋"/>
          <w:color w:val="000000"/>
          <w:kern w:val="0"/>
          <w:sz w:val="32"/>
          <w:szCs w:val="32"/>
          <w:lang w:val="en-US" w:eastAsia="zh-CN"/>
        </w:rPr>
        <w:t xml:space="preserve">   </w:t>
      </w:r>
      <w:r>
        <w:rPr>
          <w:rFonts w:hint="eastAsia" w:ascii="华文仿宋" w:hAnsi="华文仿宋" w:eastAsia="华文仿宋" w:cs="华文仿宋"/>
          <w:color w:val="000000"/>
          <w:kern w:val="0"/>
          <w:sz w:val="32"/>
          <w:szCs w:val="32"/>
          <w:lang w:eastAsia="zh-CN"/>
        </w:rPr>
        <w:t>（八）</w:t>
      </w:r>
      <w:r>
        <w:rPr>
          <w:rFonts w:hint="eastAsia" w:ascii="华文仿宋" w:hAnsi="华文仿宋" w:eastAsia="华文仿宋" w:cs="华文仿宋"/>
          <w:color w:val="000000"/>
          <w:kern w:val="0"/>
          <w:sz w:val="32"/>
          <w:szCs w:val="32"/>
        </w:rPr>
        <w:t>负责医疗保障经办管理、公共服务体系和信息化建设。落实和完善异地就医管理和费用结算政策并组织实施。落实省医疗保障关系转移接续制度。</w:t>
      </w:r>
    </w:p>
    <w:p>
      <w:pPr>
        <w:spacing w:line="584" w:lineRule="exact"/>
        <w:rPr>
          <w:rFonts w:hint="eastAsia" w:ascii="华文仿宋" w:hAnsi="华文仿宋" w:eastAsia="华文仿宋" w:cs="华文仿宋"/>
          <w:color w:val="000000"/>
          <w:kern w:val="0"/>
          <w:sz w:val="32"/>
          <w:szCs w:val="32"/>
          <w:lang w:val="en-US" w:eastAsia="zh-CN"/>
        </w:rPr>
      </w:pPr>
      <w:r>
        <w:rPr>
          <w:rFonts w:hint="eastAsia" w:ascii="华文仿宋" w:hAnsi="华文仿宋" w:eastAsia="华文仿宋" w:cs="华文仿宋"/>
          <w:color w:val="000000"/>
          <w:kern w:val="0"/>
          <w:sz w:val="32"/>
          <w:szCs w:val="32"/>
          <w:lang w:val="en-US" w:eastAsia="zh-CN"/>
        </w:rPr>
        <w:t xml:space="preserve">   </w:t>
      </w:r>
      <w:r>
        <w:rPr>
          <w:rFonts w:hint="eastAsia" w:ascii="华文仿宋" w:hAnsi="华文仿宋" w:eastAsia="华文仿宋" w:cs="华文仿宋"/>
          <w:color w:val="000000"/>
          <w:kern w:val="0"/>
          <w:sz w:val="32"/>
          <w:szCs w:val="32"/>
        </w:rPr>
        <w:t>（九）完成县委、县政府交办的其</w:t>
      </w:r>
      <w:r>
        <w:rPr>
          <w:rFonts w:hint="eastAsia" w:ascii="华文仿宋" w:hAnsi="华文仿宋" w:eastAsia="华文仿宋" w:cs="华文仿宋"/>
          <w:color w:val="000000"/>
          <w:kern w:val="0"/>
          <w:sz w:val="32"/>
          <w:szCs w:val="32"/>
          <w:lang w:eastAsia="zh-CN"/>
        </w:rPr>
        <w:t>他任务。</w:t>
      </w:r>
    </w:p>
    <w:p>
      <w:pPr>
        <w:spacing w:line="584" w:lineRule="exact"/>
        <w:rPr>
          <w:rFonts w:hint="eastAsia" w:ascii="华文仿宋" w:hAnsi="华文仿宋" w:eastAsia="华文仿宋" w:cs="华文仿宋"/>
          <w:color w:val="000000"/>
          <w:kern w:val="0"/>
          <w:sz w:val="32"/>
          <w:szCs w:val="32"/>
        </w:rPr>
      </w:pPr>
    </w:p>
    <w:p>
      <w:pPr>
        <w:spacing w:line="584" w:lineRule="exac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p>
    <w:p>
      <w:pPr>
        <w:spacing w:line="584" w:lineRule="exact"/>
        <w:jc w:val="center"/>
        <w:outlineLvl w:val="0"/>
        <w:rPr>
          <w:rFonts w:ascii="Times New Roman" w:hAnsi="Times New Roman" w:eastAsia="仿宋_GB2312" w:cs="Times New Roman"/>
          <w:b/>
          <w:sz w:val="32"/>
          <w:szCs w:val="24"/>
        </w:rPr>
      </w:pP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pBdr>
                <w:top w:val="none" w:color="auto" w:sz="0" w:space="1"/>
                <w:left w:val="none" w:color="auto" w:sz="0" w:space="4"/>
                <w:bottom w:val="none" w:color="auto" w:sz="0" w:space="1"/>
                <w:right w:val="none" w:color="auto" w:sz="0" w:space="4"/>
                <w:between w:val="none" w:color="auto" w:sz="0" w:space="0"/>
              </w:pBdr>
              <w:spacing w:line="300" w:lineRule="exact"/>
              <w:jc w:val="left"/>
              <w:rPr>
                <w:rFonts w:ascii="Times New Roman" w:hAnsi="Times New Roman" w:eastAsia="仿宋_GB2312" w:cs="Times New Roman"/>
                <w:b/>
              </w:rPr>
            </w:pPr>
            <w:r>
              <w:rPr>
                <w:rFonts w:hint="eastAsia" w:ascii="华文仿宋" w:hAnsi="华文仿宋" w:eastAsia="华文仿宋" w:cs="华文仿宋"/>
                <w:szCs w:val="24"/>
                <w:lang w:val="en-US" w:eastAsia="zh-CN"/>
              </w:rPr>
              <w:t>大城县医疗保障局</w:t>
            </w:r>
          </w:p>
        </w:tc>
        <w:tc>
          <w:tcPr>
            <w:tcW w:w="1134" w:type="dxa"/>
            <w:shd w:val="clear" w:color="auto" w:fill="auto"/>
            <w:vAlign w:val="center"/>
          </w:tcPr>
          <w:p>
            <w:pPr>
              <w:pBdr>
                <w:top w:val="none" w:color="auto" w:sz="0" w:space="1"/>
                <w:left w:val="none" w:color="auto" w:sz="0" w:space="4"/>
                <w:bottom w:val="none" w:color="auto" w:sz="0" w:space="1"/>
                <w:right w:val="none" w:color="auto" w:sz="0" w:space="4"/>
                <w:between w:val="none" w:color="auto" w:sz="0" w:space="0"/>
              </w:pBdr>
              <w:spacing w:line="300" w:lineRule="exact"/>
              <w:jc w:val="left"/>
              <w:rPr>
                <w:rFonts w:ascii="Times New Roman" w:hAnsi="Times New Roman" w:eastAsia="仿宋_GB2312" w:cs="Times New Roman"/>
                <w:b/>
              </w:rPr>
            </w:pPr>
            <w:r>
              <w:rPr>
                <w:rFonts w:hint="eastAsia" w:ascii="华文仿宋" w:hAnsi="华文仿宋" w:eastAsia="华文仿宋" w:cs="华文仿宋"/>
                <w:szCs w:val="24"/>
                <w:lang w:val="en-US" w:eastAsia="zh-CN"/>
              </w:rPr>
              <w:t>行政</w:t>
            </w:r>
          </w:p>
        </w:tc>
        <w:tc>
          <w:tcPr>
            <w:tcW w:w="1276" w:type="dxa"/>
            <w:shd w:val="clear" w:color="auto" w:fill="auto"/>
            <w:vAlign w:val="center"/>
          </w:tcPr>
          <w:p>
            <w:pPr>
              <w:pBdr>
                <w:top w:val="none" w:color="auto" w:sz="0" w:space="1"/>
                <w:left w:val="none" w:color="auto" w:sz="0" w:space="4"/>
                <w:bottom w:val="none" w:color="auto" w:sz="0" w:space="1"/>
                <w:right w:val="none" w:color="auto" w:sz="0" w:space="4"/>
                <w:between w:val="none" w:color="auto" w:sz="0" w:space="0"/>
              </w:pBdr>
              <w:spacing w:line="300" w:lineRule="exact"/>
              <w:jc w:val="left"/>
              <w:rPr>
                <w:rFonts w:ascii="Times New Roman" w:hAnsi="Times New Roman" w:eastAsia="仿宋_GB2312" w:cs="Times New Roman"/>
                <w:b/>
              </w:rPr>
            </w:pPr>
            <w:r>
              <w:rPr>
                <w:rFonts w:hint="eastAsia" w:ascii="华文仿宋" w:hAnsi="华文仿宋" w:eastAsia="华文仿宋" w:cs="华文仿宋"/>
                <w:szCs w:val="24"/>
                <w:lang w:val="en-US" w:eastAsia="zh-CN"/>
              </w:rPr>
              <w:t>正科级</w:t>
            </w:r>
          </w:p>
        </w:tc>
        <w:tc>
          <w:tcPr>
            <w:tcW w:w="2902" w:type="dxa"/>
            <w:shd w:val="clear" w:color="auto" w:fill="auto"/>
            <w:vAlign w:val="center"/>
          </w:tcPr>
          <w:p>
            <w:pPr>
              <w:pBdr>
                <w:top w:val="none" w:color="auto" w:sz="0" w:space="1"/>
                <w:left w:val="none" w:color="auto" w:sz="0" w:space="4"/>
                <w:bottom w:val="none" w:color="auto" w:sz="0" w:space="1"/>
                <w:right w:val="none" w:color="auto" w:sz="0" w:space="4"/>
                <w:between w:val="none" w:color="auto" w:sz="0" w:space="0"/>
              </w:pBdr>
              <w:spacing w:line="300" w:lineRule="exact"/>
              <w:jc w:val="left"/>
              <w:rPr>
                <w:rFonts w:ascii="Times New Roman" w:hAnsi="Times New Roman" w:eastAsia="仿宋_GB2312" w:cs="Times New Roman"/>
                <w:b/>
              </w:rPr>
            </w:pPr>
            <w:r>
              <w:rPr>
                <w:rFonts w:hint="eastAsia" w:ascii="华文仿宋" w:hAnsi="华文仿宋" w:eastAsia="华文仿宋" w:cs="华文仿宋"/>
                <w:szCs w:val="24"/>
                <w:lang w:val="en-US" w:eastAsia="zh-CN"/>
              </w:rPr>
              <w:t>财政拨款(行政）</w:t>
            </w:r>
          </w:p>
        </w:tc>
      </w:tr>
    </w:tbl>
    <w:p>
      <w:pPr>
        <w:spacing w:line="584" w:lineRule="exact"/>
        <w:ind w:firstLine="660"/>
        <w:rPr>
          <w:rFonts w:ascii="Times New Roman" w:hAnsi="Times New Roman"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8197.37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7860.37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337</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8197.37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540.92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509.92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30.85</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7656.6</w:t>
      </w:r>
      <w:r>
        <w:rPr>
          <w:rFonts w:ascii="Times New Roman" w:hAnsi="Times New Roman" w:eastAsia="仿宋_GB2312" w:cs="Times New Roman"/>
          <w:sz w:val="32"/>
          <w:szCs w:val="32"/>
        </w:rPr>
        <w:t>万元，主要为</w:t>
      </w:r>
      <w:r>
        <w:rPr>
          <w:rFonts w:hint="eastAsia" w:ascii="华文仿宋" w:hAnsi="华文仿宋" w:eastAsia="华文仿宋" w:cs="华文仿宋"/>
          <w:sz w:val="32"/>
          <w:szCs w:val="32"/>
        </w:rPr>
        <w:t>医疗救助、劳务派遣人员工资、城乡医疗保险缴费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8197.37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1064.86</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108.2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人员类保险和人员类绩效奖金</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956.81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城乡医疗保险缴费</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30.85</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持平，无增减变化。</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sz w:val="32"/>
          <w:szCs w:val="32"/>
          <w:lang w:eastAsia="zh-CN"/>
        </w:rPr>
        <w:t>大城县</w:t>
      </w:r>
      <w:r>
        <w:rPr>
          <w:rFonts w:hint="eastAsia" w:ascii="仿宋" w:hAnsi="仿宋" w:eastAsia="仿宋"/>
          <w:sz w:val="32"/>
          <w:szCs w:val="32"/>
        </w:rPr>
        <w:t>医疗保障局</w:t>
      </w:r>
      <w:r>
        <w:rPr>
          <w:rFonts w:hint="eastAsia" w:ascii="仿宋" w:hAnsi="仿宋" w:eastAsia="仿宋"/>
          <w:sz w:val="32"/>
          <w:szCs w:val="32"/>
          <w:lang w:val="en-US" w:eastAsia="zh-CN"/>
        </w:rPr>
        <w:t>2023年度</w:t>
      </w:r>
      <w:r>
        <w:rPr>
          <w:rFonts w:hint="eastAsia" w:ascii="Times New Roman" w:hAnsi="Times New Roman" w:eastAsia="仿宋_GB2312" w:cs="Times New Roman"/>
          <w:sz w:val="32"/>
          <w:szCs w:val="32"/>
          <w:lang w:val="en-US" w:eastAsia="zh-CN"/>
        </w:rPr>
        <w:t>坚</w:t>
      </w:r>
      <w:r>
        <w:rPr>
          <w:rFonts w:hint="eastAsia" w:ascii="仿宋" w:hAnsi="仿宋" w:eastAsia="仿宋"/>
          <w:sz w:val="32"/>
          <w:szCs w:val="32"/>
          <w:lang w:val="en-US" w:eastAsia="zh-CN"/>
        </w:rPr>
        <w:t>持</w:t>
      </w:r>
      <w:r>
        <w:rPr>
          <w:rFonts w:hint="eastAsia" w:ascii="仿宋" w:hAnsi="仿宋" w:eastAsia="仿宋"/>
          <w:sz w:val="32"/>
          <w:szCs w:val="32"/>
        </w:rPr>
        <w:t>在县委、县政府的正确领导下，在市医保局的关心指导下，以习近平新时代中国特色社会主义思想为引领，全面落实省、市医保工作会议决策部</w:t>
      </w:r>
      <w:r>
        <w:rPr>
          <w:rFonts w:hint="eastAsia" w:ascii="仿宋" w:hAnsi="仿宋" w:eastAsia="仿宋" w:cs="仿宋"/>
          <w:b w:val="0"/>
          <w:bCs w:val="0"/>
          <w:sz w:val="32"/>
          <w:szCs w:val="32"/>
        </w:rPr>
        <w:t>署，充分发挥医保部门服务发展、保障民生的优势和作用</w:t>
      </w:r>
      <w:r>
        <w:rPr>
          <w:rFonts w:hint="eastAsia" w:ascii="仿宋" w:hAnsi="仿宋" w:eastAsia="仿宋" w:cs="仿宋"/>
          <w:b w:val="0"/>
          <w:bCs w:val="0"/>
          <w:sz w:val="32"/>
          <w:szCs w:val="32"/>
          <w:lang w:eastAsia="zh-CN"/>
        </w:rPr>
        <w:t>。一是</w:t>
      </w:r>
      <w:r>
        <w:rPr>
          <w:rFonts w:hint="eastAsia" w:ascii="仿宋" w:hAnsi="仿宋" w:eastAsia="仿宋" w:cs="仿宋"/>
          <w:b w:val="0"/>
          <w:bCs w:val="0"/>
          <w:sz w:val="32"/>
          <w:szCs w:val="32"/>
        </w:rPr>
        <w:t>强化基金征缴，促进应保尽保</w:t>
      </w:r>
      <w:r>
        <w:rPr>
          <w:rFonts w:hint="eastAsia" w:ascii="仿宋" w:hAnsi="仿宋" w:eastAsia="仿宋" w:cs="仿宋"/>
          <w:b w:val="0"/>
          <w:bCs w:val="0"/>
          <w:sz w:val="32"/>
          <w:szCs w:val="32"/>
          <w:lang w:eastAsia="zh-CN"/>
        </w:rPr>
        <w:t>。积极推进医疗保险征缴工作，加强与税务、镇区等部门协作，扩大推广宣传，推动征缴目标的完成。二是</w:t>
      </w:r>
      <w:r>
        <w:rPr>
          <w:rFonts w:hint="eastAsia" w:ascii="仿宋" w:hAnsi="仿宋" w:eastAsia="仿宋" w:cs="仿宋"/>
          <w:b w:val="0"/>
          <w:bCs w:val="0"/>
          <w:sz w:val="32"/>
          <w:szCs w:val="32"/>
        </w:rPr>
        <w:t>做好</w:t>
      </w:r>
      <w:r>
        <w:rPr>
          <w:rFonts w:hint="eastAsia" w:ascii="仿宋" w:hAnsi="仿宋" w:eastAsia="仿宋" w:cs="仿宋"/>
          <w:b w:val="0"/>
          <w:bCs w:val="0"/>
          <w:sz w:val="32"/>
          <w:szCs w:val="32"/>
          <w:lang w:eastAsia="zh-CN"/>
        </w:rPr>
        <w:t>医保基金</w:t>
      </w:r>
      <w:r>
        <w:rPr>
          <w:rFonts w:hint="eastAsia" w:ascii="仿宋" w:hAnsi="仿宋" w:eastAsia="仿宋" w:cs="仿宋"/>
          <w:b w:val="0"/>
          <w:bCs w:val="0"/>
          <w:sz w:val="32"/>
          <w:szCs w:val="32"/>
        </w:rPr>
        <w:t>监督审核，确保基金安全</w:t>
      </w:r>
      <w:r>
        <w:rPr>
          <w:rFonts w:hint="eastAsia" w:ascii="仿宋" w:hAnsi="仿宋" w:eastAsia="仿宋" w:cs="仿宋"/>
          <w:b w:val="0"/>
          <w:bCs w:val="0"/>
          <w:sz w:val="32"/>
          <w:szCs w:val="32"/>
          <w:lang w:eastAsia="zh-CN"/>
        </w:rPr>
        <w:t>。进一步加强对定点医药机构的监督力度，增加检查次数，加大对病历的审核程度，完成省</w:t>
      </w:r>
      <w:r>
        <w:rPr>
          <w:rFonts w:hint="eastAsia" w:ascii="仿宋" w:hAnsi="仿宋" w:eastAsia="仿宋" w:cs="仿宋"/>
          <w:b w:val="0"/>
          <w:bCs w:val="0"/>
          <w:sz w:val="30"/>
          <w:szCs w:val="30"/>
          <w:lang w:val="en-US" w:eastAsia="zh-CN"/>
        </w:rPr>
        <w:t>省监控系统疑点的筛查工作。三是</w:t>
      </w:r>
      <w:r>
        <w:rPr>
          <w:rFonts w:hint="eastAsia" w:ascii="仿宋" w:hAnsi="仿宋" w:eastAsia="仿宋" w:cs="仿宋"/>
          <w:b w:val="0"/>
          <w:bCs w:val="0"/>
          <w:sz w:val="32"/>
          <w:szCs w:val="32"/>
        </w:rPr>
        <w:t>注重服务质量，提升服务水平</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加强“智慧医保”和信息化建设</w:t>
      </w:r>
      <w:r>
        <w:rPr>
          <w:rFonts w:hint="eastAsia" w:ascii="仿宋" w:hAnsi="仿宋" w:eastAsia="仿宋" w:cs="仿宋"/>
          <w:b w:val="0"/>
          <w:bCs w:val="0"/>
          <w:sz w:val="32"/>
          <w:szCs w:val="32"/>
          <w:lang w:eastAsia="zh-CN"/>
        </w:rPr>
        <w:t>，推进网上办理医保缴费、备案等。四是推进医药管理工作。</w:t>
      </w:r>
      <w:r>
        <w:rPr>
          <w:rFonts w:hint="eastAsia" w:ascii="仿宋" w:hAnsi="仿宋" w:eastAsia="仿宋" w:cs="仿宋"/>
          <w:b w:val="0"/>
          <w:bCs w:val="0"/>
          <w:sz w:val="32"/>
          <w:szCs w:val="32"/>
          <w:lang w:val="en-US" w:eastAsia="zh-CN"/>
        </w:rPr>
        <w:t>做好数据采集及上报；组织域内公立医疗机构与生产企业、配送企业三方签订购销合同；按月监测定点医疗机构执行国家试点药品集中采购情况，督促按约定采购量优先采购和使用中选药品，确保合同量完成。</w:t>
      </w:r>
      <w:r>
        <w:rPr>
          <w:rFonts w:hint="eastAsia" w:ascii="仿宋" w:hAnsi="仿宋" w:eastAsia="仿宋" w:cs="仿宋"/>
          <w:b w:val="0"/>
          <w:bCs w:val="0"/>
          <w:sz w:val="32"/>
          <w:szCs w:val="32"/>
          <w:lang w:eastAsia="zh-CN"/>
        </w:rPr>
        <w:t>五是</w:t>
      </w:r>
      <w:r>
        <w:rPr>
          <w:rFonts w:hint="eastAsia" w:ascii="仿宋" w:hAnsi="仿宋" w:eastAsia="仿宋" w:cs="仿宋"/>
          <w:b w:val="0"/>
          <w:bCs w:val="0"/>
          <w:sz w:val="32"/>
          <w:szCs w:val="32"/>
        </w:rPr>
        <w:t>推进门诊特殊疾病申报工作</w:t>
      </w:r>
      <w:r>
        <w:rPr>
          <w:rFonts w:hint="eastAsia" w:ascii="仿宋" w:hAnsi="仿宋" w:eastAsia="仿宋" w:cs="仿宋"/>
          <w:b w:val="0"/>
          <w:bCs w:val="0"/>
          <w:sz w:val="32"/>
          <w:szCs w:val="32"/>
          <w:lang w:eastAsia="zh-CN"/>
        </w:rPr>
        <w:t>，推进有序申报，加大宣传推广力度。六是推进医保扶贫工作。</w:t>
      </w:r>
      <w:r>
        <w:rPr>
          <w:rFonts w:hint="eastAsia" w:ascii="仿宋" w:hAnsi="仿宋" w:eastAsia="仿宋" w:cs="仿宋"/>
          <w:b w:val="0"/>
          <w:bCs w:val="0"/>
          <w:sz w:val="32"/>
          <w:szCs w:val="32"/>
        </w:rPr>
        <w:t>加强部门沟通，确保贫困参保率100%、个人缴费全额资助；切实做好贫困人口报销待遇工作，落实“一站式”直接结算、慢性病随时申报等政策；做好医保扶贫政策宣传工作，切实解决贫困人口因病致贫、因病返贫等问题。</w:t>
      </w:r>
    </w:p>
    <w:p>
      <w:pPr>
        <w:spacing w:line="584" w:lineRule="exact"/>
        <w:ind w:firstLine="640" w:firstLineChars="200"/>
        <w:rPr>
          <w:rFonts w:ascii="仿宋_GB2312" w:eastAsia="仿宋_GB2312" w:cs="Times New Roman"/>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cs="仿宋"/>
          <w:sz w:val="32"/>
          <w:szCs w:val="32"/>
          <w:lang w:val="en-US" w:eastAsia="zh-CN"/>
        </w:rPr>
      </w:pPr>
      <w:r>
        <w:rPr>
          <w:rFonts w:hint="eastAsia" w:ascii="仿宋" w:hAnsi="仿宋" w:cs="仿宋"/>
          <w:sz w:val="32"/>
          <w:szCs w:val="32"/>
          <w:lang w:val="en-US" w:eastAsia="zh-CN"/>
        </w:rPr>
        <w:t>1、城乡医保缴费</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绩效目标：积极推进医疗保险征缴工作。</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绩效指标：推动征缴工作有序进行</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default" w:ascii="仿宋" w:hAnsi="仿宋" w:eastAsia="仿宋" w:cs="仿宋"/>
          <w:sz w:val="32"/>
          <w:szCs w:val="32"/>
          <w:lang w:val="en-US" w:eastAsia="zh-CN"/>
        </w:rPr>
      </w:pPr>
      <w:r>
        <w:rPr>
          <w:rFonts w:hint="eastAsia" w:ascii="仿宋" w:hAnsi="仿宋" w:cs="仿宋"/>
          <w:sz w:val="32"/>
          <w:szCs w:val="32"/>
          <w:lang w:val="en-US" w:eastAsia="zh-CN"/>
        </w:rPr>
        <w:t>2、基金监督</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绩效目标：做好医保基金监督审核工作</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绩效指标：维护医保基金安全</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default" w:ascii="仿宋" w:hAnsi="仿宋" w:eastAsia="仿宋" w:cs="仿宋"/>
          <w:sz w:val="32"/>
          <w:szCs w:val="32"/>
          <w:lang w:val="en-US" w:eastAsia="zh-CN"/>
        </w:rPr>
      </w:pPr>
      <w:r>
        <w:rPr>
          <w:rFonts w:hint="eastAsia" w:ascii="仿宋" w:hAnsi="仿宋" w:cs="仿宋"/>
          <w:sz w:val="32"/>
          <w:szCs w:val="32"/>
          <w:lang w:val="en-US" w:eastAsia="zh-CN"/>
        </w:rPr>
        <w:t>3、城乡扶贫和医疗救助</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绩效目标：减轻建档立卡贫困人口就医负担，解决因病致贫返贫问题。</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绩效指标：确保建档立卡参保率100%，医疗救助率力争100%。</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cs="仿宋"/>
          <w:sz w:val="32"/>
          <w:szCs w:val="32"/>
          <w:lang w:val="en-US" w:eastAsia="zh-CN"/>
        </w:rPr>
        <w:t>4、药品管理和管理</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绩效目标：推动医药管理工作。</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绩效指标：组织做好医药机构、生产企业、配送企业三方对接。</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cs="仿宋"/>
          <w:sz w:val="32"/>
          <w:szCs w:val="32"/>
          <w:lang w:val="en-US" w:eastAsia="zh-CN"/>
        </w:rPr>
        <w:t>5、城乡医保报销结算</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绩效目标：加强医保报销工作。</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绩效指标：提升报销效率与速度。</w:t>
      </w:r>
    </w:p>
    <w:p>
      <w:pPr>
        <w:spacing w:line="584" w:lineRule="exact"/>
        <w:rPr>
          <w:rFonts w:ascii="楷体_GB2312" w:eastAsia="楷体_GB2312" w:cs="Times New Roman"/>
          <w:b/>
          <w:sz w:val="32"/>
          <w:szCs w:val="32"/>
        </w:rPr>
      </w:pPr>
      <w:r>
        <w:rPr>
          <w:rFonts w:hint="eastAsia" w:ascii="楷体_GB2312" w:eastAsia="楷体_GB2312" w:cs="Times New Roman"/>
          <w:b/>
          <w:sz w:val="32"/>
          <w:szCs w:val="32"/>
          <w:lang w:val="en-US" w:eastAsia="zh-CN"/>
        </w:rPr>
        <w:t xml:space="preserve">   </w:t>
      </w:r>
      <w:r>
        <w:rPr>
          <w:rFonts w:hint="eastAsia" w:ascii="楷体_GB2312" w:eastAsia="楷体_GB2312" w:cs="Times New Roman"/>
          <w:b/>
          <w:sz w:val="32"/>
          <w:szCs w:val="32"/>
        </w:rPr>
        <w:t>（三）工作保障措施</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.完善制度建设。按照《中共廊坊市委 廊坊市人民政府关于全面实施预算绩效管理的实施意见》（廊发〔2019〕23号）的要求，对预算项目进行绩效管理，完善预算绩效管理制度、资金管理办法、工作保障制度等，为全年预算绩效目标的实现奠定制度基础。</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加强支出管理。督促各业务科室加快支出进度，无政策硬性要求时间节点的项目要确保达到财政支出进度要求，通过优化支出结构、编细编实预算、加快履行政府采购手续、尽快启动项目、及时支付资金、按规定及时下达资金等多种措施，确保支出进度达标。</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.加强绩效运行监控。按要求开展绩效运行监控，发现问题及时采取措施，确保绩效目标如期保质实现。</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.做好绩效自评。按要求开展上年度部门预算绩效自评和重点评价工作，对评价中发现的问题及时整改，调整优化支出结构，提高财政资金使用效益。</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.规范财务资产管理。完善财务管理制度，严格审批程序，加强固定资产登记、使用和报废处置管理，做到支出合理，物尽其用。</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加强内部监督。加强内部监督制度建设，对绩效运行情况、重大支出决策、资产处置及其他重要经济业务事项的决策和执行提交局长办公会或党组会进行研究，对会计资料进行内部审计，并配合做好审计、财政监督等外部监督工作，确保财政资金安全有效。</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加强宣传培训调研等。按照工作计划进行人员培训，提高本部门职工业务素质；加强调研，确保资金按照政策文件规定用途使用，确保做到专款专用；加大宣传力度，强化预算绩效管理意识，促进预算绩效管理落到实处。</w:t>
      </w:r>
    </w:p>
    <w:p>
      <w:pPr>
        <w:pStyle w:val="2"/>
        <w:rPr>
          <w:rFonts w:ascii="仿宋_GB2312" w:hAnsi="仿宋_GB2312" w:eastAsia="仿宋_GB2312" w:cs="仿宋_GB2312"/>
          <w:sz w:val="32"/>
          <w:szCs w:val="32"/>
        </w:rPr>
      </w:pPr>
    </w:p>
    <w:p>
      <w:pPr>
        <w:spacing w:line="584" w:lineRule="exact"/>
        <w:ind w:firstLine="640" w:firstLineChars="200"/>
        <w:rPr>
          <w:rFonts w:ascii="仿宋_GB2312" w:eastAsia="仿宋_GB2312" w:cs="Times New Roman"/>
          <w:sz w:val="32"/>
          <w:szCs w:val="32"/>
        </w:rPr>
      </w:pPr>
    </w:p>
    <w:p>
      <w:pPr>
        <w:widowControl/>
        <w:spacing w:line="240" w:lineRule="exact"/>
        <w:jc w:val="center"/>
        <w:rPr>
          <w:rFonts w:hint="eastAsia" w:ascii="楷体_GB2312" w:eastAsia="楷体_GB2312" w:cs="Times New Roman"/>
          <w:b/>
          <w:sz w:val="32"/>
          <w:szCs w:val="32"/>
        </w:rPr>
      </w:pPr>
    </w:p>
    <w:p>
      <w:pPr>
        <w:widowControl/>
        <w:spacing w:line="240" w:lineRule="exact"/>
        <w:jc w:val="center"/>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9"/>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621"/>
        <w:gridCol w:w="762"/>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621" w:type="dxa"/>
            <w:vMerge w:val="restart"/>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一级指标</w:t>
            </w:r>
          </w:p>
        </w:tc>
        <w:tc>
          <w:tcPr>
            <w:tcW w:w="762" w:type="dxa"/>
            <w:vMerge w:val="restart"/>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二级</w:t>
            </w:r>
          </w:p>
          <w:p>
            <w:pPr>
              <w:widowControl/>
              <w:spacing w:line="24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指标</w:t>
            </w:r>
          </w:p>
        </w:tc>
        <w:tc>
          <w:tcPr>
            <w:tcW w:w="897" w:type="dxa"/>
            <w:vMerge w:val="restart"/>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三级</w:t>
            </w:r>
          </w:p>
          <w:p>
            <w:pPr>
              <w:widowControl/>
              <w:spacing w:line="24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指标</w:t>
            </w:r>
          </w:p>
        </w:tc>
        <w:tc>
          <w:tcPr>
            <w:tcW w:w="2172" w:type="dxa"/>
            <w:vMerge w:val="restart"/>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评（扣）分标准</w:t>
            </w:r>
          </w:p>
        </w:tc>
        <w:tc>
          <w:tcPr>
            <w:tcW w:w="1483" w:type="dxa"/>
            <w:vMerge w:val="restart"/>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绩效指标</w:t>
            </w:r>
          </w:p>
          <w:p>
            <w:pPr>
              <w:widowControl/>
              <w:spacing w:line="24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描述</w:t>
            </w:r>
          </w:p>
        </w:tc>
        <w:tc>
          <w:tcPr>
            <w:tcW w:w="1604" w:type="dxa"/>
            <w:gridSpan w:val="3"/>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指标值</w:t>
            </w:r>
          </w:p>
        </w:tc>
        <w:tc>
          <w:tcPr>
            <w:tcW w:w="1277" w:type="dxa"/>
            <w:vMerge w:val="restart"/>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指标值</w:t>
            </w:r>
          </w:p>
          <w:p>
            <w:pPr>
              <w:widowControl/>
              <w:spacing w:line="24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tblHeader/>
          <w:jc w:val="center"/>
        </w:trPr>
        <w:tc>
          <w:tcPr>
            <w:tcW w:w="621" w:type="dxa"/>
            <w:vMerge w:val="continue"/>
            <w:tcBorders>
              <w:tl2br w:val="nil"/>
              <w:tr2bl w:val="nil"/>
            </w:tcBorders>
            <w:vAlign w:val="center"/>
          </w:tcPr>
          <w:p>
            <w:pPr>
              <w:spacing w:line="584" w:lineRule="exact"/>
              <w:jc w:val="center"/>
            </w:pPr>
          </w:p>
        </w:tc>
        <w:tc>
          <w:tcPr>
            <w:tcW w:w="762" w:type="dxa"/>
            <w:vMerge w:val="continue"/>
            <w:tcBorders>
              <w:tl2br w:val="nil"/>
              <w:tr2bl w:val="nil"/>
            </w:tcBorders>
            <w:vAlign w:val="center"/>
          </w:tcPr>
          <w:p>
            <w:pPr>
              <w:spacing w:line="584" w:lineRule="exact"/>
              <w:jc w:val="center"/>
            </w:pPr>
          </w:p>
        </w:tc>
        <w:tc>
          <w:tcPr>
            <w:tcW w:w="897" w:type="dxa"/>
            <w:vMerge w:val="continue"/>
            <w:tcBorders>
              <w:tl2br w:val="nil"/>
              <w:tr2bl w:val="nil"/>
            </w:tcBorders>
            <w:vAlign w:val="center"/>
          </w:tcPr>
          <w:p>
            <w:pPr>
              <w:spacing w:line="584" w:lineRule="exact"/>
              <w:jc w:val="center"/>
            </w:pPr>
          </w:p>
        </w:tc>
        <w:tc>
          <w:tcPr>
            <w:tcW w:w="2172" w:type="dxa"/>
            <w:vMerge w:val="continue"/>
            <w:tcBorders>
              <w:tl2br w:val="nil"/>
              <w:tr2bl w:val="nil"/>
            </w:tcBorders>
            <w:vAlign w:val="center"/>
          </w:tcPr>
          <w:p>
            <w:pPr>
              <w:spacing w:line="584" w:lineRule="exact"/>
              <w:jc w:val="center"/>
            </w:pPr>
          </w:p>
        </w:tc>
        <w:tc>
          <w:tcPr>
            <w:tcW w:w="1483" w:type="dxa"/>
            <w:vMerge w:val="continue"/>
            <w:tcBorders>
              <w:tl2br w:val="nil"/>
              <w:tr2bl w:val="nil"/>
            </w:tcBorders>
            <w:vAlign w:val="center"/>
          </w:tcPr>
          <w:p>
            <w:pPr>
              <w:spacing w:line="584" w:lineRule="exact"/>
              <w:jc w:val="center"/>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621"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76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城乡居民医疗参保人数</w:t>
            </w:r>
          </w:p>
        </w:tc>
        <w:tc>
          <w:tcPr>
            <w:tcW w:w="2172"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城乡居民医疗参保人数</w:t>
            </w:r>
          </w:p>
        </w:tc>
        <w:tc>
          <w:tcPr>
            <w:tcW w:w="1483" w:type="dxa"/>
            <w:tcBorders>
              <w:tl2br w:val="nil"/>
              <w:tr2bl w:val="nil"/>
            </w:tcBorders>
            <w:vAlign w:val="center"/>
          </w:tcPr>
          <w:p>
            <w:pPr>
              <w:widowControl/>
              <w:spacing w:line="240" w:lineRule="exact"/>
              <w:jc w:val="center"/>
              <w:rPr>
                <w:rFonts w:hint="eastAsia" w:ascii="仿宋" w:hAnsi="仿宋" w:eastAsia="仿宋" w:cs="仿宋"/>
                <w:kern w:val="2"/>
                <w:sz w:val="21"/>
                <w:szCs w:val="21"/>
                <w:lang w:val="en-US" w:eastAsia="zh-CN" w:bidi="ar-SA"/>
              </w:rPr>
            </w:pPr>
            <w:r>
              <w:rPr>
                <w:rFonts w:hint="eastAsia" w:ascii="仿宋_GB2312" w:eastAsia="仿宋_GB2312" w:cs="宋体"/>
                <w:color w:val="000000"/>
                <w:kern w:val="0"/>
                <w:szCs w:val="21"/>
                <w:lang w:eastAsia="zh-CN"/>
              </w:rPr>
              <w:t>城乡居民医疗参保人数</w:t>
            </w:r>
          </w:p>
        </w:tc>
        <w:tc>
          <w:tcPr>
            <w:tcW w:w="543" w:type="dxa"/>
            <w:tcBorders>
              <w:tl2br w:val="nil"/>
              <w:tr2bl w:val="nil"/>
            </w:tcBorders>
            <w:vAlign w:val="center"/>
          </w:tcPr>
          <w:p>
            <w:pPr>
              <w:widowControl/>
              <w:spacing w:line="240" w:lineRule="exact"/>
              <w:jc w:val="center"/>
              <w:rPr>
                <w:rFonts w:hint="eastAsia" w:ascii="仿宋" w:hAnsi="仿宋" w:eastAsia="仿宋" w:cs="仿宋"/>
                <w:kern w:val="2"/>
                <w:sz w:val="21"/>
                <w:szCs w:val="21"/>
                <w:lang w:val="en-US" w:eastAsia="zh-CN" w:bidi="ar-SA"/>
              </w:rPr>
            </w:pPr>
            <w:r>
              <w:rPr>
                <w:rFonts w:hint="eastAsia" w:ascii="仿宋_GB2312" w:eastAsia="仿宋_GB2312" w:cs="宋体"/>
                <w:color w:val="000000"/>
                <w:kern w:val="0"/>
                <w:szCs w:val="21"/>
              </w:rPr>
              <w:t>≧</w:t>
            </w:r>
          </w:p>
        </w:tc>
        <w:tc>
          <w:tcPr>
            <w:tcW w:w="488" w:type="dxa"/>
            <w:tcBorders>
              <w:tl2br w:val="nil"/>
              <w:tr2bl w:val="nil"/>
            </w:tcBorders>
            <w:vAlign w:val="center"/>
          </w:tcPr>
          <w:p>
            <w:pPr>
              <w:widowControl/>
              <w:spacing w:line="240" w:lineRule="exact"/>
              <w:jc w:val="center"/>
              <w:rPr>
                <w:rFonts w:hint="eastAsia" w:ascii="仿宋" w:hAnsi="仿宋" w:eastAsia="仿宋" w:cs="仿宋"/>
                <w:kern w:val="2"/>
                <w:sz w:val="21"/>
                <w:szCs w:val="21"/>
                <w:lang w:val="en-US" w:eastAsia="zh-CN" w:bidi="ar-SA"/>
              </w:rPr>
            </w:pPr>
            <w:r>
              <w:rPr>
                <w:rFonts w:hint="eastAsia" w:ascii="仿宋_GB2312" w:eastAsia="仿宋_GB2312" w:cs="宋体"/>
                <w:color w:val="000000"/>
                <w:kern w:val="0"/>
                <w:szCs w:val="21"/>
                <w:lang w:val="en-US" w:eastAsia="zh-CN"/>
              </w:rPr>
              <w:t>40</w:t>
            </w:r>
          </w:p>
        </w:tc>
        <w:tc>
          <w:tcPr>
            <w:tcW w:w="573" w:type="dxa"/>
            <w:tcBorders>
              <w:tl2br w:val="nil"/>
              <w:tr2bl w:val="nil"/>
            </w:tcBorders>
            <w:vAlign w:val="center"/>
          </w:tcPr>
          <w:p>
            <w:pPr>
              <w:widowControl/>
              <w:spacing w:line="240" w:lineRule="exact"/>
              <w:jc w:val="center"/>
              <w:rPr>
                <w:rFonts w:hint="eastAsia" w:ascii="仿宋" w:hAnsi="仿宋" w:eastAsia="仿宋" w:cs="仿宋"/>
                <w:kern w:val="2"/>
                <w:sz w:val="21"/>
                <w:szCs w:val="21"/>
                <w:lang w:val="en-US" w:eastAsia="zh-CN" w:bidi="ar-SA"/>
              </w:rPr>
            </w:pPr>
            <w:r>
              <w:rPr>
                <w:rFonts w:hint="eastAsia" w:ascii="仿宋_GB2312" w:eastAsia="仿宋_GB2312" w:cs="宋体"/>
                <w:color w:val="000000"/>
                <w:kern w:val="0"/>
                <w:szCs w:val="21"/>
                <w:lang w:eastAsia="zh-CN"/>
              </w:rPr>
              <w:t>万</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bCs/>
              </w:rPr>
            </w:pPr>
            <w:r>
              <w:rPr>
                <w:rFonts w:hint="eastAsia" w:ascii="仿宋_GB2312" w:eastAsia="仿宋_GB2312" w:cs="宋体"/>
                <w:color w:val="000000"/>
                <w:kern w:val="0"/>
                <w:szCs w:val="21"/>
                <w:lang w:eastAsia="zh-CN"/>
              </w:rPr>
              <w:t>《廊坊市城乡居民基本医疗保险实施细则》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621" w:type="dxa"/>
            <w:vMerge w:val="continue"/>
            <w:tcBorders>
              <w:tl2br w:val="nil"/>
              <w:tr2bl w:val="nil"/>
            </w:tcBorders>
            <w:vAlign w:val="center"/>
          </w:tcPr>
          <w:p>
            <w:pPr>
              <w:widowControl/>
              <w:adjustRightInd w:val="0"/>
              <w:snapToGrid w:val="0"/>
              <w:spacing w:line="584" w:lineRule="exact"/>
              <w:jc w:val="center"/>
              <w:rPr>
                <w:rFonts w:hint="eastAsia" w:ascii="方正书宋_GBK" w:eastAsia="方正书宋_GBK"/>
                <w:lang w:eastAsia="zh-CN"/>
              </w:rPr>
            </w:pPr>
          </w:p>
        </w:tc>
        <w:tc>
          <w:tcPr>
            <w:tcW w:w="762"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897" w:type="dxa"/>
            <w:tcBorders>
              <w:tl2br w:val="nil"/>
              <w:tr2bl w:val="nil"/>
            </w:tcBorders>
            <w:vAlign w:val="center"/>
          </w:tcPr>
          <w:p>
            <w:pPr>
              <w:widowControl/>
              <w:spacing w:line="240" w:lineRule="exact"/>
              <w:jc w:val="center"/>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eastAsia="zh-CN"/>
              </w:rPr>
              <w:t>宣传医疗保险政策</w:t>
            </w:r>
          </w:p>
        </w:tc>
        <w:tc>
          <w:tcPr>
            <w:tcW w:w="2172" w:type="dxa"/>
            <w:tcBorders>
              <w:tl2br w:val="nil"/>
              <w:tr2bl w:val="nil"/>
            </w:tcBorders>
            <w:vAlign w:val="center"/>
          </w:tcPr>
          <w:p>
            <w:pPr>
              <w:widowControl/>
              <w:spacing w:line="240" w:lineRule="exact"/>
              <w:jc w:val="center"/>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eastAsia="zh-CN"/>
              </w:rPr>
              <w:t>宣传医疗保险政策</w:t>
            </w:r>
          </w:p>
        </w:tc>
        <w:tc>
          <w:tcPr>
            <w:tcW w:w="1483" w:type="dxa"/>
            <w:tcBorders>
              <w:tl2br w:val="nil"/>
              <w:tr2bl w:val="nil"/>
            </w:tcBorders>
            <w:vAlign w:val="center"/>
          </w:tcPr>
          <w:p>
            <w:pPr>
              <w:widowControl/>
              <w:spacing w:line="240" w:lineRule="exact"/>
              <w:jc w:val="center"/>
              <w:rPr>
                <w:rFonts w:hint="eastAsia" w:ascii="仿宋" w:hAnsi="仿宋" w:eastAsia="仿宋" w:cs="仿宋"/>
                <w:kern w:val="2"/>
                <w:sz w:val="21"/>
                <w:szCs w:val="21"/>
                <w:lang w:val="en-US" w:eastAsia="zh-CN" w:bidi="ar-SA"/>
              </w:rPr>
            </w:pPr>
            <w:r>
              <w:rPr>
                <w:rFonts w:hint="eastAsia" w:ascii="仿宋_GB2312" w:eastAsia="仿宋_GB2312" w:cs="宋体"/>
                <w:color w:val="000000"/>
                <w:kern w:val="0"/>
                <w:szCs w:val="21"/>
                <w:lang w:eastAsia="zh-CN"/>
              </w:rPr>
              <w:t>宣传医疗保险政策</w:t>
            </w:r>
          </w:p>
        </w:tc>
        <w:tc>
          <w:tcPr>
            <w:tcW w:w="543" w:type="dxa"/>
            <w:tcBorders>
              <w:tl2br w:val="nil"/>
              <w:tr2bl w:val="nil"/>
            </w:tcBorders>
            <w:vAlign w:val="center"/>
          </w:tcPr>
          <w:p>
            <w:pPr>
              <w:widowControl/>
              <w:spacing w:line="240" w:lineRule="exact"/>
              <w:jc w:val="center"/>
              <w:rPr>
                <w:rFonts w:hint="eastAsia" w:ascii="仿宋" w:hAnsi="仿宋" w:eastAsia="仿宋" w:cs="仿宋"/>
                <w:kern w:val="2"/>
                <w:sz w:val="21"/>
                <w:szCs w:val="21"/>
                <w:lang w:val="en-US" w:eastAsia="zh-CN" w:bidi="ar-SA"/>
              </w:rPr>
            </w:pPr>
            <w:r>
              <w:rPr>
                <w:rFonts w:hint="eastAsia" w:ascii="仿宋_GB2312" w:eastAsia="仿宋_GB2312" w:cs="宋体"/>
                <w:color w:val="000000"/>
                <w:kern w:val="0"/>
                <w:szCs w:val="21"/>
              </w:rPr>
              <w:t>≧</w:t>
            </w:r>
          </w:p>
        </w:tc>
        <w:tc>
          <w:tcPr>
            <w:tcW w:w="488" w:type="dxa"/>
            <w:tcBorders>
              <w:tl2br w:val="nil"/>
              <w:tr2bl w:val="nil"/>
            </w:tcBorders>
            <w:vAlign w:val="center"/>
          </w:tcPr>
          <w:p>
            <w:pPr>
              <w:widowControl/>
              <w:spacing w:line="240" w:lineRule="exact"/>
              <w:jc w:val="center"/>
              <w:rPr>
                <w:rFonts w:hint="eastAsia" w:ascii="仿宋" w:hAnsi="仿宋" w:eastAsia="仿宋" w:cs="仿宋"/>
                <w:kern w:val="2"/>
                <w:sz w:val="21"/>
                <w:szCs w:val="21"/>
                <w:lang w:val="en-US" w:eastAsia="zh-CN" w:bidi="ar-SA"/>
              </w:rPr>
            </w:pPr>
            <w:r>
              <w:rPr>
                <w:rFonts w:hint="eastAsia" w:ascii="仿宋_GB2312" w:eastAsia="仿宋_GB2312" w:cs="宋体"/>
                <w:color w:val="000000"/>
                <w:kern w:val="0"/>
                <w:szCs w:val="21"/>
                <w:lang w:val="en-US" w:eastAsia="zh-CN"/>
              </w:rPr>
              <w:t>20000</w:t>
            </w:r>
          </w:p>
        </w:tc>
        <w:tc>
          <w:tcPr>
            <w:tcW w:w="573" w:type="dxa"/>
            <w:tcBorders>
              <w:tl2br w:val="nil"/>
              <w:tr2bl w:val="nil"/>
            </w:tcBorders>
            <w:vAlign w:val="center"/>
          </w:tcPr>
          <w:p>
            <w:pPr>
              <w:widowControl/>
              <w:spacing w:line="240" w:lineRule="exact"/>
              <w:jc w:val="center"/>
              <w:rPr>
                <w:rFonts w:hint="eastAsia" w:ascii="仿宋" w:hAnsi="仿宋" w:eastAsia="仿宋" w:cs="仿宋"/>
                <w:kern w:val="2"/>
                <w:sz w:val="21"/>
                <w:szCs w:val="21"/>
                <w:lang w:val="en-US" w:eastAsia="zh-CN" w:bidi="ar-SA"/>
              </w:rPr>
            </w:pPr>
            <w:r>
              <w:rPr>
                <w:rFonts w:hint="eastAsia" w:ascii="仿宋_GB2312" w:eastAsia="仿宋_GB2312" w:cs="宋体"/>
                <w:color w:val="000000"/>
                <w:kern w:val="0"/>
                <w:szCs w:val="21"/>
                <w:lang w:eastAsia="zh-CN"/>
              </w:rPr>
              <w:t>次</w:t>
            </w:r>
          </w:p>
        </w:tc>
        <w:tc>
          <w:tcPr>
            <w:tcW w:w="1277"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621" w:type="dxa"/>
            <w:vMerge w:val="continue"/>
            <w:tcBorders>
              <w:tl2br w:val="nil"/>
              <w:tr2bl w:val="nil"/>
            </w:tcBorders>
            <w:vAlign w:val="center"/>
          </w:tcPr>
          <w:p>
            <w:pPr>
              <w:widowControl/>
              <w:adjustRightInd w:val="0"/>
              <w:snapToGrid w:val="0"/>
              <w:spacing w:line="584" w:lineRule="exact"/>
              <w:jc w:val="center"/>
              <w:rPr>
                <w:rFonts w:hint="eastAsia" w:ascii="方正书宋_GBK" w:eastAsia="方正书宋_GBK" w:hAnsiTheme="minorHAnsi" w:cstheme="minorBidi"/>
                <w:kern w:val="2"/>
                <w:sz w:val="21"/>
                <w:szCs w:val="22"/>
                <w:lang w:val="en-US" w:eastAsia="zh-CN" w:bidi="ar-SA"/>
              </w:rPr>
            </w:pPr>
          </w:p>
        </w:tc>
        <w:tc>
          <w:tcPr>
            <w:tcW w:w="762"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897" w:type="dxa"/>
            <w:tcBorders>
              <w:tl2br w:val="nil"/>
              <w:tr2bl w:val="nil"/>
            </w:tcBorders>
            <w:vAlign w:val="center"/>
          </w:tcPr>
          <w:p>
            <w:pPr>
              <w:widowControl/>
              <w:spacing w:line="240" w:lineRule="exact"/>
              <w:jc w:val="center"/>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eastAsia="zh-CN"/>
              </w:rPr>
              <w:t>监督管理定点医疗机构，医务室，零售药店（家）</w:t>
            </w:r>
          </w:p>
        </w:tc>
        <w:tc>
          <w:tcPr>
            <w:tcW w:w="2172" w:type="dxa"/>
            <w:tcBorders>
              <w:tl2br w:val="nil"/>
              <w:tr2bl w:val="nil"/>
            </w:tcBorders>
            <w:vAlign w:val="center"/>
          </w:tcPr>
          <w:p>
            <w:pPr>
              <w:widowControl/>
              <w:spacing w:line="240" w:lineRule="exact"/>
              <w:jc w:val="center"/>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eastAsia="zh-CN"/>
              </w:rPr>
              <w:t>监督管理定点医疗机构，医务室，零售药店（家）</w:t>
            </w:r>
          </w:p>
        </w:tc>
        <w:tc>
          <w:tcPr>
            <w:tcW w:w="1483" w:type="dxa"/>
            <w:tcBorders>
              <w:tl2br w:val="nil"/>
              <w:tr2bl w:val="nil"/>
            </w:tcBorders>
            <w:vAlign w:val="center"/>
          </w:tcPr>
          <w:p>
            <w:pPr>
              <w:widowControl/>
              <w:spacing w:line="240" w:lineRule="exact"/>
              <w:jc w:val="center"/>
              <w:rPr>
                <w:rFonts w:hint="eastAsia" w:ascii="仿宋" w:hAnsi="仿宋" w:eastAsia="仿宋" w:cs="仿宋"/>
                <w:kern w:val="2"/>
                <w:sz w:val="21"/>
                <w:szCs w:val="21"/>
                <w:lang w:val="en-US" w:eastAsia="zh-CN" w:bidi="ar-SA"/>
              </w:rPr>
            </w:pPr>
            <w:r>
              <w:rPr>
                <w:rFonts w:hint="eastAsia" w:ascii="仿宋_GB2312" w:eastAsia="仿宋_GB2312" w:cs="宋体"/>
                <w:color w:val="000000"/>
                <w:kern w:val="0"/>
                <w:szCs w:val="21"/>
                <w:lang w:eastAsia="zh-CN"/>
              </w:rPr>
              <w:t>监督管理定点医疗机构，医务室，零售药店（家）</w:t>
            </w:r>
          </w:p>
        </w:tc>
        <w:tc>
          <w:tcPr>
            <w:tcW w:w="543" w:type="dxa"/>
            <w:tcBorders>
              <w:tl2br w:val="nil"/>
              <w:tr2bl w:val="nil"/>
            </w:tcBorders>
            <w:vAlign w:val="center"/>
          </w:tcPr>
          <w:p>
            <w:pPr>
              <w:widowControl/>
              <w:spacing w:line="240" w:lineRule="exact"/>
              <w:jc w:val="center"/>
              <w:rPr>
                <w:rFonts w:hint="eastAsia" w:ascii="仿宋" w:hAnsi="仿宋" w:eastAsia="仿宋" w:cs="仿宋"/>
                <w:kern w:val="2"/>
                <w:sz w:val="21"/>
                <w:szCs w:val="21"/>
                <w:lang w:val="en-US" w:eastAsia="zh-CN" w:bidi="ar-SA"/>
              </w:rPr>
            </w:pPr>
            <w:r>
              <w:rPr>
                <w:rFonts w:hint="eastAsia" w:ascii="仿宋_GB2312" w:eastAsia="仿宋_GB2312" w:cs="宋体"/>
                <w:color w:val="000000"/>
                <w:kern w:val="0"/>
                <w:szCs w:val="21"/>
              </w:rPr>
              <w:t>≦</w:t>
            </w:r>
          </w:p>
        </w:tc>
        <w:tc>
          <w:tcPr>
            <w:tcW w:w="488" w:type="dxa"/>
            <w:tcBorders>
              <w:tl2br w:val="nil"/>
              <w:tr2bl w:val="nil"/>
            </w:tcBorders>
            <w:vAlign w:val="center"/>
          </w:tcPr>
          <w:p>
            <w:pPr>
              <w:widowControl/>
              <w:spacing w:line="240" w:lineRule="exact"/>
              <w:jc w:val="center"/>
              <w:rPr>
                <w:rFonts w:hint="eastAsia" w:ascii="仿宋" w:hAnsi="仿宋" w:eastAsia="仿宋" w:cs="仿宋"/>
                <w:kern w:val="2"/>
                <w:sz w:val="21"/>
                <w:szCs w:val="21"/>
                <w:lang w:val="en-US" w:eastAsia="zh-CN" w:bidi="ar-SA"/>
              </w:rPr>
            </w:pPr>
            <w:r>
              <w:rPr>
                <w:rFonts w:hint="eastAsia" w:ascii="仿宋_GB2312" w:eastAsia="仿宋_GB2312" w:cs="宋体"/>
                <w:color w:val="000000"/>
                <w:kern w:val="0"/>
                <w:szCs w:val="21"/>
                <w:lang w:val="en-US" w:eastAsia="zh-CN"/>
              </w:rPr>
              <w:t>71</w:t>
            </w:r>
          </w:p>
        </w:tc>
        <w:tc>
          <w:tcPr>
            <w:tcW w:w="573" w:type="dxa"/>
            <w:tcBorders>
              <w:tl2br w:val="nil"/>
              <w:tr2bl w:val="nil"/>
            </w:tcBorders>
            <w:vAlign w:val="center"/>
          </w:tcPr>
          <w:p>
            <w:pPr>
              <w:widowControl/>
              <w:spacing w:line="240" w:lineRule="exact"/>
              <w:jc w:val="center"/>
              <w:rPr>
                <w:rFonts w:hint="eastAsia" w:ascii="仿宋" w:hAnsi="仿宋" w:eastAsia="仿宋" w:cs="仿宋"/>
                <w:kern w:val="2"/>
                <w:sz w:val="21"/>
                <w:szCs w:val="21"/>
                <w:lang w:val="en-US" w:eastAsia="zh-CN" w:bidi="ar-SA"/>
              </w:rPr>
            </w:pPr>
            <w:r>
              <w:rPr>
                <w:rFonts w:hint="eastAsia" w:ascii="仿宋_GB2312" w:eastAsia="仿宋_GB2312" w:cs="宋体"/>
                <w:color w:val="000000"/>
                <w:kern w:val="0"/>
                <w:szCs w:val="21"/>
                <w:lang w:eastAsia="zh-CN"/>
              </w:rPr>
              <w:t>家</w:t>
            </w:r>
          </w:p>
        </w:tc>
        <w:tc>
          <w:tcPr>
            <w:tcW w:w="1277"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621" w:type="dxa"/>
            <w:vMerge w:val="continue"/>
            <w:tcBorders>
              <w:tl2br w:val="nil"/>
              <w:tr2bl w:val="nil"/>
            </w:tcBorders>
            <w:vAlign w:val="center"/>
          </w:tcPr>
          <w:p>
            <w:pPr>
              <w:widowControl/>
              <w:adjustRightInd w:val="0"/>
              <w:snapToGrid w:val="0"/>
              <w:spacing w:line="584" w:lineRule="exact"/>
              <w:jc w:val="center"/>
              <w:rPr>
                <w:rFonts w:hint="eastAsia" w:ascii="方正书宋_GBK" w:eastAsia="方正书宋_GBK"/>
                <w:lang w:eastAsia="zh-CN"/>
              </w:rPr>
            </w:pPr>
          </w:p>
        </w:tc>
        <w:tc>
          <w:tcPr>
            <w:tcW w:w="762"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897" w:type="dxa"/>
            <w:tcBorders>
              <w:tl2br w:val="nil"/>
              <w:tr2bl w:val="nil"/>
            </w:tcBorders>
            <w:vAlign w:val="center"/>
          </w:tcPr>
          <w:p>
            <w:pPr>
              <w:widowControl/>
              <w:spacing w:line="240" w:lineRule="exact"/>
              <w:jc w:val="center"/>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eastAsia="zh-CN"/>
              </w:rPr>
              <w:t>全年门特申报人数</w:t>
            </w:r>
          </w:p>
        </w:tc>
        <w:tc>
          <w:tcPr>
            <w:tcW w:w="2172" w:type="dxa"/>
            <w:tcBorders>
              <w:tl2br w:val="nil"/>
              <w:tr2bl w:val="nil"/>
            </w:tcBorders>
            <w:vAlign w:val="center"/>
          </w:tcPr>
          <w:p>
            <w:pPr>
              <w:widowControl/>
              <w:spacing w:line="240" w:lineRule="exact"/>
              <w:jc w:val="center"/>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eastAsia="zh-CN"/>
              </w:rPr>
              <w:t>符合申报条件的门诊人员</w:t>
            </w:r>
          </w:p>
        </w:tc>
        <w:tc>
          <w:tcPr>
            <w:tcW w:w="1483" w:type="dxa"/>
            <w:tcBorders>
              <w:tl2br w:val="nil"/>
              <w:tr2bl w:val="nil"/>
            </w:tcBorders>
            <w:vAlign w:val="center"/>
          </w:tcPr>
          <w:p>
            <w:pPr>
              <w:widowControl/>
              <w:spacing w:line="240" w:lineRule="exact"/>
              <w:jc w:val="center"/>
              <w:rPr>
                <w:rFonts w:hint="eastAsia" w:ascii="仿宋" w:hAnsi="仿宋" w:eastAsia="仿宋" w:cs="仿宋"/>
                <w:kern w:val="2"/>
                <w:sz w:val="21"/>
                <w:szCs w:val="21"/>
                <w:lang w:val="en-US" w:eastAsia="zh-CN" w:bidi="ar-SA"/>
              </w:rPr>
            </w:pPr>
            <w:r>
              <w:rPr>
                <w:rFonts w:hint="eastAsia" w:ascii="仿宋_GB2312" w:eastAsia="仿宋_GB2312" w:cs="宋体"/>
                <w:color w:val="000000"/>
                <w:kern w:val="0"/>
                <w:szCs w:val="21"/>
                <w:lang w:eastAsia="zh-CN"/>
              </w:rPr>
              <w:t>符合申报条件的门诊人员</w:t>
            </w:r>
          </w:p>
        </w:tc>
        <w:tc>
          <w:tcPr>
            <w:tcW w:w="543" w:type="dxa"/>
            <w:tcBorders>
              <w:tl2br w:val="nil"/>
              <w:tr2bl w:val="nil"/>
            </w:tcBorders>
            <w:vAlign w:val="center"/>
          </w:tcPr>
          <w:p>
            <w:pPr>
              <w:widowControl/>
              <w:spacing w:line="240" w:lineRule="exact"/>
              <w:jc w:val="center"/>
              <w:rPr>
                <w:rFonts w:hint="eastAsia" w:ascii="仿宋" w:hAnsi="仿宋" w:eastAsia="仿宋" w:cs="仿宋"/>
                <w:kern w:val="2"/>
                <w:sz w:val="21"/>
                <w:szCs w:val="21"/>
                <w:lang w:val="en-US" w:eastAsia="zh-CN" w:bidi="ar-SA"/>
              </w:rPr>
            </w:pPr>
            <w:r>
              <w:rPr>
                <w:rFonts w:hint="eastAsia" w:ascii="仿宋_GB2312" w:eastAsia="仿宋_GB2312" w:cs="宋体"/>
                <w:color w:val="000000"/>
                <w:kern w:val="0"/>
                <w:szCs w:val="21"/>
              </w:rPr>
              <w:t>≧</w:t>
            </w:r>
          </w:p>
        </w:tc>
        <w:tc>
          <w:tcPr>
            <w:tcW w:w="488" w:type="dxa"/>
            <w:tcBorders>
              <w:tl2br w:val="nil"/>
              <w:tr2bl w:val="nil"/>
            </w:tcBorders>
            <w:vAlign w:val="center"/>
          </w:tcPr>
          <w:p>
            <w:pPr>
              <w:widowControl/>
              <w:spacing w:line="240" w:lineRule="exact"/>
              <w:jc w:val="center"/>
              <w:rPr>
                <w:rFonts w:hint="eastAsia" w:ascii="仿宋" w:hAnsi="仿宋" w:eastAsia="仿宋" w:cs="仿宋"/>
                <w:kern w:val="2"/>
                <w:sz w:val="21"/>
                <w:szCs w:val="21"/>
                <w:lang w:val="en-US" w:eastAsia="zh-CN" w:bidi="ar-SA"/>
              </w:rPr>
            </w:pPr>
            <w:r>
              <w:rPr>
                <w:rFonts w:hint="eastAsia" w:ascii="仿宋_GB2312" w:eastAsia="仿宋_GB2312" w:cs="宋体"/>
                <w:color w:val="000000"/>
                <w:kern w:val="0"/>
                <w:szCs w:val="21"/>
                <w:lang w:val="en-US" w:eastAsia="zh-CN"/>
              </w:rPr>
              <w:t>4000</w:t>
            </w:r>
          </w:p>
        </w:tc>
        <w:tc>
          <w:tcPr>
            <w:tcW w:w="573" w:type="dxa"/>
            <w:tcBorders>
              <w:tl2br w:val="nil"/>
              <w:tr2bl w:val="nil"/>
            </w:tcBorders>
            <w:vAlign w:val="center"/>
          </w:tcPr>
          <w:p>
            <w:pPr>
              <w:widowControl/>
              <w:spacing w:line="240" w:lineRule="exact"/>
              <w:jc w:val="center"/>
              <w:rPr>
                <w:rFonts w:hint="eastAsia" w:ascii="仿宋" w:hAnsi="仿宋" w:eastAsia="仿宋" w:cs="仿宋"/>
                <w:kern w:val="2"/>
                <w:sz w:val="21"/>
                <w:szCs w:val="21"/>
                <w:lang w:val="en-US" w:eastAsia="zh-CN" w:bidi="ar-SA"/>
              </w:rPr>
            </w:pPr>
            <w:r>
              <w:rPr>
                <w:rFonts w:hint="eastAsia" w:ascii="仿宋_GB2312" w:eastAsia="仿宋_GB2312" w:cs="宋体"/>
                <w:color w:val="000000"/>
                <w:kern w:val="0"/>
                <w:szCs w:val="21"/>
                <w:lang w:eastAsia="zh-CN"/>
              </w:rPr>
              <w:t>人</w:t>
            </w:r>
          </w:p>
        </w:tc>
        <w:tc>
          <w:tcPr>
            <w:tcW w:w="1277"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621"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762"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897" w:type="dxa"/>
            <w:tcBorders>
              <w:tl2br w:val="nil"/>
              <w:tr2bl w:val="nil"/>
            </w:tcBorders>
            <w:vAlign w:val="center"/>
          </w:tcPr>
          <w:p>
            <w:pPr>
              <w:widowControl/>
              <w:spacing w:line="240" w:lineRule="exact"/>
              <w:jc w:val="center"/>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eastAsia="zh-CN"/>
              </w:rPr>
              <w:t>医疗救助率</w:t>
            </w:r>
          </w:p>
        </w:tc>
        <w:tc>
          <w:tcPr>
            <w:tcW w:w="2172" w:type="dxa"/>
            <w:tcBorders>
              <w:tl2br w:val="nil"/>
              <w:tr2bl w:val="nil"/>
            </w:tcBorders>
            <w:vAlign w:val="center"/>
          </w:tcPr>
          <w:p>
            <w:pPr>
              <w:widowControl/>
              <w:spacing w:line="240" w:lineRule="exact"/>
              <w:jc w:val="center"/>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eastAsia="zh-CN"/>
              </w:rPr>
              <w:t>贫困人员住院人数</w:t>
            </w:r>
          </w:p>
        </w:tc>
        <w:tc>
          <w:tcPr>
            <w:tcW w:w="1483" w:type="dxa"/>
            <w:tcBorders>
              <w:tl2br w:val="nil"/>
              <w:tr2bl w:val="nil"/>
            </w:tcBorders>
            <w:vAlign w:val="center"/>
          </w:tcPr>
          <w:p>
            <w:pPr>
              <w:widowControl/>
              <w:spacing w:line="240" w:lineRule="exact"/>
              <w:jc w:val="center"/>
              <w:rPr>
                <w:rFonts w:hint="eastAsia" w:ascii="仿宋" w:hAnsi="仿宋" w:eastAsia="仿宋" w:cs="仿宋"/>
                <w:kern w:val="2"/>
                <w:sz w:val="21"/>
                <w:szCs w:val="21"/>
                <w:lang w:val="en-US" w:eastAsia="zh-CN" w:bidi="ar-SA"/>
              </w:rPr>
            </w:pPr>
            <w:r>
              <w:rPr>
                <w:rFonts w:hint="eastAsia" w:ascii="仿宋_GB2312" w:eastAsia="仿宋_GB2312" w:cs="宋体"/>
                <w:color w:val="000000"/>
                <w:kern w:val="0"/>
                <w:szCs w:val="21"/>
                <w:lang w:eastAsia="zh-CN"/>
              </w:rPr>
              <w:t>贫困人员住院人数</w:t>
            </w:r>
          </w:p>
        </w:tc>
        <w:tc>
          <w:tcPr>
            <w:tcW w:w="543" w:type="dxa"/>
            <w:tcBorders>
              <w:tl2br w:val="nil"/>
              <w:tr2bl w:val="nil"/>
            </w:tcBorders>
            <w:vAlign w:val="center"/>
          </w:tcPr>
          <w:p>
            <w:pPr>
              <w:widowControl/>
              <w:spacing w:line="240" w:lineRule="exact"/>
              <w:jc w:val="center"/>
              <w:rPr>
                <w:rFonts w:hint="eastAsia" w:ascii="仿宋" w:hAnsi="仿宋" w:eastAsia="仿宋" w:cs="仿宋"/>
                <w:kern w:val="2"/>
                <w:sz w:val="21"/>
                <w:szCs w:val="21"/>
                <w:lang w:val="en-US" w:eastAsia="zh-CN" w:bidi="ar-SA"/>
              </w:rPr>
            </w:pPr>
            <w:r>
              <w:rPr>
                <w:rFonts w:hint="eastAsia" w:ascii="仿宋_GB2312" w:eastAsia="仿宋_GB2312" w:cs="宋体"/>
                <w:color w:val="000000"/>
                <w:kern w:val="0"/>
                <w:szCs w:val="21"/>
              </w:rPr>
              <w:t>≧</w:t>
            </w:r>
          </w:p>
        </w:tc>
        <w:tc>
          <w:tcPr>
            <w:tcW w:w="488" w:type="dxa"/>
            <w:tcBorders>
              <w:tl2br w:val="nil"/>
              <w:tr2bl w:val="nil"/>
            </w:tcBorders>
            <w:vAlign w:val="center"/>
          </w:tcPr>
          <w:p>
            <w:pPr>
              <w:widowControl/>
              <w:spacing w:line="240" w:lineRule="exact"/>
              <w:jc w:val="center"/>
              <w:rPr>
                <w:rFonts w:hint="eastAsia" w:ascii="仿宋" w:hAnsi="仿宋" w:eastAsia="仿宋" w:cs="仿宋"/>
                <w:kern w:val="2"/>
                <w:sz w:val="21"/>
                <w:szCs w:val="21"/>
                <w:lang w:val="en-US" w:eastAsia="zh-CN" w:bidi="ar-SA"/>
              </w:rPr>
            </w:pPr>
            <w:r>
              <w:rPr>
                <w:rFonts w:hint="eastAsia" w:ascii="仿宋_GB2312" w:eastAsia="仿宋_GB2312" w:cs="宋体"/>
                <w:color w:val="000000"/>
                <w:kern w:val="0"/>
                <w:szCs w:val="21"/>
                <w:lang w:val="en-US" w:eastAsia="zh-CN"/>
              </w:rPr>
              <w:t>90</w:t>
            </w:r>
          </w:p>
        </w:tc>
        <w:tc>
          <w:tcPr>
            <w:tcW w:w="573" w:type="dxa"/>
            <w:tcBorders>
              <w:tl2br w:val="nil"/>
              <w:tr2bl w:val="nil"/>
            </w:tcBorders>
            <w:vAlign w:val="center"/>
          </w:tcPr>
          <w:p>
            <w:pPr>
              <w:widowControl/>
              <w:spacing w:line="240" w:lineRule="exact"/>
              <w:jc w:val="center"/>
              <w:rPr>
                <w:rFonts w:hint="eastAsia" w:ascii="仿宋" w:hAnsi="仿宋" w:eastAsia="仿宋" w:cs="仿宋"/>
                <w:kern w:val="2"/>
                <w:sz w:val="21"/>
                <w:szCs w:val="21"/>
                <w:lang w:val="en-US" w:eastAsia="zh-CN" w:bidi="ar-SA"/>
              </w:rPr>
            </w:pPr>
            <w:r>
              <w:rPr>
                <w:rFonts w:hint="eastAsia" w:ascii="仿宋_GB2312" w:eastAsia="仿宋_GB2312" w:cs="宋体"/>
                <w:color w:val="000000"/>
                <w:kern w:val="0"/>
                <w:szCs w:val="21"/>
                <w:lang w:eastAsia="zh-CN"/>
              </w:rPr>
              <w:t>人次</w:t>
            </w:r>
          </w:p>
        </w:tc>
        <w:tc>
          <w:tcPr>
            <w:tcW w:w="1277"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621" w:type="dxa"/>
            <w:vMerge w:val="continue"/>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eastAsia="zh-CN"/>
              </w:rPr>
            </w:pPr>
          </w:p>
        </w:tc>
        <w:tc>
          <w:tcPr>
            <w:tcW w:w="762" w:type="dxa"/>
            <w:vMerge w:val="restart"/>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质量</w:t>
            </w:r>
          </w:p>
        </w:tc>
        <w:tc>
          <w:tcPr>
            <w:tcW w:w="897"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城乡居民医疗保险参保覆盖率</w:t>
            </w:r>
          </w:p>
        </w:tc>
        <w:tc>
          <w:tcPr>
            <w:tcW w:w="2172"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城乡居民医疗保险参保覆盖率</w:t>
            </w:r>
          </w:p>
        </w:tc>
        <w:tc>
          <w:tcPr>
            <w:tcW w:w="1483"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城乡居民医疗保险参保覆盖率</w:t>
            </w:r>
          </w:p>
        </w:tc>
        <w:tc>
          <w:tcPr>
            <w:tcW w:w="543"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w:t>
            </w:r>
          </w:p>
        </w:tc>
        <w:tc>
          <w:tcPr>
            <w:tcW w:w="488"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95</w:t>
            </w:r>
          </w:p>
        </w:tc>
        <w:tc>
          <w:tcPr>
            <w:tcW w:w="573"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百分数</w:t>
            </w:r>
          </w:p>
        </w:tc>
        <w:tc>
          <w:tcPr>
            <w:tcW w:w="1277" w:type="dxa"/>
            <w:vMerge w:val="restart"/>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《廊坊市城乡居民基本医疗保险实施细则》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21" w:type="dxa"/>
            <w:vMerge w:val="continue"/>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eastAsia="zh-CN"/>
              </w:rPr>
            </w:pPr>
          </w:p>
        </w:tc>
        <w:tc>
          <w:tcPr>
            <w:tcW w:w="762" w:type="dxa"/>
            <w:vMerge w:val="continue"/>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eastAsia="zh-CN"/>
              </w:rPr>
            </w:pPr>
          </w:p>
        </w:tc>
        <w:tc>
          <w:tcPr>
            <w:tcW w:w="897"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医疗救助人员救助率</w:t>
            </w:r>
          </w:p>
        </w:tc>
        <w:tc>
          <w:tcPr>
            <w:tcW w:w="2172"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医疗救助人员救助率</w:t>
            </w:r>
          </w:p>
        </w:tc>
        <w:tc>
          <w:tcPr>
            <w:tcW w:w="1483"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医疗救助人员救助率</w:t>
            </w:r>
          </w:p>
        </w:tc>
        <w:tc>
          <w:tcPr>
            <w:tcW w:w="543"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w:t>
            </w:r>
          </w:p>
        </w:tc>
        <w:tc>
          <w:tcPr>
            <w:tcW w:w="488"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95</w:t>
            </w:r>
          </w:p>
        </w:tc>
        <w:tc>
          <w:tcPr>
            <w:tcW w:w="573"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百分数</w:t>
            </w:r>
          </w:p>
        </w:tc>
        <w:tc>
          <w:tcPr>
            <w:tcW w:w="1277" w:type="dxa"/>
            <w:vMerge w:val="continue"/>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621" w:type="dxa"/>
            <w:vMerge w:val="continue"/>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eastAsia="zh-CN"/>
              </w:rPr>
            </w:pPr>
          </w:p>
        </w:tc>
        <w:tc>
          <w:tcPr>
            <w:tcW w:w="762" w:type="dxa"/>
            <w:vMerge w:val="restart"/>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时效</w:t>
            </w:r>
          </w:p>
        </w:tc>
        <w:tc>
          <w:tcPr>
            <w:tcW w:w="897"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居民医疗县级财政补助到位率</w:t>
            </w:r>
          </w:p>
        </w:tc>
        <w:tc>
          <w:tcPr>
            <w:tcW w:w="2172"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居民医疗县级财政补助到位率</w:t>
            </w:r>
          </w:p>
        </w:tc>
        <w:tc>
          <w:tcPr>
            <w:tcW w:w="1483"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居民医疗县级财政补助到位率</w:t>
            </w:r>
          </w:p>
        </w:tc>
        <w:tc>
          <w:tcPr>
            <w:tcW w:w="543"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p>
        </w:tc>
        <w:tc>
          <w:tcPr>
            <w:tcW w:w="488"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2021</w:t>
            </w:r>
          </w:p>
        </w:tc>
        <w:tc>
          <w:tcPr>
            <w:tcW w:w="573"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年</w:t>
            </w:r>
          </w:p>
        </w:tc>
        <w:tc>
          <w:tcPr>
            <w:tcW w:w="1277" w:type="dxa"/>
            <w:vMerge w:val="restart"/>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《廊坊市城乡居民基本医疗保险实施细则》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621" w:type="dxa"/>
            <w:vMerge w:val="continue"/>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eastAsia="zh-CN"/>
              </w:rPr>
            </w:pPr>
          </w:p>
        </w:tc>
        <w:tc>
          <w:tcPr>
            <w:tcW w:w="762" w:type="dxa"/>
            <w:vMerge w:val="continue"/>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eastAsia="zh-CN"/>
              </w:rPr>
            </w:pPr>
          </w:p>
        </w:tc>
        <w:tc>
          <w:tcPr>
            <w:tcW w:w="897"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医疗待遇按月发放及时率</w:t>
            </w:r>
          </w:p>
        </w:tc>
        <w:tc>
          <w:tcPr>
            <w:tcW w:w="2172"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医疗待遇按月发放及时率</w:t>
            </w:r>
          </w:p>
        </w:tc>
        <w:tc>
          <w:tcPr>
            <w:tcW w:w="1483"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医疗待遇按月发放及时率</w:t>
            </w:r>
          </w:p>
        </w:tc>
        <w:tc>
          <w:tcPr>
            <w:tcW w:w="543"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w:t>
            </w:r>
          </w:p>
        </w:tc>
        <w:tc>
          <w:tcPr>
            <w:tcW w:w="488"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98</w:t>
            </w:r>
          </w:p>
        </w:tc>
        <w:tc>
          <w:tcPr>
            <w:tcW w:w="573"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百分数</w:t>
            </w:r>
          </w:p>
        </w:tc>
        <w:tc>
          <w:tcPr>
            <w:tcW w:w="1277" w:type="dxa"/>
            <w:vMerge w:val="continue"/>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21" w:type="dxa"/>
            <w:vMerge w:val="continue"/>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eastAsia="zh-CN"/>
              </w:rPr>
            </w:pPr>
          </w:p>
        </w:tc>
        <w:tc>
          <w:tcPr>
            <w:tcW w:w="762" w:type="dxa"/>
            <w:vMerge w:val="restart"/>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成本</w:t>
            </w:r>
          </w:p>
        </w:tc>
        <w:tc>
          <w:tcPr>
            <w:tcW w:w="897"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城乡居民基本医疗保险县级财政补助标准</w:t>
            </w:r>
          </w:p>
        </w:tc>
        <w:tc>
          <w:tcPr>
            <w:tcW w:w="2172"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城乡居民基本医疗保险县级财政补助标准</w:t>
            </w:r>
          </w:p>
        </w:tc>
        <w:tc>
          <w:tcPr>
            <w:tcW w:w="1483"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城乡居民基本医疗保险县级财政补助标准</w:t>
            </w:r>
          </w:p>
        </w:tc>
        <w:tc>
          <w:tcPr>
            <w:tcW w:w="543"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p>
        </w:tc>
        <w:tc>
          <w:tcPr>
            <w:tcW w:w="488"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116</w:t>
            </w:r>
          </w:p>
        </w:tc>
        <w:tc>
          <w:tcPr>
            <w:tcW w:w="573"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元</w:t>
            </w:r>
          </w:p>
        </w:tc>
        <w:tc>
          <w:tcPr>
            <w:tcW w:w="1277" w:type="dxa"/>
            <w:vMerge w:val="restart"/>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《廊坊市城乡居民基本医疗保险实施细则》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60" w:hRule="atLeast"/>
          <w:jc w:val="center"/>
        </w:trPr>
        <w:tc>
          <w:tcPr>
            <w:tcW w:w="621" w:type="dxa"/>
            <w:vMerge w:val="continue"/>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eastAsia="zh-CN"/>
              </w:rPr>
            </w:pPr>
          </w:p>
        </w:tc>
        <w:tc>
          <w:tcPr>
            <w:tcW w:w="762" w:type="dxa"/>
            <w:vMerge w:val="continue"/>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eastAsia="zh-CN"/>
              </w:rPr>
            </w:pPr>
          </w:p>
        </w:tc>
        <w:tc>
          <w:tcPr>
            <w:tcW w:w="897"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免缴人员医疗保险财政代缴部分</w:t>
            </w:r>
          </w:p>
        </w:tc>
        <w:tc>
          <w:tcPr>
            <w:tcW w:w="2172"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免缴人员医疗保险财政代缴部分</w:t>
            </w:r>
          </w:p>
        </w:tc>
        <w:tc>
          <w:tcPr>
            <w:tcW w:w="1483"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免缴人员医疗保险财政代缴部分</w:t>
            </w:r>
          </w:p>
        </w:tc>
        <w:tc>
          <w:tcPr>
            <w:tcW w:w="543"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p>
        </w:tc>
        <w:tc>
          <w:tcPr>
            <w:tcW w:w="488" w:type="dxa"/>
            <w:tcBorders>
              <w:tl2br w:val="nil"/>
              <w:tr2bl w:val="nil"/>
            </w:tcBorders>
            <w:vAlign w:val="center"/>
          </w:tcPr>
          <w:p>
            <w:pPr>
              <w:widowControl/>
              <w:spacing w:line="24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350</w:t>
            </w:r>
          </w:p>
        </w:tc>
        <w:tc>
          <w:tcPr>
            <w:tcW w:w="573"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元</w:t>
            </w:r>
          </w:p>
        </w:tc>
        <w:tc>
          <w:tcPr>
            <w:tcW w:w="1277" w:type="dxa"/>
            <w:vMerge w:val="continue"/>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21"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762"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社会</w:t>
            </w:r>
          </w:p>
          <w:p>
            <w:pPr>
              <w:widowControl/>
              <w:spacing w:line="24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效益</w:t>
            </w:r>
          </w:p>
        </w:tc>
        <w:tc>
          <w:tcPr>
            <w:tcW w:w="897"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实现有病所医，减轻患者医疗负担。</w:t>
            </w:r>
          </w:p>
        </w:tc>
        <w:tc>
          <w:tcPr>
            <w:tcW w:w="2172"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实现有病所医，减轻患者医疗负担</w:t>
            </w:r>
          </w:p>
        </w:tc>
        <w:tc>
          <w:tcPr>
            <w:tcW w:w="1483"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实现有病所医，减轻患者医疗负担</w:t>
            </w:r>
          </w:p>
        </w:tc>
        <w:tc>
          <w:tcPr>
            <w:tcW w:w="543"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p>
        </w:tc>
        <w:tc>
          <w:tcPr>
            <w:tcW w:w="488"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有效减轻</w:t>
            </w:r>
          </w:p>
        </w:tc>
        <w:tc>
          <w:tcPr>
            <w:tcW w:w="573"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p>
        </w:tc>
        <w:tc>
          <w:tcPr>
            <w:tcW w:w="1277"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《廊坊市城乡居民基本医疗保险实施细则》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21" w:type="dxa"/>
            <w:vMerge w:val="continue"/>
            <w:tcBorders>
              <w:tl2br w:val="nil"/>
              <w:tr2bl w:val="nil"/>
            </w:tcBorders>
            <w:vAlign w:val="center"/>
          </w:tcPr>
          <w:p>
            <w:pPr>
              <w:spacing w:line="584" w:lineRule="exact"/>
              <w:jc w:val="center"/>
            </w:pPr>
          </w:p>
        </w:tc>
        <w:tc>
          <w:tcPr>
            <w:tcW w:w="762"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经济</w:t>
            </w:r>
          </w:p>
          <w:p>
            <w:pPr>
              <w:widowControl/>
              <w:spacing w:line="24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效益</w:t>
            </w:r>
          </w:p>
        </w:tc>
        <w:tc>
          <w:tcPr>
            <w:tcW w:w="897"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政策知晓率</w:t>
            </w:r>
          </w:p>
        </w:tc>
        <w:tc>
          <w:tcPr>
            <w:tcW w:w="2172"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城乡居民知晓城乡医保政策比例</w:t>
            </w:r>
          </w:p>
        </w:tc>
        <w:tc>
          <w:tcPr>
            <w:tcW w:w="1483"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p>
        </w:tc>
        <w:tc>
          <w:tcPr>
            <w:tcW w:w="543"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val="en-US" w:eastAsia="zh-CN"/>
              </w:rPr>
              <w:t>≥</w:t>
            </w:r>
          </w:p>
        </w:tc>
        <w:tc>
          <w:tcPr>
            <w:tcW w:w="488" w:type="dxa"/>
            <w:tcBorders>
              <w:tl2br w:val="nil"/>
              <w:tr2bl w:val="nil"/>
            </w:tcBorders>
            <w:vAlign w:val="center"/>
          </w:tcPr>
          <w:p>
            <w:pPr>
              <w:widowControl/>
              <w:spacing w:line="24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95</w:t>
            </w:r>
          </w:p>
        </w:tc>
        <w:tc>
          <w:tcPr>
            <w:tcW w:w="573"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1277"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《廊坊市城乡居民基本医疗保险实施细则》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621" w:type="dxa"/>
            <w:vMerge w:val="continue"/>
            <w:tcBorders>
              <w:tl2br w:val="nil"/>
              <w:tr2bl w:val="nil"/>
            </w:tcBorders>
            <w:vAlign w:val="center"/>
          </w:tcPr>
          <w:p>
            <w:pPr>
              <w:spacing w:line="584" w:lineRule="exact"/>
              <w:jc w:val="center"/>
            </w:pPr>
          </w:p>
        </w:tc>
        <w:tc>
          <w:tcPr>
            <w:tcW w:w="762"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可持续影响</w:t>
            </w:r>
          </w:p>
        </w:tc>
        <w:tc>
          <w:tcPr>
            <w:tcW w:w="897" w:type="dxa"/>
            <w:tcBorders>
              <w:tl2br w:val="nil"/>
              <w:tr2bl w:val="nil"/>
            </w:tcBorders>
            <w:noWrap/>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可持续影响指标</w:t>
            </w:r>
          </w:p>
        </w:tc>
        <w:tc>
          <w:tcPr>
            <w:tcW w:w="2172" w:type="dxa"/>
            <w:tcBorders>
              <w:tl2br w:val="nil"/>
              <w:tr2bl w:val="nil"/>
            </w:tcBorders>
            <w:noWrap/>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人均财政投入水平</w:t>
            </w:r>
          </w:p>
        </w:tc>
        <w:tc>
          <w:tcPr>
            <w:tcW w:w="1483" w:type="dxa"/>
            <w:tcBorders>
              <w:tl2br w:val="nil"/>
              <w:tr2bl w:val="nil"/>
            </w:tcBorders>
            <w:noWrap/>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县级财政对每位人员资助标准</w:t>
            </w:r>
          </w:p>
        </w:tc>
        <w:tc>
          <w:tcPr>
            <w:tcW w:w="543" w:type="dxa"/>
            <w:tcBorders>
              <w:tl2br w:val="nil"/>
              <w:tr2bl w:val="nil"/>
            </w:tcBorders>
            <w:vAlign w:val="center"/>
          </w:tcPr>
          <w:p>
            <w:pPr>
              <w:widowControl/>
              <w:spacing w:line="24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488" w:type="dxa"/>
            <w:tcBorders>
              <w:tl2br w:val="nil"/>
              <w:tr2bl w:val="nil"/>
            </w:tcBorders>
            <w:vAlign w:val="center"/>
          </w:tcPr>
          <w:p>
            <w:pPr>
              <w:widowControl/>
              <w:spacing w:line="24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95</w:t>
            </w:r>
          </w:p>
        </w:tc>
        <w:tc>
          <w:tcPr>
            <w:tcW w:w="573"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1277"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《廊坊市城乡居民基本医疗保险实</w:t>
            </w:r>
          </w:p>
          <w:p>
            <w:pPr>
              <w:widowControl/>
              <w:spacing w:line="24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621" w:type="dxa"/>
            <w:vMerge w:val="continue"/>
            <w:tcBorders>
              <w:tl2br w:val="nil"/>
              <w:tr2bl w:val="nil"/>
            </w:tcBorders>
            <w:vAlign w:val="center"/>
          </w:tcPr>
          <w:p>
            <w:pPr>
              <w:spacing w:line="584" w:lineRule="exact"/>
              <w:jc w:val="center"/>
            </w:pPr>
          </w:p>
        </w:tc>
        <w:tc>
          <w:tcPr>
            <w:tcW w:w="762"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满意度</w:t>
            </w:r>
          </w:p>
        </w:tc>
        <w:tc>
          <w:tcPr>
            <w:tcW w:w="897" w:type="dxa"/>
            <w:tcBorders>
              <w:tl2br w:val="nil"/>
              <w:tr2bl w:val="nil"/>
            </w:tcBorders>
            <w:noWrap/>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患</w:t>
            </w:r>
            <w:r>
              <w:rPr>
                <w:rFonts w:hint="eastAsia" w:ascii="宋体" w:hAnsi="宋体" w:eastAsia="宋体" w:cs="宋体"/>
                <w:i w:val="0"/>
                <w:color w:val="000000"/>
                <w:kern w:val="0"/>
                <w:sz w:val="18"/>
                <w:szCs w:val="18"/>
                <w:u w:val="none"/>
                <w:lang w:val="en-US" w:eastAsia="zh-CN" w:bidi="ar"/>
              </w:rPr>
              <w:t>者</w:t>
            </w:r>
            <w:r>
              <w:rPr>
                <w:rFonts w:hint="eastAsia" w:ascii="仿宋" w:hAnsi="仿宋" w:eastAsia="仿宋" w:cs="仿宋"/>
                <w:color w:val="000000"/>
                <w:kern w:val="0"/>
                <w:sz w:val="21"/>
                <w:szCs w:val="21"/>
                <w:lang w:eastAsia="zh-CN"/>
              </w:rPr>
              <w:t>对本单位各项工作的满意度</w:t>
            </w:r>
          </w:p>
        </w:tc>
        <w:tc>
          <w:tcPr>
            <w:tcW w:w="2172" w:type="dxa"/>
            <w:tcBorders>
              <w:tl2br w:val="nil"/>
              <w:tr2bl w:val="nil"/>
            </w:tcBorders>
            <w:noWrap/>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患者对本单位各项工作的满意度</w:t>
            </w:r>
          </w:p>
        </w:tc>
        <w:tc>
          <w:tcPr>
            <w:tcW w:w="1483" w:type="dxa"/>
            <w:tcBorders>
              <w:tl2br w:val="nil"/>
              <w:tr2bl w:val="nil"/>
            </w:tcBorders>
            <w:noWrap/>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患者对本单位各项工作的满意度</w:t>
            </w:r>
          </w:p>
        </w:tc>
        <w:tc>
          <w:tcPr>
            <w:tcW w:w="543"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w:t>
            </w:r>
          </w:p>
        </w:tc>
        <w:tc>
          <w:tcPr>
            <w:tcW w:w="488"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95</w:t>
            </w:r>
          </w:p>
        </w:tc>
        <w:tc>
          <w:tcPr>
            <w:tcW w:w="573" w:type="dxa"/>
            <w:tcBorders>
              <w:tl2br w:val="nil"/>
              <w:tr2bl w:val="nil"/>
            </w:tcBorders>
            <w:vAlign w:val="center"/>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百分数</w:t>
            </w:r>
          </w:p>
        </w:tc>
        <w:tc>
          <w:tcPr>
            <w:tcW w:w="1277" w:type="dxa"/>
            <w:tcBorders>
              <w:tl2br w:val="nil"/>
              <w:tr2bl w:val="nil"/>
            </w:tcBorders>
            <w:vAlign w:val="top"/>
          </w:tcPr>
          <w:p>
            <w:pPr>
              <w:widowControl/>
              <w:spacing w:line="24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《廊坊市城乡居民基本医疗保险实施细则》</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eastAsia="zh-CN"/>
        </w:rPr>
        <w:t>大城县医疗保障局</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城乡医疗保险缴费</w:t>
      </w:r>
      <w:r>
        <w:rPr>
          <w:rFonts w:hint="eastAsia" w:ascii="Times New Roman" w:hAnsi="Times New Roman" w:eastAsia="仿宋_GB2312" w:cs="Times New Roman"/>
          <w:sz w:val="28"/>
          <w:lang w:val="en-US" w:eastAsia="zh-CN"/>
        </w:rPr>
        <w:t>-人员专项项目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default" w:ascii="Times New Roman" w:hAnsi="Times New Roman" w:eastAsia="仿宋_GB2312" w:cs="Times New Roman"/>
                <w:b/>
                <w:lang w:val="en-US"/>
              </w:rPr>
            </w:pPr>
            <w:r>
              <w:rPr>
                <w:rFonts w:hint="eastAsia" w:ascii="宋体" w:hAnsi="宋体" w:eastAsia="宋体" w:cs="宋体"/>
                <w:i w:val="0"/>
                <w:color w:val="000000"/>
                <w:kern w:val="0"/>
                <w:sz w:val="18"/>
                <w:szCs w:val="18"/>
                <w:u w:val="none"/>
                <w:lang w:val="en-US" w:eastAsia="zh-CN" w:bidi="ar"/>
              </w:rPr>
              <w:t>1、城乡居民参保率   2、参保完成率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参保缴费人数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全县城乡居民参加城乡居民医保人数</w:t>
            </w:r>
          </w:p>
        </w:tc>
        <w:tc>
          <w:tcPr>
            <w:tcW w:w="1843"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≤39万人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根据历年参保缴费情况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县级财政补助率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县级财政对参保缴费人员补助的完成比例</w:t>
            </w:r>
          </w:p>
        </w:tc>
        <w:tc>
          <w:tcPr>
            <w:tcW w:w="1843"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《廊坊市城乡居民基本医疗保险实施细则》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补助完成时间</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县级财政补助到位时间</w:t>
            </w:r>
          </w:p>
        </w:tc>
        <w:tc>
          <w:tcPr>
            <w:tcW w:w="1843"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≤12月</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《廊坊市城乡居民基本医疗保险实施细则》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成本指标</w:t>
            </w:r>
          </w:p>
        </w:tc>
        <w:tc>
          <w:tcPr>
            <w:tcW w:w="1985" w:type="dxa"/>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资金成本</w:t>
            </w:r>
          </w:p>
        </w:tc>
        <w:tc>
          <w:tcPr>
            <w:tcW w:w="3402" w:type="dxa"/>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资金成本</w:t>
            </w:r>
          </w:p>
        </w:tc>
        <w:tc>
          <w:tcPr>
            <w:tcW w:w="1843" w:type="dxa"/>
            <w:shd w:val="clear" w:color="auto" w:fill="auto"/>
            <w:vAlign w:val="top"/>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=122元</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《廊坊市城乡居民基本医疗保险实施细则》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可持续影响指标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人均财政投入水平</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县级财政对每位人员资助标准</w:t>
            </w:r>
          </w:p>
        </w:tc>
        <w:tc>
          <w:tcPr>
            <w:tcW w:w="1843"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《廊坊市城乡居民基本医疗保险实施细则》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经济效益指标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政策知晓率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城乡居民知晓城乡医保政策比例</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《廊坊市城乡居民基本医疗保险实施细则》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服务对象满意度</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服务对象满意度</w:t>
            </w:r>
          </w:p>
        </w:tc>
        <w:tc>
          <w:tcPr>
            <w:tcW w:w="18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《廊坊市城乡居民基本医疗保险实施细则》</w:t>
            </w:r>
          </w:p>
        </w:tc>
      </w:tr>
    </w:tbl>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eastAsia="zh-CN"/>
        </w:rPr>
        <w:t>大城县医疗保障局</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2023年建档立卡脱贫户生产生活补助金</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Times New Roman" w:hAnsi="Times New Roman" w:eastAsia="仿宋_GB2312" w:cs="Times New Roman"/>
                <w:b/>
                <w:lang w:eastAsia="zh-CN"/>
              </w:rPr>
            </w:pPr>
            <w:r>
              <w:rPr>
                <w:rFonts w:hint="eastAsia" w:ascii="宋体" w:hAnsi="宋体" w:eastAsia="宋体" w:cs="宋体"/>
                <w:i w:val="0"/>
                <w:color w:val="000000"/>
                <w:kern w:val="0"/>
                <w:sz w:val="18"/>
                <w:szCs w:val="18"/>
                <w:u w:val="none"/>
                <w:lang w:val="en-US" w:eastAsia="zh-CN" w:bidi="ar"/>
              </w:rPr>
              <w:t>提高建档立卡贫困户生活水平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发放建档立卡贫困户</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6户</w:t>
            </w:r>
          </w:p>
        </w:tc>
        <w:tc>
          <w:tcPr>
            <w:tcW w:w="1843" w:type="dxa"/>
            <w:shd w:val="clear" w:color="auto" w:fill="auto"/>
            <w:vAlign w:val="center"/>
          </w:tcPr>
          <w:p>
            <w:pPr>
              <w:spacing w:line="584"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6户</w:t>
            </w:r>
          </w:p>
        </w:tc>
        <w:tc>
          <w:tcPr>
            <w:tcW w:w="2155" w:type="dxa"/>
            <w:shd w:val="clear" w:color="auto" w:fill="auto"/>
            <w:vAlign w:val="center"/>
          </w:tcPr>
          <w:p>
            <w:pPr>
              <w:spacing w:line="584" w:lineRule="exact"/>
              <w:jc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根据扶贫方案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发放金额达标率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发放金额达标率</w:t>
            </w:r>
          </w:p>
        </w:tc>
        <w:tc>
          <w:tcPr>
            <w:tcW w:w="1843" w:type="dxa"/>
            <w:shd w:val="clear" w:color="auto" w:fill="auto"/>
            <w:vAlign w:val="center"/>
          </w:tcPr>
          <w:p>
            <w:pPr>
              <w:spacing w:line="584" w:lineRule="exact"/>
              <w:jc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≥90%</w:t>
            </w:r>
          </w:p>
        </w:tc>
        <w:tc>
          <w:tcPr>
            <w:tcW w:w="2155" w:type="dxa"/>
            <w:shd w:val="clear" w:color="auto" w:fill="auto"/>
            <w:vAlign w:val="center"/>
          </w:tcPr>
          <w:p>
            <w:pPr>
              <w:spacing w:line="584" w:lineRule="exact"/>
              <w:jc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根据扶贫方案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发放及时到位</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及时</w:t>
            </w:r>
          </w:p>
        </w:tc>
        <w:tc>
          <w:tcPr>
            <w:tcW w:w="1843" w:type="dxa"/>
            <w:shd w:val="clear" w:color="auto" w:fill="auto"/>
            <w:vAlign w:val="center"/>
          </w:tcPr>
          <w:p>
            <w:pPr>
              <w:spacing w:line="584"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12月</w:t>
            </w:r>
          </w:p>
        </w:tc>
        <w:tc>
          <w:tcPr>
            <w:tcW w:w="2155" w:type="dxa"/>
            <w:shd w:val="clear" w:color="auto" w:fill="auto"/>
            <w:vAlign w:val="center"/>
          </w:tcPr>
          <w:p>
            <w:pPr>
              <w:spacing w:line="584" w:lineRule="exact"/>
              <w:jc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根据扶贫方案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成本指标</w:t>
            </w:r>
          </w:p>
        </w:tc>
        <w:tc>
          <w:tcPr>
            <w:tcW w:w="1985" w:type="dxa"/>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资金成本</w:t>
            </w:r>
          </w:p>
        </w:tc>
        <w:tc>
          <w:tcPr>
            <w:tcW w:w="3402" w:type="dxa"/>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资金成本</w:t>
            </w:r>
          </w:p>
        </w:tc>
        <w:tc>
          <w:tcPr>
            <w:tcW w:w="1843" w:type="dxa"/>
            <w:shd w:val="clear" w:color="auto" w:fill="auto"/>
            <w:vAlign w:val="center"/>
          </w:tcPr>
          <w:p>
            <w:pPr>
              <w:spacing w:line="584"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1.2</w:t>
            </w:r>
          </w:p>
        </w:tc>
        <w:tc>
          <w:tcPr>
            <w:tcW w:w="2155" w:type="dxa"/>
            <w:shd w:val="clear" w:color="auto" w:fill="auto"/>
            <w:vAlign w:val="center"/>
          </w:tcPr>
          <w:p>
            <w:pPr>
              <w:spacing w:line="584" w:lineRule="exact"/>
              <w:jc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根据扶贫方案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维护社会稳定率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维护社会稳定，增加脱贫信心</w:t>
            </w:r>
          </w:p>
        </w:tc>
        <w:tc>
          <w:tcPr>
            <w:tcW w:w="1843" w:type="dxa"/>
            <w:shd w:val="clear" w:color="auto" w:fill="auto"/>
            <w:vAlign w:val="center"/>
          </w:tcPr>
          <w:p>
            <w:pPr>
              <w:spacing w:line="584" w:lineRule="exact"/>
              <w:jc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≥92%</w:t>
            </w:r>
          </w:p>
        </w:tc>
        <w:tc>
          <w:tcPr>
            <w:tcW w:w="2155" w:type="dxa"/>
            <w:shd w:val="clear" w:color="auto" w:fill="auto"/>
            <w:vAlign w:val="center"/>
          </w:tcPr>
          <w:p>
            <w:pPr>
              <w:spacing w:line="584" w:lineRule="exact"/>
              <w:jc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根据扶贫方案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可持续影响指标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维护社会</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有效维护</w:t>
            </w:r>
          </w:p>
        </w:tc>
        <w:tc>
          <w:tcPr>
            <w:tcW w:w="1843" w:type="dxa"/>
            <w:shd w:val="clear" w:color="auto" w:fill="auto"/>
            <w:vAlign w:val="center"/>
          </w:tcPr>
          <w:p>
            <w:pPr>
              <w:spacing w:line="584" w:lineRule="exact"/>
              <w:jc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≥95%</w:t>
            </w:r>
          </w:p>
        </w:tc>
        <w:tc>
          <w:tcPr>
            <w:tcW w:w="2155" w:type="dxa"/>
            <w:shd w:val="clear" w:color="auto" w:fill="auto"/>
            <w:vAlign w:val="center"/>
          </w:tcPr>
          <w:p>
            <w:pPr>
              <w:spacing w:line="584" w:lineRule="exact"/>
              <w:jc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根据扶贫方案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服务对象满意度指标</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服务对象满意度指标</w:t>
            </w:r>
          </w:p>
        </w:tc>
        <w:tc>
          <w:tcPr>
            <w:tcW w:w="1843" w:type="dxa"/>
            <w:shd w:val="clear" w:color="auto" w:fill="auto"/>
            <w:vAlign w:val="center"/>
          </w:tcPr>
          <w:p>
            <w:pPr>
              <w:spacing w:line="584" w:lineRule="exact"/>
              <w:jc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≥95%</w:t>
            </w:r>
          </w:p>
        </w:tc>
        <w:tc>
          <w:tcPr>
            <w:tcW w:w="2155" w:type="dxa"/>
            <w:shd w:val="clear" w:color="auto" w:fill="auto"/>
            <w:vAlign w:val="center"/>
          </w:tcPr>
          <w:p>
            <w:pPr>
              <w:spacing w:line="584" w:lineRule="exact"/>
              <w:jc w:val="center"/>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根据扶贫方案</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hint="eastAsia" w:ascii="Times New Roman" w:hAnsi="Times New Roman" w:eastAsia="仿宋_GB2312" w:cs="Times New Roman"/>
          <w:sz w:val="28"/>
          <w:lang w:eastAsia="zh-CN"/>
        </w:rPr>
        <w:t>大城县医疗保障局</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2023年省级财政城乡社会保险代办员补助资金-上级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提高代办员城乡医疗保险缴费业务水平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补贴人数</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协办员专项补贴资金涉及人数</w:t>
            </w:r>
          </w:p>
        </w:tc>
        <w:tc>
          <w:tcPr>
            <w:tcW w:w="1843" w:type="dxa"/>
            <w:shd w:val="clear" w:color="auto" w:fill="auto"/>
            <w:vAlign w:val="center"/>
          </w:tcPr>
          <w:p>
            <w:pPr>
              <w:spacing w:line="584" w:lineRule="exact"/>
              <w:jc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≤400人</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根据全县乡镇村街数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奖励数量</w:t>
            </w:r>
          </w:p>
        </w:tc>
        <w:tc>
          <w:tcPr>
            <w:tcW w:w="34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获得奖励的乡镇数量</w:t>
            </w:r>
          </w:p>
        </w:tc>
        <w:tc>
          <w:tcPr>
            <w:tcW w:w="1843" w:type="dxa"/>
            <w:shd w:val="clear" w:color="auto" w:fill="auto"/>
            <w:vAlign w:val="center"/>
          </w:tcPr>
          <w:p>
            <w:pPr>
              <w:spacing w:line="584" w:lineRule="exact"/>
              <w:jc w:val="center"/>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≤3个</w:t>
            </w:r>
          </w:p>
        </w:tc>
        <w:tc>
          <w:tcPr>
            <w:tcW w:w="21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根据乡镇数量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时效指标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资金发放率</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奖励资金和专项补贴资金发放率</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《大城县2023年度城乡居民基本医疗保险征缴方案》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成本指标</w:t>
            </w:r>
          </w:p>
        </w:tc>
        <w:tc>
          <w:tcPr>
            <w:tcW w:w="1985"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奖励时间</w:t>
            </w:r>
          </w:p>
        </w:tc>
        <w:tc>
          <w:tcPr>
            <w:tcW w:w="3402"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奖励时间为缴费结束后</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2155"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《大城县2023年度城乡居民基本医疗保险征缴方案》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效果指标</w:t>
            </w: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社会效益指标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奖励金额</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政府奖励资金和专项补贴资金</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≥4万元</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《大城县2023年度城乡居民基本医疗保险征缴方案》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经济效益指标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2023年参保率</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反映2023年参保率</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《大城县2023年度城乡居民基本医疗保险征缴方案》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满意度指标</w:t>
            </w: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服务对象满意度指标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城乡医保参保率</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提高城乡居民参保率</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《大城县2023年度城乡居民基本医疗保险征缴方案》</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大城县医疗保障局</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2023年中央财政医疗服务与保障能力提升补助资金-上级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color w:val="000000"/>
                <w:kern w:val="0"/>
                <w:sz w:val="18"/>
                <w:szCs w:val="18"/>
                <w:u w:val="none"/>
                <w:lang w:val="en-US" w:eastAsia="zh-CN" w:bidi="ar"/>
              </w:rPr>
              <w:t>医疗服务与保障能力提升补助资金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数量指标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对定点医药机构监督检查。</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通过检查和现代化技术手段规范定点医疗机构的医疗服务行为</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≥2次</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《廊坊市人民政府关于落实河北省医疗保障基金监管办法的实施意见》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通过学习经验和提升监管手段，提高监管水平</w:t>
            </w:r>
          </w:p>
        </w:tc>
        <w:tc>
          <w:tcPr>
            <w:tcW w:w="3402" w:type="dxa"/>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全面监管定点医药机构违规行为</w:t>
            </w:r>
          </w:p>
        </w:tc>
        <w:tc>
          <w:tcPr>
            <w:tcW w:w="1843" w:type="dxa"/>
            <w:shd w:val="clear" w:color="auto" w:fill="auto"/>
            <w:vAlign w:val="center"/>
          </w:tcPr>
          <w:p>
            <w:pPr>
              <w:keepNext w:val="0"/>
              <w:keepLines w:val="0"/>
              <w:widowControl/>
              <w:suppressLineNumbers w:val="0"/>
              <w:jc w:val="center"/>
              <w:textAlignment w:val="top"/>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2155" w:type="dxa"/>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《廊坊市人民政府关于落实河北省医疗保障基金监管办法的实施意见》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时效指标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支出时效</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工作完成时间</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＜12月</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《廊坊市人民政府关于落实河北省医疗保障基金监管办法的实施意见》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成本指标</w:t>
            </w:r>
          </w:p>
        </w:tc>
        <w:tc>
          <w:tcPr>
            <w:tcW w:w="1985"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人均财政投入水平</w:t>
            </w:r>
          </w:p>
        </w:tc>
        <w:tc>
          <w:tcPr>
            <w:tcW w:w="3402"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保障医保基金安全</w:t>
            </w:r>
          </w:p>
        </w:tc>
        <w:tc>
          <w:tcPr>
            <w:tcW w:w="1843"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≤8万</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《廊坊市人民政府关于落实河北省医疗保障基金监管办法的实施意见》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效果指标</w:t>
            </w: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经济效益指标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产生效益</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提升能力</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《廊坊市人民政府关于落实河北省医疗保障基金监管办法的实施意见》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社会效益指标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社会影响</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社会影响</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≤92%</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《廊坊市人民政府关于落实河北省医疗保障基金监管办法的实施意见》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满意度指标</w:t>
            </w: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服务对象满意度指标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服务对象满意度</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服务对象满意度</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≤92%</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《廊坊市人民政府关于落实河北省医疗保障基金监管办法的实施意见》</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大城县医疗保障局</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劳务派遣人员工资及保险</w:t>
      </w:r>
      <w:r>
        <w:rPr>
          <w:rFonts w:hint="eastAsia" w:ascii="Times New Roman" w:hAnsi="Times New Roman" w:eastAsia="仿宋_GB2312" w:cs="Times New Roman"/>
          <w:sz w:val="28"/>
          <w:lang w:val="en-US" w:eastAsia="zh-CN"/>
        </w:rPr>
        <w:t>-人员专项项目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color w:val="000000"/>
                <w:kern w:val="0"/>
                <w:sz w:val="18"/>
                <w:szCs w:val="18"/>
                <w:u w:val="none"/>
                <w:lang w:val="en-US" w:eastAsia="zh-CN" w:bidi="ar"/>
              </w:rPr>
              <w:t>提高医疗保险业务水平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数量指标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项目完成率</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项目实际完成量占年度计划完成量的比例</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=10人</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大医保【2019】29号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质量指标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财政拨款保障率</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辅助管理人员（工勤人员）经费实际财政拨款标准占《监狱基本支出经费标准》规定标准的比率</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≥90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大医保【2019】29号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时效指标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工作按时完成率</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工作按时完成率</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大医保【2019】29号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top"/>
              <w:outlineLvl w:val="9"/>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成本指标</w:t>
            </w:r>
          </w:p>
        </w:tc>
        <w:tc>
          <w:tcPr>
            <w:tcW w:w="1985"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top"/>
              <w:outlineLvl w:val="9"/>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资金投入总额</w:t>
            </w:r>
          </w:p>
        </w:tc>
        <w:tc>
          <w:tcPr>
            <w:tcW w:w="3402"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top"/>
              <w:outlineLvl w:val="9"/>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省级财政下拨预算资金</w:t>
            </w:r>
          </w:p>
        </w:tc>
        <w:tc>
          <w:tcPr>
            <w:tcW w:w="1843"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top"/>
              <w:outlineLvl w:val="9"/>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=41.4万元</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大医保【2019】29号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社会效益指标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对社会经济发展的影响</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对社会经济发展的影响</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rPr>
            </w:pPr>
            <w:r>
              <w:rPr>
                <w:rFonts w:hint="eastAsia" w:ascii="宋体" w:hAnsi="宋体" w:eastAsia="宋体" w:cs="宋体"/>
                <w:i w:val="0"/>
                <w:color w:val="000000"/>
                <w:kern w:val="0"/>
                <w:sz w:val="18"/>
                <w:szCs w:val="18"/>
                <w:u w:val="none"/>
                <w:lang w:val="en-US" w:eastAsia="zh-CN" w:bidi="ar"/>
              </w:rPr>
              <w:t>≥90%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大医保【2019】29号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可持续影响指标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综合利用率</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综合利用率</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≥90%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大医保【2019】29号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服务对象满意度指标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服务对象满意度</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服务对象满意度</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宋体" w:hAnsi="宋体" w:eastAsia="宋体" w:cs="宋体"/>
                <w:i w:val="0"/>
                <w:color w:val="000000"/>
                <w:kern w:val="0"/>
                <w:sz w:val="18"/>
                <w:szCs w:val="18"/>
                <w:u w:val="none"/>
                <w:lang w:val="en-US" w:eastAsia="zh-CN" w:bidi="ar"/>
              </w:rPr>
              <w:t>大医保【2019】29号</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大城县医疗保障局</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城乡医疗保险缴费</w:t>
      </w:r>
      <w:r>
        <w:rPr>
          <w:rFonts w:hint="eastAsia" w:ascii="Times New Roman" w:hAnsi="Times New Roman" w:eastAsia="仿宋_GB2312" w:cs="Times New Roman"/>
          <w:sz w:val="28"/>
          <w:lang w:val="en-US" w:eastAsia="zh-CN"/>
        </w:rPr>
        <w:t>-人员专项项目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jc w:val="center"/>
              <w:rPr>
                <w:rFonts w:hint="default" w:ascii="Times New Roman" w:hAnsi="Times New Roman" w:eastAsia="仿宋_GB2312" w:cs="Times New Roman"/>
                <w:b/>
                <w:lang w:val="en-US"/>
              </w:rPr>
            </w:pPr>
            <w:r>
              <w:rPr>
                <w:rFonts w:hint="eastAsia" w:ascii="Times New Roman" w:hAnsi="Times New Roman" w:eastAsia="仿宋_GB2312" w:cs="Times New Roman"/>
                <w:b/>
                <w:lang w:val="en-US" w:eastAsia="zh-CN"/>
              </w:rPr>
              <w:t>1、城乡居民参保率   2、参保完成率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产出指标</w:t>
            </w: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数量指标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参保缴费人数</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全县城乡居民参加城乡居民医保人数</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≤39万人</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根据历年参保缴费情况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质量指标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县级财政补助率</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县级财政对参保缴费人员补助的完成比例</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《廊坊市城乡居民基本医疗保险实施细则》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时效指标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补助完成时间</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县级财政补助到位时间</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≤12月</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《廊坊市城乡居民基本医疗保险实施细则》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成本指标</w:t>
            </w:r>
          </w:p>
        </w:tc>
        <w:tc>
          <w:tcPr>
            <w:tcW w:w="1985"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资金成本</w:t>
            </w:r>
          </w:p>
        </w:tc>
        <w:tc>
          <w:tcPr>
            <w:tcW w:w="3402"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资金成本</w:t>
            </w:r>
          </w:p>
        </w:tc>
        <w:tc>
          <w:tcPr>
            <w:tcW w:w="1843"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=350元</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《廊坊市城乡居民基本医疗保险实施细则》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效果指标</w:t>
            </w: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可持续影响指标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人均财政投入水平</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县级财政对每位人员资助标准</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《廊坊市城乡居民基本医疗保险实施细则》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经济效益指标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政策知晓率</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城乡居民知晓城乡医保政策比例</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《廊坊市城乡居民基本医疗保险实施细则》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服务对象满意度指标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服务对象满意度</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服务对象满意度</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《廊坊市城乡居民基本医疗保险实施细则》</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7、大城县医疗保障局</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城乡医疗救助</w:t>
      </w:r>
      <w:r>
        <w:rPr>
          <w:rFonts w:hint="eastAsia" w:ascii="Times New Roman" w:hAnsi="Times New Roman" w:eastAsia="仿宋_GB2312" w:cs="Times New Roman"/>
          <w:sz w:val="28"/>
          <w:lang w:val="en-US" w:eastAsia="zh-CN"/>
        </w:rPr>
        <w:t>-人员专项项目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color w:val="000000"/>
                <w:kern w:val="0"/>
                <w:sz w:val="18"/>
                <w:szCs w:val="18"/>
                <w:u w:val="none"/>
                <w:lang w:val="en-US" w:eastAsia="zh-CN" w:bidi="ar"/>
              </w:rPr>
              <w:t>保障广大居民医保人员就医保障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产出指标</w:t>
            </w: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数量指标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医疗救助救助人次</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贫困人员住院人次</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≥90人次</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《廊坊市人民政府令》【2008】2号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质量指标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对于符合规定的困难人员全部救助到位</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救助到位率</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《廊坊市人民政府令》【2008】2号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时效指标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任务完成时间</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一年度内所有申报医疗救助人员拨付完毕</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12月</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《廊坊市人民政府令》【2008】2号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p>
        </w:tc>
        <w:tc>
          <w:tcPr>
            <w:tcW w:w="2268"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成本指标</w:t>
            </w:r>
          </w:p>
        </w:tc>
        <w:tc>
          <w:tcPr>
            <w:tcW w:w="1985"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需要成本</w:t>
            </w:r>
          </w:p>
        </w:tc>
        <w:tc>
          <w:tcPr>
            <w:tcW w:w="3402"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住院人数成本</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《廊坊市人民政府令》【2008】2号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效果指标</w:t>
            </w: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经济效益指标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政策知晓率</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城乡医疗救助政策</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《廊坊市人民政府令》【2008】2号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社会效益指标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社会效益</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社会产生效益</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《廊坊市人民政府令》【2008】2号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满意度指标</w:t>
            </w: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服务对象满意度指标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救助人员满意</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群众满意度</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《廊坊市人民政府令》【2008】2号</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8.大城县医疗保障局（大病医疗救助-人员专项项目）绩效目标表</w:t>
      </w: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绩效目标</w:t>
            </w:r>
          </w:p>
        </w:tc>
        <w:tc>
          <w:tcPr>
            <w:tcW w:w="11653"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保障广大居民医保人员就医保障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一级指标</w:t>
            </w: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二级指标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三级指标</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绩效指标描述</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指标值</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产出指标</w:t>
            </w: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数量指标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医疗救助救助人次</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贫困人员住院人次</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≥90人次</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《廊坊市人民政府令》【2008】2号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质量指标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对于符合规定的困难人员全部救助到位</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救助到位率</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《廊坊市人民政府令》【2008】2号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时效指标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任务完成时间</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一年度内所有申报医疗救助人员拨付完毕</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12月</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《廊坊市人民政府令》【2008】2号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p>
        </w:tc>
        <w:tc>
          <w:tcPr>
            <w:tcW w:w="2268"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成本指标</w:t>
            </w:r>
          </w:p>
        </w:tc>
        <w:tc>
          <w:tcPr>
            <w:tcW w:w="1985"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需要成本</w:t>
            </w:r>
          </w:p>
        </w:tc>
        <w:tc>
          <w:tcPr>
            <w:tcW w:w="3402"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住院人数成本</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《廊坊市人民政府令》【2008】2号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效果指标</w:t>
            </w: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经济效益指标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政策知晓率</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城乡医疗救助政策</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《廊坊市人民政府令》【2008】2号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社会效益指标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社会效益</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社会产生效益</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《廊坊市人民政府令》【2008】2号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满意度指标</w:t>
            </w: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服务对象满意度指标</w:t>
            </w:r>
          </w:p>
        </w:tc>
        <w:tc>
          <w:tcPr>
            <w:tcW w:w="19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救助人员满意</w:t>
            </w:r>
          </w:p>
        </w:tc>
        <w:tc>
          <w:tcPr>
            <w:tcW w:w="34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群众满意度</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《廊坊市人民政府令》【2008】2号</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spacing w:line="584" w:lineRule="exact"/>
        <w:outlineLvl w:val="1"/>
        <w:rPr>
          <w:rFonts w:hint="eastAsia"/>
          <w:lang w:eastAsia="zh-CN"/>
        </w:rPr>
      </w:pPr>
    </w:p>
    <w:p>
      <w:pPr>
        <w:spacing w:line="584" w:lineRule="exact"/>
        <w:outlineLvl w:val="1"/>
        <w:rPr>
          <w:rFonts w:hint="eastAsia"/>
          <w:lang w:eastAsia="zh-CN"/>
        </w:rPr>
      </w:pPr>
    </w:p>
    <w:p>
      <w:pPr>
        <w:spacing w:line="584" w:lineRule="exact"/>
        <w:outlineLvl w:val="1"/>
        <w:rPr>
          <w:rFonts w:hint="eastAsia"/>
          <w:lang w:eastAsia="zh-CN"/>
        </w:rPr>
      </w:pPr>
    </w:p>
    <w:p>
      <w:pPr>
        <w:spacing w:line="584" w:lineRule="exact"/>
        <w:outlineLvl w:val="1"/>
        <w:rPr>
          <w:rFonts w:ascii="方正小标宋_GBK" w:eastAsia="方正小标宋_GBK" w:cs="Times New Roman"/>
          <w:sz w:val="32"/>
        </w:rPr>
      </w:pPr>
      <w:r>
        <w:rPr>
          <w:rFonts w:hint="eastAsia"/>
          <w:lang w:eastAsia="zh-CN"/>
        </w:rPr>
        <w:t>大城县医疗保障局</w:t>
      </w:r>
      <w:r>
        <w:t xml:space="preserve">                                                                                                           单位：万元</w:t>
      </w:r>
    </w:p>
    <w:tbl>
      <w:tblPr>
        <w:tblStyle w:val="9"/>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7"/>
              <w:spacing w:line="584" w:lineRule="exact"/>
            </w:pPr>
            <w:r>
              <w:t>政府采购项目来源</w:t>
            </w:r>
          </w:p>
        </w:tc>
        <w:tc>
          <w:tcPr>
            <w:tcW w:w="1134" w:type="dxa"/>
            <w:vMerge w:val="restart"/>
            <w:vAlign w:val="center"/>
          </w:tcPr>
          <w:p>
            <w:pPr>
              <w:pStyle w:val="17"/>
              <w:spacing w:line="584" w:lineRule="exact"/>
            </w:pPr>
            <w:r>
              <w:t>采购物品名称</w:t>
            </w:r>
          </w:p>
        </w:tc>
        <w:tc>
          <w:tcPr>
            <w:tcW w:w="1134" w:type="dxa"/>
            <w:vMerge w:val="restart"/>
            <w:vAlign w:val="center"/>
          </w:tcPr>
          <w:p>
            <w:pPr>
              <w:pStyle w:val="17"/>
              <w:spacing w:line="584" w:lineRule="exact"/>
            </w:pPr>
            <w:r>
              <w:t>政府采购目录序号</w:t>
            </w:r>
          </w:p>
        </w:tc>
        <w:tc>
          <w:tcPr>
            <w:tcW w:w="709" w:type="dxa"/>
            <w:vMerge w:val="restart"/>
            <w:vAlign w:val="center"/>
          </w:tcPr>
          <w:p>
            <w:pPr>
              <w:pStyle w:val="17"/>
              <w:spacing w:line="584" w:lineRule="exact"/>
            </w:pPr>
            <w:r>
              <w:t>计量  单位</w:t>
            </w:r>
          </w:p>
        </w:tc>
        <w:tc>
          <w:tcPr>
            <w:tcW w:w="850" w:type="dxa"/>
            <w:vMerge w:val="restart"/>
            <w:vAlign w:val="center"/>
          </w:tcPr>
          <w:p>
            <w:pPr>
              <w:pStyle w:val="17"/>
              <w:spacing w:line="584" w:lineRule="exact"/>
            </w:pPr>
            <w:r>
              <w:t>数量</w:t>
            </w:r>
          </w:p>
        </w:tc>
        <w:tc>
          <w:tcPr>
            <w:tcW w:w="850" w:type="dxa"/>
            <w:vMerge w:val="restart"/>
            <w:vAlign w:val="center"/>
          </w:tcPr>
          <w:p>
            <w:pPr>
              <w:pStyle w:val="17"/>
              <w:spacing w:line="584" w:lineRule="exact"/>
            </w:pPr>
            <w:r>
              <w:t>单价</w:t>
            </w:r>
          </w:p>
        </w:tc>
        <w:tc>
          <w:tcPr>
            <w:tcW w:w="7712" w:type="dxa"/>
            <w:gridSpan w:val="8"/>
            <w:vAlign w:val="center"/>
          </w:tcPr>
          <w:p>
            <w:pPr>
              <w:pStyle w:val="17"/>
              <w:spacing w:line="584" w:lineRule="exact"/>
            </w:pPr>
            <w:r>
              <w:t>政府采购金额（当年</w:t>
            </w:r>
            <w:r>
              <w:rPr>
                <w:rFonts w:hint="eastAsia"/>
                <w:lang w:eastAsia="zh-CN"/>
              </w:rPr>
              <w:t>单位</w:t>
            </w:r>
            <w:r>
              <w:t>预算安排资金）</w:t>
            </w:r>
          </w:p>
        </w:tc>
        <w:tc>
          <w:tcPr>
            <w:tcW w:w="964" w:type="dxa"/>
            <w:vMerge w:val="restart"/>
            <w:vAlign w:val="center"/>
          </w:tcPr>
          <w:p>
            <w:pPr>
              <w:pStyle w:val="17"/>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7"/>
              <w:spacing w:line="584" w:lineRule="exact"/>
            </w:pPr>
            <w:r>
              <w:t>项目名称</w:t>
            </w:r>
          </w:p>
        </w:tc>
        <w:tc>
          <w:tcPr>
            <w:tcW w:w="964" w:type="dxa"/>
            <w:vAlign w:val="center"/>
          </w:tcPr>
          <w:p>
            <w:pPr>
              <w:pStyle w:val="17"/>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7"/>
              <w:spacing w:line="584" w:lineRule="exact"/>
            </w:pPr>
            <w:r>
              <w:t>合计</w:t>
            </w:r>
          </w:p>
        </w:tc>
        <w:tc>
          <w:tcPr>
            <w:tcW w:w="964" w:type="dxa"/>
            <w:vAlign w:val="center"/>
          </w:tcPr>
          <w:p>
            <w:pPr>
              <w:pStyle w:val="17"/>
              <w:spacing w:line="584" w:lineRule="exact"/>
            </w:pPr>
            <w:r>
              <w:t>一般公共预算拨款</w:t>
            </w:r>
          </w:p>
        </w:tc>
        <w:tc>
          <w:tcPr>
            <w:tcW w:w="964" w:type="dxa"/>
            <w:vAlign w:val="center"/>
          </w:tcPr>
          <w:p>
            <w:pPr>
              <w:pStyle w:val="17"/>
              <w:spacing w:line="584" w:lineRule="exact"/>
            </w:pPr>
            <w:r>
              <w:t>基金预算拨款</w:t>
            </w:r>
          </w:p>
        </w:tc>
        <w:tc>
          <w:tcPr>
            <w:tcW w:w="964" w:type="dxa"/>
            <w:vAlign w:val="center"/>
          </w:tcPr>
          <w:p>
            <w:pPr>
              <w:pStyle w:val="17"/>
              <w:spacing w:line="584" w:lineRule="exact"/>
            </w:pPr>
            <w:r>
              <w:t>国有资本经营预算拨款</w:t>
            </w:r>
          </w:p>
        </w:tc>
        <w:tc>
          <w:tcPr>
            <w:tcW w:w="964" w:type="dxa"/>
            <w:vAlign w:val="center"/>
          </w:tcPr>
          <w:p>
            <w:pPr>
              <w:pStyle w:val="17"/>
              <w:spacing w:line="584" w:lineRule="exact"/>
            </w:pPr>
            <w:r>
              <w:t>财政专户核拨</w:t>
            </w:r>
          </w:p>
        </w:tc>
        <w:tc>
          <w:tcPr>
            <w:tcW w:w="964" w:type="dxa"/>
            <w:vAlign w:val="center"/>
          </w:tcPr>
          <w:p>
            <w:pPr>
              <w:pStyle w:val="17"/>
              <w:spacing w:line="584" w:lineRule="exact"/>
            </w:pPr>
            <w:r>
              <w:t>单位    资金</w:t>
            </w:r>
          </w:p>
        </w:tc>
        <w:tc>
          <w:tcPr>
            <w:tcW w:w="964" w:type="dxa"/>
            <w:vAlign w:val="center"/>
          </w:tcPr>
          <w:p>
            <w:pPr>
              <w:pStyle w:val="17"/>
              <w:spacing w:line="584" w:lineRule="exact"/>
            </w:pPr>
            <w:r>
              <w:t>财政拨    款结转</w:t>
            </w:r>
          </w:p>
        </w:tc>
        <w:tc>
          <w:tcPr>
            <w:tcW w:w="964" w:type="dxa"/>
            <w:vAlign w:val="center"/>
          </w:tcPr>
          <w:p>
            <w:pPr>
              <w:pStyle w:val="17"/>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pPr>
            <w:r>
              <w:t>合  计</w:t>
            </w: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pP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9"/>
              <w:spacing w:line="584" w:lineRule="exact"/>
            </w:pPr>
          </w:p>
        </w:tc>
        <w:tc>
          <w:tcPr>
            <w:tcW w:w="964" w:type="dxa"/>
            <w:vAlign w:val="center"/>
          </w:tcPr>
          <w:p>
            <w:pPr>
              <w:pStyle w:val="18"/>
              <w:spacing w:line="584" w:lineRule="exact"/>
            </w:pPr>
          </w:p>
        </w:tc>
        <w:tc>
          <w:tcPr>
            <w:tcW w:w="1134" w:type="dxa"/>
            <w:vAlign w:val="center"/>
          </w:tcPr>
          <w:p>
            <w:pPr>
              <w:pStyle w:val="19"/>
              <w:spacing w:line="584" w:lineRule="exact"/>
            </w:pPr>
          </w:p>
        </w:tc>
        <w:tc>
          <w:tcPr>
            <w:tcW w:w="1134" w:type="dxa"/>
            <w:vAlign w:val="center"/>
          </w:tcPr>
          <w:p>
            <w:pPr>
              <w:pStyle w:val="19"/>
              <w:spacing w:line="584" w:lineRule="exact"/>
            </w:pPr>
          </w:p>
        </w:tc>
        <w:tc>
          <w:tcPr>
            <w:tcW w:w="709" w:type="dxa"/>
            <w:vAlign w:val="center"/>
          </w:tcPr>
          <w:p>
            <w:pPr>
              <w:pStyle w:val="20"/>
              <w:spacing w:line="584" w:lineRule="exact"/>
            </w:pPr>
          </w:p>
        </w:tc>
        <w:tc>
          <w:tcPr>
            <w:tcW w:w="850" w:type="dxa"/>
            <w:vAlign w:val="center"/>
          </w:tcPr>
          <w:p>
            <w:pPr>
              <w:pStyle w:val="18"/>
              <w:spacing w:line="584" w:lineRule="exact"/>
            </w:pPr>
          </w:p>
        </w:tc>
        <w:tc>
          <w:tcPr>
            <w:tcW w:w="850"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大城县医疗保障局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104.069062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大城县医疗保障局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104.069062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31.72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196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72.349062</w:t>
            </w:r>
            <w:bookmarkStart w:id="2" w:name="_GoBack"/>
            <w:bookmarkEnd w:id="2"/>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5"/>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IxYmMzNzE2MmM1ZTRhOTc5YTZkOGVjNzYzNmZlMmQ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3457"/>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12D646B"/>
    <w:rsid w:val="04D16B6C"/>
    <w:rsid w:val="0D056D4D"/>
    <w:rsid w:val="0E1965EC"/>
    <w:rsid w:val="13E306DA"/>
    <w:rsid w:val="14C371BF"/>
    <w:rsid w:val="155E5F87"/>
    <w:rsid w:val="1B1D7A72"/>
    <w:rsid w:val="1B6E4190"/>
    <w:rsid w:val="1C502F39"/>
    <w:rsid w:val="282A246A"/>
    <w:rsid w:val="36054027"/>
    <w:rsid w:val="38F17E51"/>
    <w:rsid w:val="3D1C6D2A"/>
    <w:rsid w:val="3E8B454E"/>
    <w:rsid w:val="3F3257AC"/>
    <w:rsid w:val="3F655022"/>
    <w:rsid w:val="538F4625"/>
    <w:rsid w:val="53BF53B9"/>
    <w:rsid w:val="55440103"/>
    <w:rsid w:val="57E040E2"/>
    <w:rsid w:val="673B57FC"/>
    <w:rsid w:val="687D1153"/>
    <w:rsid w:val="6A136582"/>
    <w:rsid w:val="6B1D22BB"/>
    <w:rsid w:val="6C2731BD"/>
    <w:rsid w:val="6E50711C"/>
    <w:rsid w:val="72631CEE"/>
    <w:rsid w:val="7DC9346F"/>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autoSpaceDE w:val="0"/>
      <w:autoSpaceDN w:val="0"/>
      <w:jc w:val="left"/>
    </w:pPr>
    <w:rPr>
      <w:rFonts w:ascii="微软雅黑" w:hAnsi="微软雅黑" w:eastAsia="微软雅黑" w:cs="微软雅黑"/>
      <w:kern w:val="0"/>
      <w:sz w:val="32"/>
      <w:szCs w:val="32"/>
      <w:lang w:val="zh-CN" w:bidi="zh-CN"/>
    </w:rPr>
  </w:style>
  <w:style w:type="paragraph" w:styleId="3">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Balloon Text"/>
    <w:basedOn w:val="1"/>
    <w:link w:val="14"/>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6">
    <w:name w:val="toc 1"/>
    <w:basedOn w:val="1"/>
    <w:next w:val="1"/>
    <w:qFormat/>
    <w:uiPriority w:val="39"/>
    <w:rPr>
      <w:rFonts w:ascii="Times New Roman" w:hAnsi="Times New Roman" w:eastAsia="宋体" w:cs="Times New Roman"/>
      <w:szCs w:val="24"/>
    </w:rPr>
  </w:style>
  <w:style w:type="paragraph" w:styleId="7">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footnote reference"/>
    <w:semiHidden/>
    <w:unhideWhenUsed/>
    <w:qFormat/>
    <w:uiPriority w:val="99"/>
    <w:rPr>
      <w:vertAlign w:val="superscript"/>
    </w:rPr>
  </w:style>
  <w:style w:type="character" w:customStyle="1" w:styleId="12">
    <w:name w:val="页眉 Char"/>
    <w:basedOn w:val="10"/>
    <w:link w:val="3"/>
    <w:qFormat/>
    <w:uiPriority w:val="99"/>
    <w:rPr>
      <w:rFonts w:ascii="Times New Roman" w:hAnsi="Times New Roman" w:eastAsia="宋体" w:cs="Times New Roman"/>
      <w:sz w:val="18"/>
      <w:szCs w:val="18"/>
    </w:rPr>
  </w:style>
  <w:style w:type="character" w:customStyle="1" w:styleId="13">
    <w:name w:val="页脚 Char"/>
    <w:basedOn w:val="10"/>
    <w:link w:val="5"/>
    <w:qFormat/>
    <w:uiPriority w:val="99"/>
    <w:rPr>
      <w:rFonts w:ascii="Times New Roman" w:hAnsi="Times New Roman" w:eastAsia="宋体" w:cs="Times New Roman"/>
      <w:sz w:val="18"/>
      <w:szCs w:val="18"/>
    </w:rPr>
  </w:style>
  <w:style w:type="character" w:customStyle="1" w:styleId="14">
    <w:name w:val="批注框文本 Char"/>
    <w:basedOn w:val="10"/>
    <w:link w:val="4"/>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7"/>
    <w:semiHidden/>
    <w:qFormat/>
    <w:uiPriority w:val="99"/>
    <w:rPr>
      <w:rFonts w:ascii="Calibri" w:hAnsi="Calibri" w:eastAsia="宋体" w:cs="Times New Roman"/>
      <w:sz w:val="18"/>
      <w:szCs w:val="18"/>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7714</Words>
  <Characters>8094</Characters>
  <Lines>35</Lines>
  <Paragraphs>10</Paragraphs>
  <TotalTime>28</TotalTime>
  <ScaleCrop>false</ScaleCrop>
  <LinksUpToDate>false</LinksUpToDate>
  <CharactersWithSpaces>8293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2023-03-17T08:11:56Z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E0DCD2FAFD4C4EC78104898D7A030BBD</vt:lpwstr>
  </property>
</Properties>
</file>