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大城县红十字会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大城县红十字会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1280" w:firstLineChars="4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根据《大城县红十字会职能配置、内设机构和人员编制规定》， 大城县红十字会的主要职责是：</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宣传、贯彻和落实《中华人民共和国红十字会法》和中国红十字会总会制定的各项工作方针、政策。</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开展救灾准备工作，组织社会开展募捐、接受国内外援助、监督救灾款物使用。</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开展人道领域内的社会服务和社会公益活动；组织开展群众性的初级卫生救护训练和现场急救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参与推动无偿献血和非血缘关系骨髓移植供者的动员、宣传、组织以及供髓者资料数据的储存、检索工作。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组织开展红十字青少年工作。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向社会宣传红十字会与新月运动确立的基本原则、日内瓦公约及附加议定书各项法律法规。</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承办县政府交办的其他工作。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大城县红十字会</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副科级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财政性资金基本保证</w:t>
            </w:r>
          </w:p>
        </w:tc>
      </w:tr>
    </w:tbl>
    <w:p>
      <w:pPr>
        <w:spacing w:line="584" w:lineRule="exact"/>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按照预算管理有关规定，目前我县部门预算的编制实行综合预算制度，即全部收入和支出都反映在预算中。大城县红十字会机关的收支包含在部门预算中。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反映本部门当年全部收入。2023年预算收入79.26万元，其中：一般公共预算收入79.26万元，基金预算收入0万元，财政专户核拨收入0万元，其他来源收入0万元，上年结转0万元。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收支预算总表支出栏、基本支出表、项目支出表按经济分类和支出功能分类科目编制，反映我局2023年度部门预算中支出预算的总体情况。2023年支出预算79.26万元，其中基本支出79.26万元，包括人员类项目经费72.58万元和运转类公用项目经费6.68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2023年预算收支安排79.26万元，较2022年预算增加18.2</w:t>
      </w:r>
      <w:r>
        <w:rPr>
          <w:rFonts w:hint="eastAsia" w:ascii="仿宋_GB2312" w:eastAsia="仿宋_GB2312" w:cs="Times New Roman"/>
          <w:kern w:val="2"/>
          <w:sz w:val="32"/>
          <w:szCs w:val="32"/>
          <w:lang w:val="en-US" w:eastAsia="zh-CN" w:bidi="ar-SA"/>
        </w:rPr>
        <w:t>0</w:t>
      </w:r>
      <w:r>
        <w:rPr>
          <w:rFonts w:hint="eastAsia" w:ascii="仿宋_GB2312" w:hAnsi="Calibri" w:eastAsia="仿宋_GB2312" w:cs="Times New Roman"/>
          <w:kern w:val="2"/>
          <w:sz w:val="32"/>
          <w:szCs w:val="32"/>
          <w:lang w:val="en-US" w:eastAsia="zh-CN" w:bidi="ar-SA"/>
        </w:rPr>
        <w:t>万元，其中：基本支出增加25.2</w:t>
      </w:r>
      <w:r>
        <w:rPr>
          <w:rFonts w:hint="eastAsia" w:ascii="仿宋_GB2312" w:eastAsia="仿宋_GB2312" w:cs="Times New Roman"/>
          <w:kern w:val="2"/>
          <w:sz w:val="32"/>
          <w:szCs w:val="32"/>
          <w:lang w:val="en-US" w:eastAsia="zh-CN" w:bidi="ar-SA"/>
        </w:rPr>
        <w:t>0</w:t>
      </w:r>
      <w:r>
        <w:rPr>
          <w:rFonts w:hint="eastAsia" w:ascii="仿宋_GB2312" w:hAnsi="Calibri" w:eastAsia="仿宋_GB2312" w:cs="Times New Roman"/>
          <w:kern w:val="2"/>
          <w:sz w:val="32"/>
          <w:szCs w:val="32"/>
          <w:lang w:val="en-US" w:eastAsia="zh-CN" w:bidi="ar-SA"/>
        </w:rPr>
        <w:t>万元，主要为工资福利支出；项目支出减少7万元。</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spacing w:line="584" w:lineRule="exact"/>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2023年，我局机关运行经费共计安排6.68万元，主要我单位日常运行支出。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spacing w:line="584" w:lineRule="exact"/>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2023年，我局财政拨款“三公”经费预算安排0万元。与2022年相比持平，无增减变化。</w:t>
      </w:r>
    </w:p>
    <w:p>
      <w:pPr>
        <w:autoSpaceDE w:val="0"/>
        <w:autoSpaceDN w:val="0"/>
        <w:adjustRightInd w:val="0"/>
        <w:spacing w:line="584" w:lineRule="exact"/>
        <w:ind w:firstLine="640" w:firstLineChars="200"/>
        <w:jc w:val="left"/>
        <w:rPr>
          <w:rFonts w:hint="eastAsia" w:ascii="Times New Roman" w:hAnsi="Times New Roman" w:eastAsia="仿宋_GB2312"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第一部分部门整体绩效目标</w:t>
      </w:r>
    </w:p>
    <w:p>
      <w:pPr>
        <w:spacing w:line="584" w:lineRule="exact"/>
        <w:ind w:firstLine="643" w:firstLineChars="200"/>
        <w:rPr>
          <w:rFonts w:hint="eastAsia" w:ascii="楷体_GB2312" w:eastAsia="楷体_GB2312" w:cs="Times New Roman" w:hAnsiTheme="minorHAnsi"/>
          <w:b/>
          <w:sz w:val="32"/>
          <w:szCs w:val="32"/>
        </w:rPr>
      </w:pPr>
      <w:bookmarkStart w:id="0" w:name="_Toc_2_2_0000000001"/>
      <w:r>
        <w:rPr>
          <w:rFonts w:hint="eastAsia" w:ascii="楷体_GB2312" w:eastAsia="楷体_GB2312" w:cs="Times New Roman" w:hAnsiTheme="minorHAnsi"/>
          <w:b/>
          <w:sz w:val="32"/>
          <w:szCs w:val="32"/>
          <w:lang w:eastAsia="zh-CN"/>
        </w:rPr>
        <w:t>（</w:t>
      </w:r>
      <w:r>
        <w:rPr>
          <w:rFonts w:hint="eastAsia" w:ascii="楷体_GB2312" w:eastAsia="楷体_GB2312" w:cs="Times New Roman" w:hAnsiTheme="minorHAnsi"/>
          <w:b/>
          <w:sz w:val="32"/>
          <w:szCs w:val="32"/>
          <w:lang w:val="en-US" w:eastAsia="zh-CN"/>
        </w:rPr>
        <w:t>一</w:t>
      </w:r>
      <w:r>
        <w:rPr>
          <w:rFonts w:hint="eastAsia" w:ascii="楷体_GB2312" w:eastAsia="楷体_GB2312" w:cs="Times New Roman" w:hAnsiTheme="minorHAnsi"/>
          <w:b/>
          <w:sz w:val="32"/>
          <w:szCs w:val="32"/>
          <w:lang w:eastAsia="zh-CN"/>
        </w:rPr>
        <w:t>）</w:t>
      </w:r>
      <w:r>
        <w:rPr>
          <w:rFonts w:hint="eastAsia" w:ascii="楷体_GB2312" w:eastAsia="楷体_GB2312" w:cs="Times New Roman" w:hAnsiTheme="minorHAnsi"/>
          <w:b/>
          <w:sz w:val="32"/>
          <w:szCs w:val="32"/>
        </w:rPr>
        <w:t>总体绩效目标</w:t>
      </w:r>
      <w:bookmarkEnd w:id="0"/>
    </w:p>
    <w:p>
      <w:pPr>
        <w:spacing w:line="584" w:lineRule="exact"/>
        <w:ind w:firstLine="640" w:firstLineChars="200"/>
        <w:rPr>
          <w:rFonts w:ascii="Times New Roman" w:hAnsi="Times New Roman"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一是开展应急演练活动，提高应急救灾能力和全民防灾意识；持续开展应急救护活动，提高应急救护能力，扩大应急救护知识普及程度，树立“人认为急救、急救为人人”的理念；二是做好募集捐款宣传活动和申请资料检查上报工作，为符合救助条件的弱势群体提供帮助；三是大力推进生命关爱工程，实施生命接力，参与推动无偿献血、遗体和器官捐献，参与开展造血干细胞捐献；四是大力发展红十字会会员和志愿者，建立常态化志愿活动，扩大红十字会的社会影响力。</w:t>
      </w:r>
    </w:p>
    <w:p>
      <w:pPr>
        <w:spacing w:line="584" w:lineRule="exact"/>
        <w:ind w:firstLine="643" w:firstLineChars="200"/>
        <w:rPr>
          <w:rFonts w:hint="eastAsia" w:ascii="楷体_GB2312" w:eastAsia="楷体_GB2312" w:cs="Times New Roman" w:hAnsiTheme="minorHAnsi"/>
          <w:b/>
          <w:sz w:val="32"/>
          <w:szCs w:val="32"/>
          <w:lang w:eastAsia="zh-CN"/>
        </w:rPr>
      </w:pPr>
      <w:bookmarkStart w:id="1" w:name="_Toc_2_2_0000000002"/>
      <w:r>
        <w:rPr>
          <w:rFonts w:hint="eastAsia" w:ascii="楷体_GB2312" w:eastAsia="楷体_GB2312" w:cs="Times New Roman" w:hAnsiTheme="minorHAnsi"/>
          <w:b/>
          <w:sz w:val="32"/>
          <w:szCs w:val="32"/>
          <w:lang w:eastAsia="zh-CN"/>
        </w:rPr>
        <w:t>（</w:t>
      </w:r>
      <w:r>
        <w:rPr>
          <w:rFonts w:hint="eastAsia" w:ascii="楷体_GB2312" w:eastAsia="楷体_GB2312" w:cs="Times New Roman" w:hAnsiTheme="minorHAnsi"/>
          <w:b/>
          <w:sz w:val="32"/>
          <w:szCs w:val="32"/>
          <w:lang w:val="en-US" w:eastAsia="zh-CN"/>
        </w:rPr>
        <w:t>二</w:t>
      </w:r>
      <w:r>
        <w:rPr>
          <w:rFonts w:hint="eastAsia" w:ascii="楷体_GB2312" w:eastAsia="楷体_GB2312" w:cs="Times New Roman" w:hAnsiTheme="minorHAnsi"/>
          <w:b/>
          <w:sz w:val="32"/>
          <w:szCs w:val="32"/>
          <w:lang w:eastAsia="zh-CN"/>
        </w:rPr>
        <w:t>）分项绩效目标</w:t>
      </w:r>
      <w:bookmarkEnd w:id="1"/>
    </w:p>
    <w:p>
      <w:pPr>
        <w:spacing w:line="584" w:lineRule="exact"/>
        <w:ind w:firstLine="640" w:firstLineChars="200"/>
        <w:rPr>
          <w:rFonts w:hint="eastAsia" w:ascii="仿宋_GB2312" w:hAnsi="Calibri"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1、</w:t>
      </w:r>
      <w:r>
        <w:rPr>
          <w:rFonts w:hint="eastAsia" w:ascii="仿宋_GB2312" w:hAnsi="Calibri" w:eastAsia="仿宋_GB2312" w:cs="Times New Roman"/>
          <w:kern w:val="2"/>
          <w:sz w:val="32"/>
          <w:szCs w:val="32"/>
          <w:lang w:val="en-US" w:eastAsia="zh-CN" w:bidi="ar-SA"/>
        </w:rPr>
        <w:t>加强相关知识宣传</w:t>
      </w:r>
    </w:p>
    <w:p>
      <w:pPr>
        <w:spacing w:line="584" w:lineRule="exact"/>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绩效目标：利用重大节日、微信公众号等，做好宣传工作；完善无偿献血和捐献造血干细胞协同共进工作机制；按时按量完成造血干细胞采集工作；扩大遗体和器官捐献宣传力度，及时做好捐献志愿者信息的登入和回访。</w:t>
      </w:r>
    </w:p>
    <w:p>
      <w:pPr>
        <w:spacing w:line="584" w:lineRule="exact"/>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绩效指标：组织3次以上宣传活动；捐献造血干细胞整体能力提升。</w:t>
      </w:r>
    </w:p>
    <w:p>
      <w:pPr>
        <w:spacing w:line="584" w:lineRule="exact"/>
        <w:ind w:firstLine="640" w:firstLineChars="200"/>
        <w:rPr>
          <w:rFonts w:hint="eastAsia" w:ascii="仿宋_GB2312" w:hAnsi="Calibri"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2、</w:t>
      </w:r>
      <w:r>
        <w:rPr>
          <w:rFonts w:hint="eastAsia" w:ascii="仿宋_GB2312" w:hAnsi="Calibri" w:eastAsia="仿宋_GB2312" w:cs="Times New Roman"/>
          <w:kern w:val="2"/>
          <w:sz w:val="32"/>
          <w:szCs w:val="32"/>
          <w:lang w:val="en-US" w:eastAsia="zh-CN" w:bidi="ar-SA"/>
        </w:rPr>
        <w:t>传播红十字文化，扩大红十字工作的社会影响力</w:t>
      </w:r>
    </w:p>
    <w:p>
      <w:pPr>
        <w:spacing w:line="584" w:lineRule="exact"/>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绩效目标：通过开展丰富多彩、形式多样的红十字志愿服务活动，传播红十字文化，扩大红十字的社会影响力，加强红十字志愿者组织的管理工作，使更多志愿者了解和投身于人道事业。</w:t>
      </w:r>
    </w:p>
    <w:p>
      <w:pPr>
        <w:spacing w:line="584" w:lineRule="exact"/>
        <w:ind w:firstLine="640" w:firstLineChars="200"/>
        <w:rPr>
          <w:rFonts w:ascii="Times New Roman" w:hAnsi="Times New Roman"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绩效指标：2023年开展志愿者活动不少于3场；预计志愿服务时长超过200小时；红十字志愿活动影响力扩大。</w:t>
      </w:r>
    </w:p>
    <w:p>
      <w:pPr>
        <w:spacing w:line="584" w:lineRule="exact"/>
        <w:ind w:firstLine="643" w:firstLineChars="200"/>
        <w:rPr>
          <w:rFonts w:hint="eastAsia" w:ascii="楷体_GB2312" w:eastAsia="楷体_GB2312" w:cs="Times New Roman" w:hAnsiTheme="minorHAnsi"/>
          <w:b/>
          <w:sz w:val="32"/>
          <w:szCs w:val="32"/>
          <w:lang w:val="en-US" w:eastAsia="zh-CN"/>
        </w:rPr>
      </w:pPr>
      <w:bookmarkStart w:id="2" w:name="_Toc_2_2_0000000003"/>
      <w:r>
        <w:rPr>
          <w:rFonts w:hint="eastAsia" w:ascii="楷体_GB2312" w:eastAsia="楷体_GB2312" w:cs="Times New Roman" w:hAnsiTheme="minorHAnsi"/>
          <w:b/>
          <w:sz w:val="32"/>
          <w:szCs w:val="32"/>
          <w:lang w:val="en-US" w:eastAsia="zh-CN"/>
        </w:rPr>
        <w:t>（三）工作保障措施</w:t>
      </w:r>
      <w:bookmarkEnd w:id="2"/>
    </w:p>
    <w:p>
      <w:pPr>
        <w:spacing w:line="584" w:lineRule="exact"/>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1、完善制度建设。根据上级部门颁发的制度规定，结合本部门实际工作情况，就预算管理制度、资金管理办法、工作保障制度等方面进一步完善，为全年预算目标的实现奠定制度基础。</w:t>
      </w:r>
    </w:p>
    <w:p>
      <w:pPr>
        <w:spacing w:line="584" w:lineRule="exact"/>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2、加强支出管理。通过优化支出结构、编细编实预算、加快履行相关采购手续、及时支付资金等多种措施，确保支出进度达标。</w:t>
      </w:r>
    </w:p>
    <w:p>
      <w:pPr>
        <w:spacing w:line="584" w:lineRule="exact"/>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3、规范财务资产管理。完善财务管理制度，严格审批程序，做到支出合理，物尽其用。</w:t>
      </w:r>
    </w:p>
    <w:p>
      <w:pPr>
        <w:spacing w:line="584" w:lineRule="exact"/>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4、加强内部监督。加强内部监督制度建设，对重大支出决策、对外投资及其他重要经济业务事项的决策和执行进行督导，对会计资料进行内部审计，并配合做好审计、财政监督等外部监督工作，确保财政资金安全有效。</w:t>
      </w:r>
    </w:p>
    <w:p>
      <w:pPr>
        <w:spacing w:line="584" w:lineRule="exact"/>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5、加强绩效运行监控。按要求开展绩效运行监控，发现问题及时采取措施，确保绩效目标如期保质实现。</w:t>
      </w:r>
    </w:p>
    <w:p>
      <w:pPr>
        <w:spacing w:line="584" w:lineRule="exact"/>
        <w:ind w:firstLine="640" w:firstLineChars="200"/>
        <w:rPr>
          <w:rFonts w:hint="eastAsia" w:ascii="仿宋_GB2312" w:eastAsia="仿宋_GB2312" w:cs="Times New Roman"/>
          <w:sz w:val="32"/>
          <w:szCs w:val="32"/>
        </w:rPr>
      </w:pPr>
      <w:r>
        <w:rPr>
          <w:rFonts w:hint="eastAsia" w:ascii="仿宋_GB2312" w:hAnsi="Calibri" w:eastAsia="仿宋_GB2312" w:cs="Times New Roman"/>
          <w:kern w:val="2"/>
          <w:sz w:val="32"/>
          <w:szCs w:val="32"/>
          <w:lang w:val="en-US" w:eastAsia="zh-CN" w:bidi="ar-SA"/>
        </w:rPr>
        <w:t>6、加强宣传培训调研。加强人员培训，提高本部门职工业务素质；加强调研，提出优化财政资金配置、提高资金使用效益的意见；加强宣传力度，强化预算绩效管理意识，促进预算绩效管理水平进一步提升。</w:t>
      </w:r>
    </w:p>
    <w:p>
      <w:pPr>
        <w:numPr>
          <w:ilvl w:val="0"/>
          <w:numId w:val="1"/>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tbl>
      <w:tblPr>
        <w:tblStyle w:val="8"/>
        <w:tblW w:w="14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12"/>
        <w:gridCol w:w="1350"/>
        <w:gridCol w:w="2100"/>
        <w:gridCol w:w="1909"/>
        <w:gridCol w:w="3446"/>
        <w:gridCol w:w="888"/>
        <w:gridCol w:w="797"/>
        <w:gridCol w:w="943"/>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71" w:hRule="atLeast"/>
          <w:tblHeader/>
          <w:jc w:val="center"/>
        </w:trPr>
        <w:tc>
          <w:tcPr>
            <w:tcW w:w="912" w:type="dxa"/>
            <w:vMerge w:val="restart"/>
            <w:tcBorders>
              <w:tl2br w:val="nil"/>
              <w:tr2bl w:val="nil"/>
            </w:tcBorders>
            <w:vAlign w:val="center"/>
          </w:tcPr>
          <w:p>
            <w:pPr>
              <w:widowControl/>
              <w:adjustRightInd w:val="0"/>
              <w:snapToGrid w:val="0"/>
              <w:jc w:val="center"/>
              <w:rPr>
                <w:rFonts w:ascii="方正书宋_GBK" w:eastAsia="方正书宋_GBK"/>
                <w:b/>
              </w:rPr>
            </w:pPr>
          </w:p>
          <w:p>
            <w:pPr>
              <w:widowControl/>
              <w:adjustRightInd w:val="0"/>
              <w:snapToGrid w:val="0"/>
              <w:jc w:val="center"/>
              <w:rPr>
                <w:rFonts w:ascii="方正书宋_GBK" w:eastAsia="方正书宋_GBK"/>
                <w:b/>
              </w:rPr>
            </w:pPr>
            <w:r>
              <w:rPr>
                <w:rFonts w:ascii="方正书宋_GBK" w:eastAsia="方正书宋_GBK"/>
                <w:b/>
              </w:rPr>
              <w:t>一级指标</w:t>
            </w:r>
          </w:p>
        </w:tc>
        <w:tc>
          <w:tcPr>
            <w:tcW w:w="135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10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90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44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628"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09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4" w:hRule="atLeast"/>
          <w:tblHeader/>
          <w:jc w:val="center"/>
        </w:trPr>
        <w:tc>
          <w:tcPr>
            <w:tcW w:w="912" w:type="dxa"/>
            <w:vMerge w:val="continue"/>
            <w:tcBorders>
              <w:tl2br w:val="nil"/>
              <w:tr2bl w:val="nil"/>
            </w:tcBorders>
            <w:vAlign w:val="center"/>
          </w:tcPr>
          <w:p/>
        </w:tc>
        <w:tc>
          <w:tcPr>
            <w:tcW w:w="1350" w:type="dxa"/>
            <w:vMerge w:val="continue"/>
            <w:tcBorders>
              <w:tl2br w:val="nil"/>
              <w:tr2bl w:val="nil"/>
            </w:tcBorders>
            <w:vAlign w:val="center"/>
          </w:tcPr>
          <w:p/>
        </w:tc>
        <w:tc>
          <w:tcPr>
            <w:tcW w:w="2100" w:type="dxa"/>
            <w:vMerge w:val="continue"/>
            <w:tcBorders>
              <w:tl2br w:val="nil"/>
              <w:tr2bl w:val="nil"/>
            </w:tcBorders>
            <w:vAlign w:val="center"/>
          </w:tcPr>
          <w:p/>
        </w:tc>
        <w:tc>
          <w:tcPr>
            <w:tcW w:w="1909" w:type="dxa"/>
            <w:vMerge w:val="continue"/>
            <w:tcBorders>
              <w:tl2br w:val="nil"/>
              <w:tr2bl w:val="nil"/>
            </w:tcBorders>
            <w:vAlign w:val="center"/>
          </w:tcPr>
          <w:p/>
        </w:tc>
        <w:tc>
          <w:tcPr>
            <w:tcW w:w="3446" w:type="dxa"/>
            <w:vMerge w:val="continue"/>
            <w:tcBorders>
              <w:tl2br w:val="nil"/>
              <w:tr2bl w:val="nil"/>
            </w:tcBorders>
            <w:vAlign w:val="center"/>
          </w:tcPr>
          <w:p/>
        </w:tc>
        <w:tc>
          <w:tcPr>
            <w:tcW w:w="8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9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9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092"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55" w:hRule="atLeast"/>
          <w:jc w:val="center"/>
        </w:trPr>
        <w:tc>
          <w:tcPr>
            <w:tcW w:w="912"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35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100"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单位年度工作完成率</w:t>
            </w:r>
          </w:p>
        </w:tc>
        <w:tc>
          <w:tcPr>
            <w:tcW w:w="1909"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工作完成率</w:t>
            </w:r>
          </w:p>
        </w:tc>
        <w:tc>
          <w:tcPr>
            <w:tcW w:w="3446"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反映单位年度工作完成数量占年度预算工作数量的比率</w:t>
            </w:r>
            <w:r>
              <w:rPr>
                <w:rFonts w:hint="eastAsia" w:ascii="方正书宋_GBK" w:eastAsia="方正书宋_GBK"/>
              </w:rPr>
              <w:t>。</w:t>
            </w:r>
          </w:p>
        </w:tc>
        <w:tc>
          <w:tcPr>
            <w:tcW w:w="88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w:t>
            </w:r>
          </w:p>
        </w:tc>
        <w:tc>
          <w:tcPr>
            <w:tcW w:w="79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9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209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912" w:type="dxa"/>
            <w:vMerge w:val="continue"/>
            <w:tcBorders>
              <w:tl2br w:val="nil"/>
              <w:tr2bl w:val="nil"/>
            </w:tcBorders>
            <w:vAlign w:val="center"/>
          </w:tcPr>
          <w:p/>
        </w:tc>
        <w:tc>
          <w:tcPr>
            <w:tcW w:w="135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100"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职工工资及政策性社保保障资金按月支付次数</w:t>
            </w:r>
          </w:p>
        </w:tc>
        <w:tc>
          <w:tcPr>
            <w:tcW w:w="1909"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按月支付次数</w:t>
            </w:r>
          </w:p>
        </w:tc>
        <w:tc>
          <w:tcPr>
            <w:tcW w:w="3446"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反映职工工资及政策性社保保障资金按月支付次数</w:t>
            </w:r>
          </w:p>
        </w:tc>
        <w:tc>
          <w:tcPr>
            <w:tcW w:w="8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79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12</w:t>
            </w:r>
          </w:p>
        </w:tc>
        <w:tc>
          <w:tcPr>
            <w:tcW w:w="9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次</w:t>
            </w:r>
          </w:p>
        </w:tc>
        <w:tc>
          <w:tcPr>
            <w:tcW w:w="209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92" w:hRule="atLeast"/>
          <w:jc w:val="center"/>
        </w:trPr>
        <w:tc>
          <w:tcPr>
            <w:tcW w:w="912" w:type="dxa"/>
            <w:vMerge w:val="continue"/>
            <w:tcBorders>
              <w:tl2br w:val="nil"/>
              <w:tr2bl w:val="nil"/>
            </w:tcBorders>
            <w:vAlign w:val="center"/>
          </w:tcPr>
          <w:p/>
        </w:tc>
        <w:tc>
          <w:tcPr>
            <w:tcW w:w="135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100"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经费足额拨付</w:t>
            </w:r>
          </w:p>
        </w:tc>
        <w:tc>
          <w:tcPr>
            <w:tcW w:w="1909"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足额拨付比例</w:t>
            </w:r>
          </w:p>
        </w:tc>
        <w:tc>
          <w:tcPr>
            <w:tcW w:w="3446"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经费足额拨付比例</w:t>
            </w:r>
          </w:p>
        </w:tc>
        <w:tc>
          <w:tcPr>
            <w:tcW w:w="8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79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9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209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60" w:hRule="atLeast"/>
          <w:jc w:val="center"/>
        </w:trPr>
        <w:tc>
          <w:tcPr>
            <w:tcW w:w="912" w:type="dxa"/>
            <w:vMerge w:val="continue"/>
            <w:tcBorders>
              <w:tl2br w:val="nil"/>
              <w:tr2bl w:val="nil"/>
            </w:tcBorders>
            <w:vAlign w:val="center"/>
          </w:tcPr>
          <w:p/>
        </w:tc>
        <w:tc>
          <w:tcPr>
            <w:tcW w:w="1350" w:type="dxa"/>
            <w:tcBorders>
              <w:tl2br w:val="nil"/>
              <w:tr2bl w:val="nil"/>
            </w:tcBorders>
            <w:vAlign w:val="center"/>
          </w:tcPr>
          <w:p>
            <w:pPr>
              <w:widowControl/>
              <w:tabs>
                <w:tab w:val="left" w:pos="215"/>
              </w:tabs>
              <w:adjustRightInd w:val="0"/>
              <w:snapToGrid w:val="0"/>
              <w:jc w:val="left"/>
              <w:rPr>
                <w:rFonts w:hint="default" w:ascii="方正书宋_GBK" w:eastAsia="方正书宋_GBK"/>
                <w:lang w:val="en-US" w:eastAsia="zh-CN"/>
              </w:rPr>
            </w:pPr>
            <w:r>
              <w:rPr>
                <w:rFonts w:hint="eastAsia" w:ascii="方正书宋_GBK" w:eastAsia="方正书宋_GBK"/>
                <w:lang w:eastAsia="zh-CN"/>
              </w:rPr>
              <w:tab/>
            </w:r>
            <w:r>
              <w:rPr>
                <w:rFonts w:hint="eastAsia" w:ascii="方正书宋_GBK" w:eastAsia="方正书宋_GBK"/>
                <w:lang w:val="en-US" w:eastAsia="zh-CN"/>
              </w:rPr>
              <w:t>质量</w:t>
            </w:r>
          </w:p>
        </w:tc>
        <w:tc>
          <w:tcPr>
            <w:tcW w:w="2100"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运转保障率</w:t>
            </w:r>
          </w:p>
        </w:tc>
        <w:tc>
          <w:tcPr>
            <w:tcW w:w="1909"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日常工作保障率</w:t>
            </w:r>
          </w:p>
        </w:tc>
        <w:tc>
          <w:tcPr>
            <w:tcW w:w="3446"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各项日常工作保障率</w:t>
            </w:r>
          </w:p>
        </w:tc>
        <w:tc>
          <w:tcPr>
            <w:tcW w:w="88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797"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94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209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33" w:hRule="atLeast"/>
          <w:jc w:val="center"/>
        </w:trPr>
        <w:tc>
          <w:tcPr>
            <w:tcW w:w="912" w:type="dxa"/>
            <w:vMerge w:val="continue"/>
            <w:tcBorders>
              <w:tl2br w:val="nil"/>
              <w:tr2bl w:val="nil"/>
            </w:tcBorders>
            <w:vAlign w:val="center"/>
          </w:tcPr>
          <w:p/>
        </w:tc>
        <w:tc>
          <w:tcPr>
            <w:tcW w:w="135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100"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项目上报及时率</w:t>
            </w:r>
          </w:p>
        </w:tc>
        <w:tc>
          <w:tcPr>
            <w:tcW w:w="1909"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及时上报率</w:t>
            </w:r>
          </w:p>
        </w:tc>
        <w:tc>
          <w:tcPr>
            <w:tcW w:w="3446"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上报相关项目的及时性</w:t>
            </w:r>
          </w:p>
        </w:tc>
        <w:tc>
          <w:tcPr>
            <w:tcW w:w="88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文字描述</w:t>
            </w:r>
          </w:p>
        </w:tc>
        <w:tc>
          <w:tcPr>
            <w:tcW w:w="797" w:type="dxa"/>
            <w:tcBorders>
              <w:tl2br w:val="nil"/>
              <w:tr2bl w:val="nil"/>
            </w:tcBorders>
            <w:vAlign w:val="center"/>
          </w:tcPr>
          <w:p>
            <w:pPr>
              <w:widowControl/>
              <w:adjustRightInd w:val="0"/>
              <w:snapToGrid w:val="0"/>
              <w:jc w:val="center"/>
              <w:rPr>
                <w:rFonts w:ascii="方正书宋_GBK" w:eastAsia="方正书宋_GBK"/>
              </w:rPr>
            </w:pPr>
          </w:p>
        </w:tc>
        <w:tc>
          <w:tcPr>
            <w:tcW w:w="9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及时上报</w:t>
            </w:r>
          </w:p>
        </w:tc>
        <w:tc>
          <w:tcPr>
            <w:tcW w:w="209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33" w:hRule="atLeast"/>
          <w:jc w:val="center"/>
        </w:trPr>
        <w:tc>
          <w:tcPr>
            <w:tcW w:w="912" w:type="dxa"/>
            <w:vMerge w:val="continue"/>
            <w:tcBorders>
              <w:tl2br w:val="nil"/>
              <w:tr2bl w:val="nil"/>
            </w:tcBorders>
            <w:vAlign w:val="center"/>
          </w:tcPr>
          <w:p/>
        </w:tc>
        <w:tc>
          <w:tcPr>
            <w:tcW w:w="135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100"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经费保障及时性</w:t>
            </w:r>
          </w:p>
        </w:tc>
        <w:tc>
          <w:tcPr>
            <w:tcW w:w="1909"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及时拨付率</w:t>
            </w:r>
          </w:p>
        </w:tc>
        <w:tc>
          <w:tcPr>
            <w:tcW w:w="3446"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及时保障各项日常办公需要</w:t>
            </w:r>
          </w:p>
        </w:tc>
        <w:tc>
          <w:tcPr>
            <w:tcW w:w="8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79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9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209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83" w:hRule="atLeast"/>
          <w:jc w:val="center"/>
        </w:trPr>
        <w:tc>
          <w:tcPr>
            <w:tcW w:w="912" w:type="dxa"/>
            <w:vMerge w:val="continue"/>
            <w:tcBorders>
              <w:tl2br w:val="nil"/>
              <w:tr2bl w:val="nil"/>
            </w:tcBorders>
            <w:vAlign w:val="center"/>
          </w:tcPr>
          <w:p/>
        </w:tc>
        <w:tc>
          <w:tcPr>
            <w:tcW w:w="135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100"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公用经费控制率</w:t>
            </w:r>
          </w:p>
        </w:tc>
        <w:tc>
          <w:tcPr>
            <w:tcW w:w="190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实际支出所占比例</w:t>
            </w:r>
          </w:p>
        </w:tc>
        <w:tc>
          <w:tcPr>
            <w:tcW w:w="344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202</w:t>
            </w:r>
            <w:r>
              <w:rPr>
                <w:rFonts w:hint="eastAsia" w:ascii="方正书宋_GBK" w:eastAsia="方正书宋_GBK"/>
                <w:lang w:val="en-US" w:eastAsia="zh-CN"/>
              </w:rPr>
              <w:t>3</w:t>
            </w:r>
            <w:r>
              <w:rPr>
                <w:rFonts w:hint="eastAsia" w:ascii="方正书宋_GBK" w:eastAsia="方正书宋_GBK"/>
              </w:rPr>
              <w:t>年实际支出公用经费/预算安排的公用经费总额</w:t>
            </w:r>
          </w:p>
        </w:tc>
        <w:tc>
          <w:tcPr>
            <w:tcW w:w="88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w:t>
            </w:r>
          </w:p>
        </w:tc>
        <w:tc>
          <w:tcPr>
            <w:tcW w:w="79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9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209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57" w:hRule="atLeast"/>
          <w:jc w:val="center"/>
        </w:trPr>
        <w:tc>
          <w:tcPr>
            <w:tcW w:w="912"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35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100"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应急救护培训普及情况</w:t>
            </w:r>
          </w:p>
        </w:tc>
        <w:tc>
          <w:tcPr>
            <w:tcW w:w="1909"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普及人数增长率</w:t>
            </w:r>
          </w:p>
        </w:tc>
        <w:tc>
          <w:tcPr>
            <w:tcW w:w="3446"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考察应急救护培训普及情况</w:t>
            </w:r>
          </w:p>
        </w:tc>
        <w:tc>
          <w:tcPr>
            <w:tcW w:w="88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文字描述</w:t>
            </w:r>
          </w:p>
        </w:tc>
        <w:tc>
          <w:tcPr>
            <w:tcW w:w="797" w:type="dxa"/>
            <w:tcBorders>
              <w:tl2br w:val="nil"/>
              <w:tr2bl w:val="nil"/>
            </w:tcBorders>
            <w:vAlign w:val="center"/>
          </w:tcPr>
          <w:p>
            <w:pPr>
              <w:widowControl/>
              <w:adjustRightInd w:val="0"/>
              <w:snapToGrid w:val="0"/>
              <w:jc w:val="center"/>
              <w:rPr>
                <w:rFonts w:ascii="方正书宋_GBK" w:eastAsia="方正书宋_GBK"/>
              </w:rPr>
            </w:pPr>
          </w:p>
        </w:tc>
        <w:tc>
          <w:tcPr>
            <w:tcW w:w="9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提升</w:t>
            </w:r>
          </w:p>
        </w:tc>
        <w:tc>
          <w:tcPr>
            <w:tcW w:w="209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48" w:hRule="atLeast"/>
          <w:jc w:val="center"/>
        </w:trPr>
        <w:tc>
          <w:tcPr>
            <w:tcW w:w="912" w:type="dxa"/>
            <w:vMerge w:val="continue"/>
            <w:tcBorders>
              <w:tl2br w:val="nil"/>
              <w:tr2bl w:val="nil"/>
            </w:tcBorders>
            <w:vAlign w:val="center"/>
          </w:tcPr>
          <w:p/>
        </w:tc>
        <w:tc>
          <w:tcPr>
            <w:tcW w:w="1350"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社会</w:t>
            </w:r>
          </w:p>
          <w:p>
            <w:pPr>
              <w:widowControl/>
              <w:adjustRightInd w:val="0"/>
              <w:snapToGrid w:val="0"/>
              <w:jc w:val="center"/>
              <w:rPr>
                <w:rFonts w:ascii="方正书宋_GBK" w:eastAsia="方正书宋_GBK"/>
              </w:rPr>
            </w:pPr>
            <w:r>
              <w:rPr>
                <w:rFonts w:hint="eastAsia" w:ascii="方正书宋_GBK" w:eastAsia="方正书宋_GBK"/>
              </w:rPr>
              <w:t>效益</w:t>
            </w:r>
          </w:p>
          <w:p>
            <w:pPr>
              <w:widowControl/>
              <w:adjustRightInd w:val="0"/>
              <w:snapToGrid w:val="0"/>
              <w:jc w:val="center"/>
              <w:rPr>
                <w:rFonts w:ascii="方正书宋_GBK" w:eastAsia="方正书宋_GBK"/>
              </w:rPr>
            </w:pPr>
          </w:p>
        </w:tc>
        <w:tc>
          <w:tcPr>
            <w:tcW w:w="2100"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有责投诉数</w:t>
            </w:r>
          </w:p>
        </w:tc>
        <w:tc>
          <w:tcPr>
            <w:tcW w:w="1909"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投诉率</w:t>
            </w:r>
          </w:p>
        </w:tc>
        <w:tc>
          <w:tcPr>
            <w:tcW w:w="3446"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考察有责投诉情况</w:t>
            </w:r>
          </w:p>
        </w:tc>
        <w:tc>
          <w:tcPr>
            <w:tcW w:w="888"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文字描述</w:t>
            </w:r>
          </w:p>
        </w:tc>
        <w:tc>
          <w:tcPr>
            <w:tcW w:w="797" w:type="dxa"/>
            <w:tcBorders>
              <w:tl2br w:val="nil"/>
              <w:tr2bl w:val="nil"/>
            </w:tcBorders>
            <w:vAlign w:val="center"/>
          </w:tcPr>
          <w:p>
            <w:pPr>
              <w:widowControl/>
              <w:adjustRightInd w:val="0"/>
              <w:snapToGrid w:val="0"/>
              <w:rPr>
                <w:rFonts w:ascii="方正书宋_GBK" w:eastAsia="方正书宋_GBK"/>
              </w:rPr>
            </w:pPr>
          </w:p>
        </w:tc>
        <w:tc>
          <w:tcPr>
            <w:tcW w:w="94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零有责投诉</w:t>
            </w:r>
          </w:p>
        </w:tc>
        <w:tc>
          <w:tcPr>
            <w:tcW w:w="209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43" w:hRule="atLeast"/>
          <w:jc w:val="center"/>
        </w:trPr>
        <w:tc>
          <w:tcPr>
            <w:tcW w:w="912" w:type="dxa"/>
            <w:vMerge w:val="continue"/>
            <w:tcBorders>
              <w:tl2br w:val="nil"/>
              <w:tr2bl w:val="nil"/>
            </w:tcBorders>
            <w:vAlign w:val="center"/>
          </w:tcPr>
          <w:p/>
        </w:tc>
        <w:tc>
          <w:tcPr>
            <w:tcW w:w="135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100" w:type="dxa"/>
            <w:tcBorders>
              <w:tl2br w:val="nil"/>
              <w:tr2bl w:val="nil"/>
            </w:tcBorders>
            <w:noWrap/>
            <w:vAlign w:val="center"/>
          </w:tcPr>
          <w:p>
            <w:pPr>
              <w:widowControl/>
              <w:adjustRightInd w:val="0"/>
              <w:snapToGrid w:val="0"/>
              <w:rPr>
                <w:rFonts w:ascii="方正书宋_GBK" w:eastAsia="方正书宋_GBK"/>
              </w:rPr>
            </w:pPr>
            <w:r>
              <w:rPr>
                <w:rFonts w:ascii="方正书宋_GBK" w:eastAsia="方正书宋_GBK"/>
              </w:rPr>
              <w:t>培训人员满意度</w:t>
            </w:r>
          </w:p>
        </w:tc>
        <w:tc>
          <w:tcPr>
            <w:tcW w:w="1909" w:type="dxa"/>
            <w:tcBorders>
              <w:tl2br w:val="nil"/>
              <w:tr2bl w:val="nil"/>
            </w:tcBorders>
            <w:noWrap/>
            <w:vAlign w:val="center"/>
          </w:tcPr>
          <w:p>
            <w:pPr>
              <w:widowControl/>
              <w:adjustRightInd w:val="0"/>
              <w:snapToGrid w:val="0"/>
              <w:rPr>
                <w:rFonts w:ascii="方正书宋_GBK" w:eastAsia="方正书宋_GBK"/>
              </w:rPr>
            </w:pPr>
            <w:r>
              <w:rPr>
                <w:rFonts w:ascii="方正书宋_GBK" w:eastAsia="方正书宋_GBK"/>
              </w:rPr>
              <w:t>满意程度</w:t>
            </w:r>
          </w:p>
        </w:tc>
        <w:tc>
          <w:tcPr>
            <w:tcW w:w="3446" w:type="dxa"/>
            <w:tcBorders>
              <w:tl2br w:val="nil"/>
              <w:tr2bl w:val="nil"/>
            </w:tcBorders>
            <w:noWrap/>
            <w:vAlign w:val="center"/>
          </w:tcPr>
          <w:p>
            <w:pPr>
              <w:widowControl/>
              <w:adjustRightInd w:val="0"/>
              <w:snapToGrid w:val="0"/>
              <w:rPr>
                <w:rFonts w:ascii="方正书宋_GBK" w:eastAsia="方正书宋_GBK"/>
              </w:rPr>
            </w:pPr>
            <w:r>
              <w:rPr>
                <w:rFonts w:ascii="方正书宋_GBK" w:eastAsia="方正书宋_GBK"/>
              </w:rPr>
              <w:t>考察培训人员满意情况</w:t>
            </w:r>
          </w:p>
        </w:tc>
        <w:tc>
          <w:tcPr>
            <w:tcW w:w="888"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w:t>
            </w:r>
          </w:p>
        </w:tc>
        <w:tc>
          <w:tcPr>
            <w:tcW w:w="7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90</w:t>
            </w:r>
          </w:p>
        </w:tc>
        <w:tc>
          <w:tcPr>
            <w:tcW w:w="94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209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rPr>
          <w:rFonts w:hint="eastAsia" w:ascii="仿宋_GB2312" w:hAnsi="Calibri" w:eastAsia="仿宋_GB2312" w:cs="Times New Roman"/>
          <w:kern w:val="2"/>
          <w:sz w:val="32"/>
          <w:szCs w:val="32"/>
          <w:lang w:val="en-US" w:eastAsia="zh-CN" w:bidi="ar-SA"/>
        </w:rPr>
      </w:pPr>
      <w:bookmarkStart w:id="3" w:name="_Toc471398468"/>
      <w:r>
        <w:rPr>
          <w:rFonts w:hint="eastAsia" w:ascii="仿宋_GB2312" w:hAnsi="Calibri" w:eastAsia="仿宋_GB2312" w:cs="Times New Roman"/>
          <w:kern w:val="2"/>
          <w:sz w:val="32"/>
          <w:szCs w:val="32"/>
          <w:lang w:val="en-US" w:eastAsia="zh-CN" w:bidi="ar-SA"/>
        </w:rPr>
        <w:t>2023年，我部门安排政府采购预算0万元。具体内容见下表。</w:t>
      </w:r>
    </w:p>
    <w:bookmarkEnd w:id="3"/>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4" w:name="_Toc64920910"/>
      <w:r>
        <w:rPr>
          <w:rFonts w:hint="eastAsia" w:ascii="方正小标宋_GBK" w:eastAsia="方正小标宋_GBK" w:cs="Times New Roman"/>
          <w:sz w:val="32"/>
        </w:rPr>
        <w:t>部门政府采购预算</w:t>
      </w:r>
      <w:bookmarkEnd w:id="4"/>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Theme="minorHAnsi" w:hAnsiTheme="minorHAnsi" w:eastAsiaTheme="minorEastAsia" w:cstheme="minorBidi"/>
                <w:lang w:eastAsia="zh-CN"/>
              </w:rPr>
              <w:t>大城县红十字会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ind w:firstLine="420" w:firstLineChars="200"/>
        <w:rPr>
          <w:rFonts w:hint="eastAsia" w:ascii="Times New Roman" w:hAnsi="Times New Roman" w:eastAsia="仿宋_GB2312" w:cs="Times New Roman"/>
          <w:lang w:eastAsia="zh-C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lang w:eastAsia="zh-CN"/>
        </w:rPr>
        <w:t>注：空表列示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我局（含所属单位）上年末固定资产金额为0万元（详见下表），本年度</w:t>
      </w:r>
      <w:bookmarkStart w:id="5" w:name="_GoBack"/>
      <w:bookmarkEnd w:id="5"/>
      <w:r>
        <w:rPr>
          <w:rFonts w:hint="eastAsia" w:ascii="仿宋_GB2312" w:hAnsi="Calibri" w:eastAsia="仿宋_GB2312" w:cs="Times New Roman"/>
          <w:kern w:val="2"/>
          <w:sz w:val="32"/>
          <w:szCs w:val="32"/>
          <w:lang w:val="en-US" w:eastAsia="zh-CN" w:bidi="ar-SA"/>
        </w:rPr>
        <w:t>我部门拟购置固定资产总额为0万元，因为单位暂借用大城县医院办公，无自有办公用房和设备。</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大城县红十字会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2</w:t>
            </w:r>
            <w:r>
              <w:rPr>
                <w:rFonts w:ascii="Times New Roman" w:hAnsi="Times New Roman" w:eastAsia="仿宋_GB2312" w:cs="Times New Roman"/>
                <w:kern w:val="0"/>
                <w:sz w:val="22"/>
              </w:rPr>
              <w:t>年</w:t>
            </w:r>
            <w:r>
              <w:rPr>
                <w:rFonts w:hint="eastAsia" w:ascii="Times New Roman" w:hAnsi="Times New Roman" w:eastAsia="仿宋_GB2312" w:cs="Times New Roman"/>
                <w:kern w:val="0"/>
                <w:sz w:val="22"/>
                <w:lang w:val="en-US" w:eastAsia="zh-CN"/>
              </w:rPr>
              <w:t>12</w:t>
            </w:r>
            <w:r>
              <w:rPr>
                <w:rFonts w:ascii="Times New Roman" w:hAnsi="Times New Roman" w:eastAsia="仿宋_GB2312" w:cs="Times New Roman"/>
                <w:kern w:val="0"/>
                <w:sz w:val="22"/>
              </w:rPr>
              <w:t>月</w:t>
            </w:r>
            <w:r>
              <w:rPr>
                <w:rFonts w:hint="eastAsia" w:ascii="Times New Roman" w:hAnsi="Times New Roman" w:eastAsia="仿宋_GB2312" w:cs="Times New Roman"/>
                <w:kern w:val="0"/>
                <w:sz w:val="22"/>
                <w:lang w:val="en-US" w:eastAsia="zh-CN"/>
              </w:rPr>
              <w:t>31</w:t>
            </w:r>
            <w:r>
              <w:rPr>
                <w:rFonts w:ascii="Times New Roman" w:hAnsi="Times New Roman" w:eastAsia="仿宋_GB2312" w:cs="Times New Roman"/>
                <w:kern w:val="0"/>
                <w:sz w:val="22"/>
              </w:rPr>
              <w:t xml:space="preserve">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spacing w:line="584" w:lineRule="exact"/>
        <w:ind w:firstLine="420" w:firstLineChars="200"/>
        <w:rPr>
          <w:rFonts w:hint="eastAsia" w:ascii="Times New Roman" w:hAnsi="Times New Roman" w:eastAsia="仿宋_GB2312" w:cs="Times New Roman"/>
          <w:lang w:eastAsia="zh-CN"/>
        </w:rPr>
        <w:sectPr>
          <w:footerReference r:id="rId4"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lang w:eastAsia="zh-CN"/>
        </w:rPr>
        <w:t>注：空表列示</w:t>
      </w: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spacing w:line="584" w:lineRule="exact"/>
        <w:ind w:firstLine="643" w:firstLineChars="200"/>
        <w:rPr>
          <w:rFonts w:hint="eastAsia" w:ascii="仿宋_GB2312" w:hAnsi="Calibri" w:eastAsia="仿宋_GB2312" w:cs="Times New Roman"/>
          <w:kern w:val="2"/>
          <w:sz w:val="32"/>
          <w:szCs w:val="32"/>
          <w:lang w:val="en-US" w:eastAsia="zh-CN" w:bidi="ar-SA"/>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w:t>
      </w:r>
      <w:r>
        <w:rPr>
          <w:rFonts w:hint="eastAsia" w:ascii="仿宋_GB2312" w:hAnsi="Calibri" w:eastAsia="仿宋_GB2312" w:cs="Times New Roman"/>
          <w:kern w:val="2"/>
          <w:sz w:val="32"/>
          <w:szCs w:val="32"/>
          <w:lang w:val="en-US" w:eastAsia="zh-CN" w:bidi="ar-SA"/>
        </w:rPr>
        <w:t>年拨付</w:t>
      </w:r>
      <w:r>
        <w:rPr>
          <w:rFonts w:ascii="Times New Roman" w:hAnsi="Times New Roman" w:eastAsia="仿宋_GB2312" w:cs="Times New Roman"/>
          <w:sz w:val="32"/>
          <w:szCs w:val="32"/>
        </w:rPr>
        <w:t>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97FD6"/>
    <w:multiLevelType w:val="singleLevel"/>
    <w:tmpl w:val="3EA97FD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ZWZkYWQzYTA1N2I5ZmNkNDZlN2YzZmNlMGY3YTUxMzYifQ=="/>
    <w:docVar w:name="KSO_WPS_MARK_KEY" w:val="8c3e02f0-ebef-447f-9a88-3009139399c1"/>
  </w:docVars>
  <w:rsids>
    <w:rsidRoot w:val="00D347CC"/>
    <w:rsid w:val="001840F9"/>
    <w:rsid w:val="00204BF7"/>
    <w:rsid w:val="002C2A73"/>
    <w:rsid w:val="00331AD3"/>
    <w:rsid w:val="003F2390"/>
    <w:rsid w:val="00417447"/>
    <w:rsid w:val="00455779"/>
    <w:rsid w:val="004A54AA"/>
    <w:rsid w:val="004C0433"/>
    <w:rsid w:val="005129C2"/>
    <w:rsid w:val="00644861"/>
    <w:rsid w:val="006527C4"/>
    <w:rsid w:val="007821B9"/>
    <w:rsid w:val="007F5683"/>
    <w:rsid w:val="008D3D18"/>
    <w:rsid w:val="00920609"/>
    <w:rsid w:val="009F79CB"/>
    <w:rsid w:val="00A56E7E"/>
    <w:rsid w:val="00B80935"/>
    <w:rsid w:val="00BB1183"/>
    <w:rsid w:val="00C010FE"/>
    <w:rsid w:val="00C77E8E"/>
    <w:rsid w:val="00D01935"/>
    <w:rsid w:val="00D347CC"/>
    <w:rsid w:val="00D351DB"/>
    <w:rsid w:val="00F2057F"/>
    <w:rsid w:val="013E0FDC"/>
    <w:rsid w:val="02732F88"/>
    <w:rsid w:val="02CA24C5"/>
    <w:rsid w:val="0BB6706E"/>
    <w:rsid w:val="0CDA61D3"/>
    <w:rsid w:val="0CE75CC6"/>
    <w:rsid w:val="0DF86E02"/>
    <w:rsid w:val="0EEC218E"/>
    <w:rsid w:val="12A65A76"/>
    <w:rsid w:val="149B4C8D"/>
    <w:rsid w:val="14E136AD"/>
    <w:rsid w:val="172F313C"/>
    <w:rsid w:val="191F7B9F"/>
    <w:rsid w:val="19B25F61"/>
    <w:rsid w:val="2AEC37C3"/>
    <w:rsid w:val="2D082DA5"/>
    <w:rsid w:val="30DA6305"/>
    <w:rsid w:val="34B025C1"/>
    <w:rsid w:val="34F4011D"/>
    <w:rsid w:val="3A6E719D"/>
    <w:rsid w:val="3CD27BB6"/>
    <w:rsid w:val="3D2F13B3"/>
    <w:rsid w:val="3F8A033F"/>
    <w:rsid w:val="3FA577AE"/>
    <w:rsid w:val="3FE67B95"/>
    <w:rsid w:val="46E71798"/>
    <w:rsid w:val="4A83482B"/>
    <w:rsid w:val="4D576EA3"/>
    <w:rsid w:val="4F750978"/>
    <w:rsid w:val="519B7112"/>
    <w:rsid w:val="55E73D2F"/>
    <w:rsid w:val="596B0DD6"/>
    <w:rsid w:val="5A1B67ED"/>
    <w:rsid w:val="5C810DD2"/>
    <w:rsid w:val="609842A6"/>
    <w:rsid w:val="687C0C91"/>
    <w:rsid w:val="689C1106"/>
    <w:rsid w:val="6D0D4676"/>
    <w:rsid w:val="6D686D7A"/>
    <w:rsid w:val="715A1F4F"/>
    <w:rsid w:val="73A05D75"/>
    <w:rsid w:val="78326D77"/>
    <w:rsid w:val="79746135"/>
    <w:rsid w:val="7A3A3474"/>
    <w:rsid w:val="7A411B9B"/>
    <w:rsid w:val="7A654E9E"/>
    <w:rsid w:val="7E8E04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2">
    <w:name w:val="List Paragraph"/>
    <w:basedOn w:val="1"/>
    <w:unhideWhenUsed/>
    <w:qFormat/>
    <w:uiPriority w:val="99"/>
    <w:pPr>
      <w:ind w:firstLine="420" w:firstLineChars="200"/>
    </w:pPr>
  </w:style>
  <w:style w:type="paragraph" w:customStyle="1" w:styleId="1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3316</Words>
  <Characters>3414</Characters>
  <Lines>39</Lines>
  <Paragraphs>11</Paragraphs>
  <TotalTime>2</TotalTime>
  <ScaleCrop>false</ScaleCrop>
  <LinksUpToDate>false</LinksUpToDate>
  <CharactersWithSpaces>3425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2022-04-01T01:01:00Z</cp:lastPrinted>
  <dcterms:modified xsi:type="dcterms:W3CDTF">2023-03-24T02:39:23Z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E8F324BF07EC42B0B2159CBB4BE17433</vt:lpwstr>
  </property>
</Properties>
</file>