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大城县融媒体中心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年单位预算信息公开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大城县融媒体中心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研究制定并组织实施全县媒体宣传工作的规定和措施；弘扬主旋律，正确的舆论导向，发挥党和政府喉舌功能和主媒体作用；负责组织对内外宣传；负责组织媒体采、编、播、制各类节目的作品创作与生产；负责搜集汇总新闻线索，研究和策划宣传选题，研究判断报道方式，负责媒体节目审核把关与发布播出。</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负责管理电视、广播、报纸、网站、微博、微信、客户端等媒体机构，加强资源深度融合，管理和领导多个终端的工作；转播和传输中央、省市县广播电视节目；负责广播电视安全播出。</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拟定县融媒体事业与产业发展规划和相应的管理办法并组织实施；使用并管理县本级广播电视频率资源及发射；统一配备管理摄录、制作、演播、播控、发射等装备设施；负责媒体技术创新创优和技术改造，负责设备设施选型和配置及新闻传输网络建设、管理和维护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负责管理国家和本级财政拨付的媒体建设资金，统筹发展各项事业产业；负责监督检查各项经费的分配和使用、国有资产保值增值。</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负责组织干部职工教育培训与队伍建设；负责安全保卫工作。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接受广播电视行业行政管理部门的行业管理和上级广播电视台业务指导。</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收集研判社会舆情，对发现的问题第一时间反馈；与上级部门沟通，做好突发事件与舆情的应急处理。</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负责做好媒体+政务和服务，参与智慧城市建设；负责向基层群众提供政务服务、生活服务、社会传播、教育培训等综合服务。</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负责向人口密集的大型社区、村镇，提供精准化的生活资讯，打通线上线下开展社区交流。</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负责农村数字电视建设与推广。</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完成县委县政府交办的其他工作。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bookmarkStart w:id="2" w:name="_GoBack"/>
      <w:bookmarkEnd w:id="2"/>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4443" w:type="dxa"/>
            <w:shd w:val="clear" w:color="auto" w:fill="auto"/>
            <w:vAlign w:val="center"/>
          </w:tcPr>
          <w:p>
            <w:pPr>
              <w:pStyle w:val="18"/>
              <w:rPr>
                <w:rFonts w:asciiTheme="minorHAnsi" w:hAnsiTheme="minorHAnsi"/>
                <w:lang w:val="uk-UA" w:eastAsia="zh-CN"/>
              </w:rPr>
            </w:pPr>
            <w:r>
              <w:t>大城县融媒体中心</w:t>
            </w:r>
            <w:r>
              <w:rPr>
                <w:rFonts w:hint="eastAsia"/>
                <w:lang w:eastAsia="zh-CN"/>
              </w:rPr>
              <w:t>本级</w:t>
            </w:r>
          </w:p>
        </w:tc>
        <w:tc>
          <w:tcPr>
            <w:tcW w:w="1134" w:type="dxa"/>
            <w:shd w:val="clear" w:color="auto" w:fill="auto"/>
            <w:vAlign w:val="center"/>
          </w:tcPr>
          <w:p>
            <w:pPr>
              <w:pStyle w:val="19"/>
            </w:pPr>
            <w:r>
              <w:t>事业</w:t>
            </w:r>
          </w:p>
        </w:tc>
        <w:tc>
          <w:tcPr>
            <w:tcW w:w="1276" w:type="dxa"/>
            <w:shd w:val="clear" w:color="auto" w:fill="auto"/>
            <w:vAlign w:val="center"/>
          </w:tcPr>
          <w:p>
            <w:pPr>
              <w:pStyle w:val="19"/>
            </w:pPr>
            <w:r>
              <w:t>正科级</w:t>
            </w:r>
          </w:p>
        </w:tc>
        <w:tc>
          <w:tcPr>
            <w:tcW w:w="2902" w:type="dxa"/>
            <w:shd w:val="clear" w:color="auto" w:fill="auto"/>
            <w:vAlign w:val="center"/>
          </w:tcPr>
          <w:p>
            <w:pPr>
              <w:pStyle w:val="19"/>
            </w:pPr>
            <w: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年预算收入2073.88万元，其中：一般公共预算收入2065.92万元，基金预算收入0万元，财政专户核拨收入0万元，其他来源收入0万元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上年结转7.96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年支出预算2073.88万元，其中基本支出2004.90万元，包括人员类项目经费1952.57万元和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公用项目经费52.33万元；运转类其他及特定目标类项目支出68.98万元，主要为</w:t>
      </w:r>
      <w:r>
        <w:rPr>
          <w:rFonts w:hint="eastAsia" w:ascii="Times New Roman" w:hAnsi="Times New Roman" w:eastAsia="仿宋_GB2312" w:cs="Times New Roman"/>
          <w:sz w:val="32"/>
          <w:szCs w:val="32"/>
        </w:rPr>
        <w:t>2023年《联播廊坊.聚焦大城》栏目制作经费30万元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2023年融媒体中心伤残补助—人员专项项目4.81万元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2023年融媒体中心新建广播电视发射塔电费10万元、2023年提前下达中央补助地方公共文化服务体系农村文化建设专项资金—上级16.2万元，</w:t>
      </w:r>
      <w:r>
        <w:rPr>
          <w:rFonts w:ascii="Times New Roman" w:hAnsi="Times New Roman" w:eastAsia="仿宋_GB2312" w:cs="Times New Roman"/>
          <w:sz w:val="32"/>
          <w:szCs w:val="32"/>
        </w:rPr>
        <w:t>上年结转项目</w:t>
      </w:r>
      <w:r>
        <w:rPr>
          <w:rFonts w:hint="eastAsia" w:ascii="Times New Roman" w:hAnsi="Times New Roman" w:eastAsia="仿宋_GB2312" w:cs="Times New Roman"/>
          <w:sz w:val="32"/>
          <w:szCs w:val="32"/>
        </w:rPr>
        <w:t>资金7.96万元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2073.88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56.92万元，其中：基本支出增加</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57.39万元，主要为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rPr>
        <w:t>100.47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劳务派遣</w:t>
      </w: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rPr>
        <w:t>2022年大美大城微信公众号服务器使用费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2022年采集用车租赁等其他交通经费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2022年大型活动设备租赁经费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2022年新大城印刷费、2022年新建铁塔设备购置及安装经费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2022年新闻稿费制作费</w:t>
      </w:r>
      <w:r>
        <w:rPr>
          <w:rFonts w:ascii="Times New Roman" w:hAnsi="Times New Roman" w:eastAsia="仿宋_GB2312" w:cs="Times New Roman"/>
          <w:sz w:val="32"/>
          <w:szCs w:val="32"/>
        </w:rPr>
        <w:t>等项目支出减少。</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机关运行经费共计安排52.33万元，主要用于办公区的日常维修、办公用房水电费、办公用房取暖费、办公用房物业管理费等日常运行支出。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444444"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w:t>
      </w:r>
      <w:r>
        <w:rPr>
          <w:rFonts w:ascii="Times New Roman" w:hAnsi="Times New Roman" w:eastAsia="仿宋_GB2312" w:cs="Times New Roman"/>
          <w:color w:val="444444" w:themeColor="text1"/>
          <w:sz w:val="32"/>
          <w:szCs w:val="32"/>
        </w:rPr>
        <w:t>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color w:val="444444" w:themeColor="text1"/>
          <w:sz w:val="32"/>
          <w:szCs w:val="32"/>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宣传党的路线、方针、政策和县委、县政府的工作部署，坚持正确舆论导向，发挥主流媒体作用；办好广播、电视、报纸、微信、客户端等平台；制作出形式多样的节目；配合上级台完成我县的采访报道工作并提供各类节目；承担县委、县政府宣传片、专题片等的创作生产；加强对电视、广播、报纸、网站、微博、微信、客户端等媒体机构的资源深度融合，做好媒体+政务和服务，提升融媒体影响力；使用并管理县本级广播电视频率频道资源及发射；统一管理摄录、制作、演播、播控、发射等重要技术设备；加强安全防范工作，确保广播电视安全播出，及报纸、网站、微博、微信等媒体平台的正常运行；拟定融媒体产业发展规划；融媒体节目内容和质量监督管理；完成县委、县政府交办的其他事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1、加强内容形式以及方法手段创新，提高融媒体覆盖人口规模与数量。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研发新节目，打造品牌活动；媒体识别度和影响力进一步提升，收听收看群体扩大。</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绩效指标：开办新栏目、新节目数量（个）;报道录用率。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2、加强技术管理、技术升级改造及设备设施维护，开展新技术应用，促进媒体融合。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通过技术升级，实现县级台内容资源互通互享，提高节目制作和传播能力；拓展新媒体传播途径，开拓新型业务。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绩效指标：新媒体的融合度；新媒体设备利用率；数字化设备更新率。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3、加强融媒体节目传输、覆盖；对发射台的运行维护管理和新建铁塔的建设。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绩效目标：建立起完备的融媒体节目安全播出保障体系。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绩效指标：融媒体节目播出停播率。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4、完成农村地面无线数字电视覆盖工程，加大与联通公司、移动公司、网络公司的合作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绩效目标：加大农村地面无线数字电视工程建设力度，与联通、移动、网络公司合作实现融媒体节目的上传至iptv。</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绩效指标：入户率。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5、开展的融媒体研究、培训、后勤保障以及其他各项基础性保障工作。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保障机关工作正常高效运转。</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绩效指标：综合事务管理工作完成率。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1、完善制度建设。我单位制定了机关管理制度、专项资金管理办法。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2、加强支出管理。编细编实预算；单位成立政府采购小组专门负责政府采购事项；财务室及时做用款计划，保障支付资金及时、确保支出进度达标。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4、做好绩效自评。我单位成立了项目绩效评估小组，开展本年度单位预算绩效自评和重点评价工作，对评价中发现的问题及时整改，提高财政资金使用效益。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5、规范财务资产管理。我单位制定了财务管理制度，严格审批程序。加强固定资产登记、使用和报废处置管理，做到支出合理，物尽其用。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7、加强宣传培训调研等。加强人员培训，提高本单位职工业务素质；加强调研，提出优化财政资金配置、提高资金使用效益的意见；加大宣传力度，强化预算绩效管理意识，促进预算绩效管理水平进一步提升。</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overflowPunct w:val="0"/>
        <w:adjustRightInd w:val="0"/>
        <w:snapToGrid w:val="0"/>
        <w:spacing w:after="120"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11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62"/>
        <w:gridCol w:w="709"/>
        <w:gridCol w:w="1701"/>
        <w:gridCol w:w="2552"/>
        <w:gridCol w:w="1417"/>
        <w:gridCol w:w="709"/>
        <w:gridCol w:w="709"/>
        <w:gridCol w:w="85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62"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709"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w:t>
            </w:r>
          </w:p>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w:t>
            </w:r>
          </w:p>
        </w:tc>
        <w:tc>
          <w:tcPr>
            <w:tcW w:w="1701"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w:t>
            </w:r>
          </w:p>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w:t>
            </w:r>
          </w:p>
        </w:tc>
        <w:tc>
          <w:tcPr>
            <w:tcW w:w="2552"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评（扣）分标准</w:t>
            </w:r>
          </w:p>
        </w:tc>
        <w:tc>
          <w:tcPr>
            <w:tcW w:w="1417"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w:t>
            </w:r>
          </w:p>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描述</w:t>
            </w:r>
          </w:p>
        </w:tc>
        <w:tc>
          <w:tcPr>
            <w:tcW w:w="2268" w:type="dxa"/>
            <w:gridSpan w:val="3"/>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15" w:type="dxa"/>
            <w:vMerge w:val="restart"/>
            <w:tcBorders>
              <w:tl2br w:val="nil"/>
              <w:tr2bl w:val="nil"/>
            </w:tcBorders>
            <w:vAlign w:val="center"/>
          </w:tcPr>
          <w:p>
            <w:pPr>
              <w:widowControl/>
              <w:adjustRightInd w:val="0"/>
              <w:snapToGrid w:val="0"/>
              <w:jc w:val="center"/>
              <w:rPr>
                <w:rFonts w:ascii="Times New Roman" w:hAnsi="Times New Roman" w:eastAsia="仿宋_GB2312" w:cs="Times New Roman"/>
                <w:b/>
              </w:rPr>
            </w:pPr>
            <w:r>
              <w:rPr>
                <w:rFonts w:ascii="Times New Roman" w:hAnsi="Times New Roman" w:eastAsia="仿宋_GB2312" w:cs="Times New Roman"/>
                <w:b/>
              </w:rPr>
              <w:t>指标值</w:t>
            </w:r>
          </w:p>
          <w:p>
            <w:pPr>
              <w:widowControl/>
              <w:adjustRightInd w:val="0"/>
              <w:snapToGrid w:val="0"/>
              <w:jc w:val="center"/>
              <w:rPr>
                <w:rFonts w:ascii="Times New Roman" w:hAnsi="Times New Roman" w:eastAsia="仿宋_GB2312" w:cs="Times New Roman"/>
                <w:b/>
              </w:rPr>
            </w:pPr>
            <w:r>
              <w:rPr>
                <w:rFonts w:ascii="Times New Roman" w:hAnsi="Times New Roman" w:eastAsia="仿宋_GB2312" w:cs="Times New Roman"/>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709"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1701"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2552"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1417"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b/>
              </w:rPr>
            </w:pPr>
            <w:r>
              <w:rPr>
                <w:rFonts w:ascii="Times New Roman" w:hAnsi="Times New Roman" w:eastAsia="仿宋_GB2312" w:cs="Times New Roman"/>
                <w:b/>
              </w:rPr>
              <w:t>符号</w:t>
            </w: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b/>
              </w:rPr>
            </w:pPr>
            <w:r>
              <w:rPr>
                <w:rFonts w:ascii="Times New Roman" w:hAnsi="Times New Roman" w:eastAsia="仿宋_GB2312" w:cs="Times New Roman"/>
                <w:b/>
              </w:rPr>
              <w:t>值</w:t>
            </w:r>
          </w:p>
        </w:tc>
        <w:tc>
          <w:tcPr>
            <w:tcW w:w="850"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b/>
              </w:rPr>
            </w:pPr>
            <w:r>
              <w:rPr>
                <w:rFonts w:ascii="Times New Roman" w:hAnsi="Times New Roman" w:eastAsia="仿宋_GB2312" w:cs="Times New Roman"/>
                <w:b/>
              </w:rPr>
              <w:t>单位</w:t>
            </w:r>
          </w:p>
        </w:tc>
        <w:tc>
          <w:tcPr>
            <w:tcW w:w="241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2" w:type="dxa"/>
            <w:vMerge w:val="restart"/>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单位产出</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数量</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项目资金拨付完成数量</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各个项目资金拨付完成数量</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项目资金拨付完成数量</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个</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预算资金拨付情况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5"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ascii="Times New Roman" w:hAnsi="Times New Roman" w:eastAsia="仿宋_GB2312" w:cs="Times New Roman"/>
              </w:rPr>
              <w:t>质量</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融媒体节目停播率</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保障融媒体节目正常播出</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融媒体节目停播率</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次</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停播记录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ascii="Times New Roman" w:hAnsi="Times New Roman" w:eastAsia="仿宋_GB2312" w:cs="Times New Roman"/>
              </w:rPr>
              <w:t>时效</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预算资金拨付完成率</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预算资金拨付完成率</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预算资金拨付完成率</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预算资金用款计划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ascii="Times New Roman" w:hAnsi="Times New Roman" w:eastAsia="仿宋_GB2312" w:cs="Times New Roman"/>
              </w:rPr>
              <w:t>成本</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预算成本控制</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成本控制在预算资金内</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预算成本控制</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预算成本</w:t>
            </w:r>
            <w:r>
              <w:rPr>
                <w:rFonts w:ascii="Times New Roman" w:hAnsi="Times New Roman" w:eastAsia="仿宋_GB2312" w:cs="Times New Roman"/>
              </w:rPr>
              <w:t>内</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预算成本控制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restart"/>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单位</w:t>
            </w:r>
            <w:r>
              <w:rPr>
                <w:rFonts w:hint="eastAsia" w:ascii="Times New Roman" w:hAnsi="Times New Roman" w:eastAsia="仿宋_GB2312" w:cs="Times New Roman"/>
              </w:rPr>
              <w:t>效果</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701"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职工工作效率</w:t>
            </w:r>
          </w:p>
        </w:tc>
        <w:tc>
          <w:tcPr>
            <w:tcW w:w="2552"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职工工作效率</w:t>
            </w:r>
          </w:p>
          <w:p>
            <w:pPr>
              <w:spacing w:line="584" w:lineRule="exact"/>
              <w:jc w:val="center"/>
              <w:rPr>
                <w:rFonts w:ascii="Times New Roman" w:hAnsi="Times New Roman" w:eastAsia="仿宋_GB2312" w:cs="Times New Roman"/>
              </w:rPr>
            </w:pPr>
          </w:p>
        </w:tc>
        <w:tc>
          <w:tcPr>
            <w:tcW w:w="1417"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预算资金及时拨付，对职工工作效率的影响</w:t>
            </w:r>
          </w:p>
        </w:tc>
        <w:tc>
          <w:tcPr>
            <w:tcW w:w="709"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adjustRightInd w:val="0"/>
              <w:snapToGrid w:val="0"/>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701"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服务对象对及时支付资金满意度</w:t>
            </w:r>
          </w:p>
        </w:tc>
        <w:tc>
          <w:tcPr>
            <w:tcW w:w="2552"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服务对象对资金及时支付的满意度</w:t>
            </w:r>
          </w:p>
        </w:tc>
        <w:tc>
          <w:tcPr>
            <w:tcW w:w="1417"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服务对象对及时支付资金满意度</w:t>
            </w:r>
          </w:p>
        </w:tc>
        <w:tc>
          <w:tcPr>
            <w:tcW w:w="709"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701" w:type="dxa"/>
            <w:tcBorders>
              <w:tl2br w:val="nil"/>
              <w:tr2bl w:val="nil"/>
            </w:tcBorders>
            <w:noWrap/>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职工满意度</w:t>
            </w:r>
          </w:p>
        </w:tc>
        <w:tc>
          <w:tcPr>
            <w:tcW w:w="2552"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职工满意度</w:t>
            </w:r>
          </w:p>
          <w:p>
            <w:pPr>
              <w:widowControl/>
              <w:adjustRightInd w:val="0"/>
              <w:snapToGrid w:val="0"/>
              <w:spacing w:line="584" w:lineRule="exact"/>
              <w:jc w:val="center"/>
              <w:rPr>
                <w:rFonts w:ascii="Times New Roman" w:hAnsi="Times New Roman" w:eastAsia="仿宋_GB2312" w:cs="Times New Roman"/>
              </w:rPr>
            </w:pPr>
          </w:p>
        </w:tc>
        <w:tc>
          <w:tcPr>
            <w:tcW w:w="1417"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职工对及时发放职工工资福利的满意度</w:t>
            </w:r>
          </w:p>
        </w:tc>
        <w:tc>
          <w:tcPr>
            <w:tcW w:w="709"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bl>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rPr>
          <w:rFonts w:ascii="Times New Roman" w:hAnsi="Times New Roman" w:eastAsia="仿宋_GB2312" w:cs="Times New Roman"/>
          <w:sz w:val="28"/>
        </w:rPr>
      </w:pPr>
      <w:r>
        <w:rPr>
          <w:rFonts w:ascii="Times New Roman" w:hAnsi="Times New Roman" w:eastAsia="仿宋_GB2312" w:cs="Times New Roman"/>
          <w:sz w:val="28"/>
        </w:rPr>
        <w:t>1、2022年中央补助地方公共文化服务体系农村文化建设专项资金-上级绩效目标表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6" w:type="dxa"/>
            <w:tcBorders>
              <w:bottom w:val="single" w:color="FFFFFF" w:sz="6" w:space="0"/>
            </w:tcBorders>
            <w:vAlign w:val="center"/>
          </w:tcPr>
          <w:p>
            <w:pPr>
              <w:spacing w:line="584" w:lineRule="exact"/>
              <w:jc w:val="left"/>
            </w:pPr>
            <w:r>
              <w:rPr>
                <w:rFonts w:hint="eastAsia" w:ascii="Times New Roman" w:hAnsi="Times New Roman" w:eastAsia="仿宋_GB2312" w:cs="Times New Roman"/>
              </w:rPr>
              <w:t xml:space="preserve">对设备进行日常维修维护，保障设备正常使用，电视播出安全；完成大型设备电费的支付。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551"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68"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设备日常维护次数</w:t>
            </w:r>
            <w:r>
              <w:rPr>
                <w:rFonts w:ascii="Times New Roman" w:hAnsi="Times New Roman" w:eastAsia="仿宋_GB2312" w:cs="Times New Roman"/>
              </w:rPr>
              <w:tab/>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日常维护次数</w:t>
            </w:r>
          </w:p>
        </w:tc>
        <w:tc>
          <w:tcPr>
            <w:tcW w:w="2551"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≥4次</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电费支付次数</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电费支出次数</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广播电视播出停播率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因各种情况导致节目不能正常播出</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0次</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质量检测，停播次数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电费支付及时率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及时支付电费效率</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r>
              <w:rPr>
                <w:rFonts w:ascii="Times New Roman" w:hAnsi="Times New Roman" w:eastAsia="仿宋_GB2312" w:cs="Times New Roman"/>
                <w:kern w:val="2"/>
                <w:szCs w:val="22"/>
                <w:lang w:eastAsia="zh-CN"/>
              </w:rPr>
              <w:tab/>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控制在预算额度内</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7.96万元</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资金支付完成率</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设备使用情况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效益指标</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长期使用性</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ab/>
            </w:r>
            <w:r>
              <w:rPr>
                <w:rFonts w:ascii="Times New Roman" w:hAnsi="Times New Roman" w:eastAsia="仿宋_GB2312" w:cs="Times New Roman"/>
              </w:rPr>
              <w:t>设备能够正常使用，保障电视正常安全播</w:t>
            </w:r>
          </w:p>
        </w:tc>
        <w:tc>
          <w:tcPr>
            <w:tcW w:w="2551"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电费及时支付保障节目正常安全播出，对职工工作效率的影响。</w:t>
            </w:r>
          </w:p>
        </w:tc>
        <w:tc>
          <w:tcPr>
            <w:tcW w:w="2551"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2、2023年《联播廊坊.聚焦大城》栏目制作经费绩效目标表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pStyle w:val="18"/>
              <w:rPr>
                <w:rFonts w:ascii="Times New Roman" w:hAnsi="Times New Roman" w:eastAsia="仿宋_GB2312" w:cs="Times New Roman"/>
                <w:kern w:val="2"/>
                <w:szCs w:val="22"/>
                <w:lang w:eastAsia="zh-CN"/>
              </w:rPr>
            </w:pPr>
            <w:r>
              <w:rPr>
                <w:rFonts w:hint="eastAsia" w:ascii="Times New Roman" w:hAnsi="Times New Roman" w:eastAsia="仿宋_GB2312" w:cs="Times New Roman"/>
                <w:kern w:val="2"/>
                <w:szCs w:val="22"/>
                <w:lang w:eastAsia="zh-CN"/>
              </w:rPr>
              <w:t>为了更好地传递大城县委、县政府的声音，进一步宣传大城、展示大城、推介大城，提升大城的知名度和美誉度。</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宣传数量</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宣传活动会议纪要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安全播出次数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≥75次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节目播出次数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质量达标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宣传质量达标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达标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按照要求和计划完成资金支出计划中的比例</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成本控制在预算额度内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30万元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社会稳定水平</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宣传大城、展示大城、推介大城，提升大城的知名度和美誉度</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职工安全意识</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宣传大城、展示大城、推介大城，提升大城的知名度和美誉度</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群众满意度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通过调查群众反响较好</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rPr>
          <w:rFonts w:ascii="Times New Roman" w:hAnsi="Times New Roman" w:eastAsia="仿宋_GB2312" w:cs="Times New Roman"/>
        </w:r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3、2023年融媒体中心伤残补助——人员专项项目绩效目标表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pStyle w:val="18"/>
              <w:rPr>
                <w:rFonts w:ascii="Times New Roman" w:hAnsi="Times New Roman" w:eastAsia="仿宋_GB2312" w:cs="Times New Roman"/>
                <w:kern w:val="2"/>
                <w:szCs w:val="22"/>
                <w:lang w:eastAsia="zh-CN"/>
              </w:rPr>
            </w:pPr>
            <w:r>
              <w:rPr>
                <w:rFonts w:hint="eastAsia" w:ascii="Times New Roman" w:hAnsi="Times New Roman" w:eastAsia="仿宋_GB2312" w:cs="Times New Roman"/>
                <w:kern w:val="2"/>
                <w:szCs w:val="22"/>
                <w:lang w:eastAsia="zh-CN"/>
              </w:rPr>
              <w:t>在规定</w:t>
            </w:r>
            <w:r>
              <w:rPr>
                <w:rFonts w:ascii="Times New Roman" w:hAnsi="Times New Roman" w:eastAsia="仿宋_GB2312" w:cs="Times New Roman"/>
                <w:kern w:val="2"/>
                <w:szCs w:val="22"/>
                <w:lang w:eastAsia="zh-CN"/>
              </w:rPr>
              <w:t>时间内，按预算支</w:t>
            </w:r>
            <w:r>
              <w:rPr>
                <w:rFonts w:hint="eastAsia" w:ascii="Times New Roman" w:hAnsi="Times New Roman" w:eastAsia="仿宋_GB2312" w:cs="Times New Roman"/>
                <w:kern w:val="2"/>
                <w:szCs w:val="22"/>
                <w:lang w:eastAsia="zh-CN"/>
              </w:rPr>
              <w:t>付</w:t>
            </w:r>
            <w:r>
              <w:rPr>
                <w:rFonts w:ascii="Times New Roman" w:hAnsi="Times New Roman" w:eastAsia="仿宋_GB2312" w:cs="Times New Roman"/>
                <w:kern w:val="2"/>
                <w:szCs w:val="22"/>
                <w:lang w:eastAsia="zh-CN"/>
              </w:rPr>
              <w:t>职工伤残补</w:t>
            </w:r>
            <w:r>
              <w:rPr>
                <w:rFonts w:hint="eastAsia" w:ascii="Times New Roman" w:hAnsi="Times New Roman" w:eastAsia="仿宋_GB2312" w:cs="Times New Roman"/>
                <w:kern w:val="2"/>
                <w:szCs w:val="22"/>
                <w:lang w:eastAsia="zh-CN"/>
              </w:rPr>
              <w:t xml:space="preserve">助。 </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支付伤残补贴次数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支付伤残补贴次数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是否按要求支付</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支付标准是否达标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达标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是否按规定时间</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支付是否及时</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预算成本内</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是否在预算标准内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w:t>
            </w:r>
            <w:r>
              <w:rPr>
                <w:rFonts w:hint="eastAsia" w:ascii="Times New Roman" w:hAnsi="Times New Roman" w:eastAsia="仿宋_GB2312" w:cs="Times New Roman"/>
                <w:kern w:val="2"/>
                <w:szCs w:val="22"/>
                <w:lang w:eastAsia="zh-CN"/>
              </w:rPr>
              <w:t>.</w:t>
            </w:r>
            <w:r>
              <w:rPr>
                <w:rFonts w:ascii="Times New Roman" w:hAnsi="Times New Roman" w:eastAsia="仿宋_GB2312" w:cs="Times New Roman"/>
                <w:kern w:val="2"/>
                <w:szCs w:val="22"/>
                <w:lang w:eastAsia="zh-CN"/>
              </w:rPr>
              <w:t>813</w:t>
            </w:r>
            <w:r>
              <w:rPr>
                <w:rFonts w:hint="eastAsia" w:ascii="Times New Roman" w:hAnsi="Times New Roman" w:eastAsia="仿宋_GB2312" w:cs="Times New Roman"/>
                <w:kern w:val="2"/>
                <w:szCs w:val="22"/>
                <w:lang w:eastAsia="zh-CN"/>
              </w:rPr>
              <w:t>万</w:t>
            </w:r>
            <w:r>
              <w:rPr>
                <w:rFonts w:ascii="Times New Roman" w:hAnsi="Times New Roman" w:eastAsia="仿宋_GB2312" w:cs="Times New Roman"/>
                <w:kern w:val="2"/>
                <w:szCs w:val="22"/>
                <w:lang w:eastAsia="zh-CN"/>
              </w:rPr>
              <w:t>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对职工工作的稳定性</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对职工工作的稳定性</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稳定</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对职工工作态度的持续性</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对职工工作态度的持续性</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调查职工满意度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调查职工满意度</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rPr>
          <w:rFonts w:ascii="Times New Roman" w:hAnsi="Times New Roman" w:eastAsia="仿宋_GB2312" w:cs="Times New Roman"/>
        </w:r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4、2023年融媒体中心新建广播电视发射塔电费绩效目标表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widowControl/>
              <w:jc w:val="left"/>
              <w:textAlignment w:val="center"/>
              <w:rPr>
                <w:rFonts w:ascii="Times New Roman" w:hAnsi="Times New Roman" w:eastAsia="仿宋_GB2312" w:cs="Times New Roman"/>
              </w:rPr>
            </w:pPr>
            <w:r>
              <w:rPr>
                <w:rFonts w:hint="eastAsia" w:ascii="Times New Roman" w:hAnsi="Times New Roman" w:eastAsia="仿宋_GB2312" w:cs="Times New Roman"/>
              </w:rPr>
              <w:t>1、对设备进行日常维修维护，保障设备正常使用，电视播出安全；完成大型设备电费的支付。</w:t>
            </w:r>
          </w:p>
          <w:p>
            <w:pPr>
              <w:widowControl/>
              <w:jc w:val="left"/>
              <w:textAlignment w:val="center"/>
              <w:rPr>
                <w:rFonts w:ascii="宋体" w:hAnsi="宋体" w:cs="宋体"/>
                <w:color w:val="000000"/>
                <w:sz w:val="18"/>
                <w:szCs w:val="18"/>
              </w:rPr>
            </w:pPr>
            <w:r>
              <w:rPr>
                <w:rFonts w:hint="eastAsia" w:ascii="Times New Roman" w:hAnsi="Times New Roman" w:eastAsia="仿宋_GB2312" w:cs="Times New Roman"/>
              </w:rPr>
              <w:t>2、</w:t>
            </w:r>
            <w:r>
              <w:rPr>
                <w:rFonts w:ascii="Times New Roman" w:hAnsi="Times New Roman" w:eastAsia="仿宋_GB2312" w:cs="Times New Roman"/>
              </w:rPr>
              <w:t>为了更好地传递大城县委、县政府的声音，进一步宣传大城、展示大城、推介大城，提升大城的知名度和美誉度。</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支付电费次数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全年支付铁塔电费次数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对发射塔维护次数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全年维护电视塔次数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宣传质量</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宣传效率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达标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支付电费及时率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支付电费及时率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控制在预算成本内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≤10万元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提高大城县知名度，招商引资率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提高大城县知名度，传播正能量</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社会大众评价率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≥99%</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rPr>
          <w:rFonts w:ascii="Times New Roman" w:hAnsi="Times New Roman" w:eastAsia="仿宋_GB2312" w:cs="Times New Roman"/>
        </w:rPr>
        <w:sectPr>
          <w:pgSz w:w="16840" w:h="11900" w:orient="landscape"/>
          <w:pgMar w:top="1361" w:right="1020" w:bottom="1134" w:left="1020" w:header="720" w:footer="720" w:gutter="0"/>
          <w:cols w:space="720" w:num="1"/>
        </w:sect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5、2023年提前下达中央补助地方公共文化服务体系农村文化建设专项资金——上级绩效目标表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pStyle w:val="18"/>
              <w:rPr>
                <w:rFonts w:ascii="Times New Roman" w:hAnsi="Times New Roman" w:eastAsia="仿宋_GB2312" w:cs="Times New Roman"/>
                <w:kern w:val="2"/>
                <w:szCs w:val="22"/>
                <w:lang w:eastAsia="zh-CN"/>
              </w:rPr>
            </w:pPr>
            <w:r>
              <w:rPr>
                <w:rFonts w:hint="eastAsia" w:ascii="Times New Roman" w:hAnsi="Times New Roman" w:eastAsia="仿宋_GB2312" w:cs="Times New Roman"/>
                <w:kern w:val="2"/>
                <w:szCs w:val="22"/>
                <w:lang w:eastAsia="zh-CN"/>
              </w:rPr>
              <w:t xml:space="preserve">对设备进行日常维修维护，保障设备正常使用，电视播出安全；完成大型设备电费的支付。                                 </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设备日常维护次数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日常维护次数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电费支出次数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广播电视播出停播率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因各种情况导致节目不能正常播出</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质量检测，停播次数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电费支付及时率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及时支付电费效率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控制在预算额度内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≤16.2万元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资金支付完成率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设备使用情况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长期使用性</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ab/>
            </w:r>
            <w:r>
              <w:rPr>
                <w:rFonts w:ascii="Times New Roman" w:hAnsi="Times New Roman" w:eastAsia="仿宋_GB2312" w:cs="Times New Roman"/>
                <w:kern w:val="2"/>
                <w:szCs w:val="22"/>
                <w:lang w:eastAsia="zh-CN"/>
              </w:rPr>
              <w:t>设备能够正常使用，保障电视正常安全播</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电费及时支付保障节目正常安全播出，对职工工作效率的影响。</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年，我单位安排政府采购预算0万元。具体内容见下表。</w:t>
      </w:r>
      <w:bookmarkEnd w:id="0"/>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rPr>
        <w:t>大城县融媒体</w:t>
      </w:r>
      <w:r>
        <w:t>中心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政府采购金额（当年单位预算安排资金）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大城县融媒体中心</w:t>
      </w:r>
      <w:r>
        <w:rPr>
          <w:rFonts w:ascii="Times New Roman" w:hAnsi="Times New Roman" w:eastAsia="仿宋_GB2312" w:cs="Times New Roman"/>
          <w:sz w:val="32"/>
          <w:szCs w:val="32"/>
        </w:rPr>
        <w:t>上年末固定资产金额为1268.81万元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万元，已按要求列入政府采购预算，详见政府采购预算表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w:t>
            </w:r>
            <w:r>
              <w:rPr>
                <w:rFonts w:hint="eastAsia" w:ascii="Times New Roman" w:hAnsi="Times New Roman" w:eastAsia="仿宋_GB2312" w:cs="Times New Roman"/>
                <w:kern w:val="0"/>
                <w:sz w:val="22"/>
              </w:rPr>
              <w:t xml:space="preserve"> 大城县融媒体中心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1268.81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2276.82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2276.82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76.61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840.20</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27A3"/>
    <w:rsid w:val="0003697D"/>
    <w:rsid w:val="00037AF6"/>
    <w:rsid w:val="0004565F"/>
    <w:rsid w:val="00050381"/>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A56E9"/>
    <w:rsid w:val="001B5C1D"/>
    <w:rsid w:val="001B614C"/>
    <w:rsid w:val="001C2B2C"/>
    <w:rsid w:val="001C3B5E"/>
    <w:rsid w:val="001D42E8"/>
    <w:rsid w:val="001E0757"/>
    <w:rsid w:val="001E5749"/>
    <w:rsid w:val="001E6DDC"/>
    <w:rsid w:val="001E70E9"/>
    <w:rsid w:val="001E7F38"/>
    <w:rsid w:val="001F5C92"/>
    <w:rsid w:val="001F7873"/>
    <w:rsid w:val="00201575"/>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74216"/>
    <w:rsid w:val="0039520A"/>
    <w:rsid w:val="003A04FB"/>
    <w:rsid w:val="003A372F"/>
    <w:rsid w:val="003B6D37"/>
    <w:rsid w:val="003D2E03"/>
    <w:rsid w:val="003F708F"/>
    <w:rsid w:val="004041B3"/>
    <w:rsid w:val="00410BDE"/>
    <w:rsid w:val="00415C0E"/>
    <w:rsid w:val="00424943"/>
    <w:rsid w:val="0042727E"/>
    <w:rsid w:val="0043175C"/>
    <w:rsid w:val="00437296"/>
    <w:rsid w:val="00445BAE"/>
    <w:rsid w:val="00451590"/>
    <w:rsid w:val="00451871"/>
    <w:rsid w:val="004706DE"/>
    <w:rsid w:val="00472923"/>
    <w:rsid w:val="00480E81"/>
    <w:rsid w:val="00486DCD"/>
    <w:rsid w:val="0049120C"/>
    <w:rsid w:val="004B0C3A"/>
    <w:rsid w:val="004B12F3"/>
    <w:rsid w:val="004B45C1"/>
    <w:rsid w:val="004C49A8"/>
    <w:rsid w:val="004D0AD1"/>
    <w:rsid w:val="004D5788"/>
    <w:rsid w:val="004E15AE"/>
    <w:rsid w:val="004E3066"/>
    <w:rsid w:val="004E419C"/>
    <w:rsid w:val="004E581C"/>
    <w:rsid w:val="004E74CD"/>
    <w:rsid w:val="004F20D7"/>
    <w:rsid w:val="00501872"/>
    <w:rsid w:val="00517C46"/>
    <w:rsid w:val="00524EFD"/>
    <w:rsid w:val="00527CD9"/>
    <w:rsid w:val="00572067"/>
    <w:rsid w:val="00573562"/>
    <w:rsid w:val="00573966"/>
    <w:rsid w:val="0057546C"/>
    <w:rsid w:val="00590ECE"/>
    <w:rsid w:val="00597EFC"/>
    <w:rsid w:val="005A32B6"/>
    <w:rsid w:val="005B041A"/>
    <w:rsid w:val="005C0E90"/>
    <w:rsid w:val="005C5ED4"/>
    <w:rsid w:val="005D37CA"/>
    <w:rsid w:val="005D5683"/>
    <w:rsid w:val="005D767E"/>
    <w:rsid w:val="005F04DE"/>
    <w:rsid w:val="005F5714"/>
    <w:rsid w:val="005F7AE1"/>
    <w:rsid w:val="00611D03"/>
    <w:rsid w:val="006138D1"/>
    <w:rsid w:val="00614A29"/>
    <w:rsid w:val="00616FCE"/>
    <w:rsid w:val="006351FB"/>
    <w:rsid w:val="00640A52"/>
    <w:rsid w:val="00645986"/>
    <w:rsid w:val="006465EA"/>
    <w:rsid w:val="00651BA2"/>
    <w:rsid w:val="00665136"/>
    <w:rsid w:val="00672D6C"/>
    <w:rsid w:val="00673D76"/>
    <w:rsid w:val="006750E7"/>
    <w:rsid w:val="00677AC3"/>
    <w:rsid w:val="006854F0"/>
    <w:rsid w:val="00694D30"/>
    <w:rsid w:val="006B1C4A"/>
    <w:rsid w:val="006B610D"/>
    <w:rsid w:val="006C3E06"/>
    <w:rsid w:val="006D010F"/>
    <w:rsid w:val="006E2E2D"/>
    <w:rsid w:val="006E37F3"/>
    <w:rsid w:val="006E49F5"/>
    <w:rsid w:val="006F051B"/>
    <w:rsid w:val="006F0692"/>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0F26"/>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318"/>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056A"/>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0109D"/>
    <w:rsid w:val="00A16E6C"/>
    <w:rsid w:val="00A34957"/>
    <w:rsid w:val="00A40F60"/>
    <w:rsid w:val="00A41266"/>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BF6051"/>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0E94"/>
    <w:rsid w:val="00D86ED8"/>
    <w:rsid w:val="00D926D0"/>
    <w:rsid w:val="00D9307A"/>
    <w:rsid w:val="00D95B8B"/>
    <w:rsid w:val="00DB08DA"/>
    <w:rsid w:val="00DB4322"/>
    <w:rsid w:val="00DC7C33"/>
    <w:rsid w:val="00DD1D0C"/>
    <w:rsid w:val="00DD62E6"/>
    <w:rsid w:val="00DE1243"/>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32DE"/>
    <w:rsid w:val="00F56B11"/>
    <w:rsid w:val="00F56E5A"/>
    <w:rsid w:val="00F66032"/>
    <w:rsid w:val="00F83B96"/>
    <w:rsid w:val="00F8441D"/>
    <w:rsid w:val="00F87C1E"/>
    <w:rsid w:val="00F9078A"/>
    <w:rsid w:val="00F958C2"/>
    <w:rsid w:val="00FA6FE9"/>
    <w:rsid w:val="00FA740E"/>
    <w:rsid w:val="00FC06C7"/>
    <w:rsid w:val="00FD5DB4"/>
    <w:rsid w:val="00FE1724"/>
    <w:rsid w:val="00FE281B"/>
    <w:rsid w:val="00FE375B"/>
    <w:rsid w:val="00FE753C"/>
    <w:rsid w:val="00FF2162"/>
    <w:rsid w:val="00FF2346"/>
    <w:rsid w:val="13E306DA"/>
    <w:rsid w:val="168F0F42"/>
    <w:rsid w:val="1C502F39"/>
    <w:rsid w:val="3E8B454E"/>
    <w:rsid w:val="3F655022"/>
    <w:rsid w:val="57E040E2"/>
    <w:rsid w:val="5E3E0DA2"/>
    <w:rsid w:val="687D1153"/>
    <w:rsid w:val="6B1D22BB"/>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字符"/>
    <w:basedOn w:val="9"/>
    <w:link w:val="4"/>
    <w:qFormat/>
    <w:uiPriority w:val="99"/>
    <w:rPr>
      <w:rFonts w:ascii="Times New Roman" w:hAnsi="Times New Roman" w:eastAsia="宋体" w:cs="Times New Roman"/>
      <w:sz w:val="18"/>
      <w:szCs w:val="18"/>
    </w:rPr>
  </w:style>
  <w:style w:type="character" w:customStyle="1" w:styleId="12">
    <w:name w:val="页脚 字符"/>
    <w:basedOn w:val="9"/>
    <w:link w:val="3"/>
    <w:qFormat/>
    <w:uiPriority w:val="99"/>
    <w:rPr>
      <w:rFonts w:ascii="Times New Roman" w:hAnsi="Times New Roman" w:eastAsia="宋体" w:cs="Times New Roman"/>
      <w:sz w:val="18"/>
      <w:szCs w:val="18"/>
    </w:rPr>
  </w:style>
  <w:style w:type="character" w:customStyle="1" w:styleId="13">
    <w:name w:val="批注框文本 字符"/>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字符"/>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DCEB4-4B25-46C0-A252-CF2CDD28DD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6250</Words>
  <Characters>6495</Characters>
  <Lines>52</Lines>
  <Paragraphs>14</Paragraphs>
  <TotalTime>155</TotalTime>
  <ScaleCrop>false</ScaleCrop>
  <LinksUpToDate>false</LinksUpToDate>
  <CharactersWithSpaces>6723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2023-03-22T07:34:17Z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E0DCD2FAFD4C4EC78104898D7A030BBD</vt:lpwstr>
  </property>
</Properties>
</file>