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大城县行政审批局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大城县行政审批局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贯彻执行党中央国务院、省委省政府、市委市政府和县委县政府“放管服”改革、行政审批制度改革、政务服务管理、公共资源交易市场管理有关方针政策和法律法规。拟定有关政策，协调指导并监督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组织协调全县“放管服”改革工作。指导、督促贯彻落实党中央国务院、省委省政府、市委市政府和县委县政府“放管服”改革重要领域、关键环节重大政策措施，承担县推进政府职能转变和“放管服”改革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负责办理划转至县行政审批局的行政审批事项，并对审批行为承担相应的法律责任；负责对划入的行政审批事项进行流程再造和环节优化，负责与监管部门的联系沟通，建立健全审批与监管的有效衔接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指导协调全县政务服务管理工作，负责优化政务服务供给，降低制度性交易成本，提升政务服务效能；负责推进行政审批服务便民化；指导协调县有关部门为公民、法人或其他组织提供规范、高效、优质的政务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级公共资源交易活动的联动执法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统筹推进全县“互联网+政务服务”工作，构建全县一体化政务服务平台。推进政务服务事项网上办理，形成管理机构、实体大厅、网上平台“三体一位”的管理模式，推进全县电子证照库建设，推进全县政务服务平台规范化、标准化、集约化建设和互联互通、数据共享。</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建立健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（十）负责监督和指导镇（区）便民服务中心管理，不断优化镇（区）便民服务中心建设，建立完善县镇（区）政务服务联动工作机制。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（十一）完成县委、县政府交办的其他任务。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大城县行政审批局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1035.48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1035.48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1035.48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700.21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628.16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72.04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335.27</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工作运转经费</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rPr>
        <w:t>政府购买劳动力服务</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lang w:eastAsia="zh-CN"/>
        </w:rPr>
        <w:t>物业管理</w:t>
      </w:r>
      <w:r>
        <w:rPr>
          <w:rFonts w:hint="eastAsia" w:ascii="仿宋_GB2312" w:hAnsi="仿宋_GB2312" w:eastAsia="仿宋_GB2312" w:cs="仿宋_GB2312"/>
          <w:sz w:val="32"/>
          <w:szCs w:val="32"/>
        </w:rPr>
        <w:t>服务费</w:t>
      </w:r>
      <w:r>
        <w:rPr>
          <w:rFonts w:hint="eastAsia" w:ascii="仿宋_GB2312" w:hAnsi="仿宋_GB2312" w:eastAsia="仿宋_GB2312" w:cs="仿宋_GB2312"/>
          <w:sz w:val="32"/>
          <w:szCs w:val="32"/>
          <w:lang w:eastAsia="zh-CN"/>
        </w:rPr>
        <w:t>、房屋租赁费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1035.48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134.34</w:t>
      </w:r>
      <w:r>
        <w:rPr>
          <w:rFonts w:ascii="Times New Roman" w:hAnsi="Times New Roman" w:eastAsia="仿宋_GB2312" w:cs="Times New Roman"/>
          <w:sz w:val="32"/>
          <w:szCs w:val="32"/>
        </w:rPr>
        <w:t>万元，其中：基本支出增</w:t>
      </w:r>
      <w:r>
        <w:rPr>
          <w:rFonts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154.59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288.93</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项目减少</w:t>
      </w:r>
      <w:r>
        <w:rPr>
          <w:rFonts w:ascii="Times New Roman" w:hAnsi="Times New Roman" w:eastAsia="仿宋_GB2312" w:cs="Times New Roman"/>
          <w:sz w:val="32"/>
          <w:szCs w:val="32"/>
          <w:highlight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72.04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highlight w:val="none"/>
        </w:rPr>
        <w:t>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eastAsia="zh-CN"/>
        </w:rPr>
        <w:t>持平，</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切实落实勤俭节约各项规定，压减公车运行经</w:t>
      </w:r>
      <w:r>
        <w:rPr>
          <w:rFonts w:hint="eastAsia" w:ascii="Times New Roman" w:hAnsi="Times New Roman" w:eastAsia="仿宋_GB2312" w:cs="Times New Roman"/>
          <w:sz w:val="32"/>
          <w:szCs w:val="32"/>
        </w:rPr>
        <w:t>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行政审批局成立以来，紧紧围绕国家、省、市、县“放管服”改革工作要求，秉承“便民、高效、规范、廉洁”的工作理念，推进审批制度改革和政务服务改革，不断提高我县政务服务水平，优化营商环境。一是全力服务债券项目申报工作；二是积极做好重点项目招投标服务工作；三是推进互联网政务改革，最大限度方便群众；四是推进商事制度改革，激发市场主体发展活力；五是优化整合审批事项，实现咨询、受理、代办、出证全方位服务，最大程度压减审批时限；六是进联合审批、联合验收，推广工程建设审批实名制，促进项目“拿地即开工”；七是全面推动我县整体社会信用体系建设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行政许可事项审批</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绩效目标：负责办理投资项目、经贸商务、环保城管、建设交通、文教卫生、社会事务、农林水务等方面行政审批及相关事务。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绩效指标：简化审批程序、规范行政行为、实现一窗式受理、一体化审批、一条龙办理模式。</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政务服务平台建设与管理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有序推进互联网政务工作，推进一体化在线政务服务平台建设，推动各级政务服务事项网上办理，实现互联互通，负责政务服务数据采集、汇聚和开发共享工作，负责全县电子证照库建设和管理；对行政审批事项和政务服务事项办理情况和效能进行监督及综合考评；负责推进全县公共资源交易领域信用体系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绩效指标：打造“管理规范、功能完善、标准统一、办事公开、信息共享、行政高效”的综合性政务服务平台；积极推进公共资源电子化交易平台建设。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便民服务平台建设与监管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绩效目标：监管供水、银行、燃气、供热、供电等民生服务。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绩效指标：各项民生服务便民高效的服务社会。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做好审批政务管理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绩效目标：开展全县审批系统人员宣传、教育、培训工作；深化行政审批制度改革，加快政府职能转变，提高行政审批效率，创新行政审批管理体制机制；提升审批综合事务管理水平。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绩效指标：提高审批政务管理人员的业务能力、工作效率，加强科研和文化建设;提升保障能力及管理水平，完成各项工作任务。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zh-CN"/>
        </w:rPr>
        <w:t>完善制度建设。完善预算绩效管理制度、资金管理办法、工作保障制度，做好信息化建设与维护、机关财务和资产管理、人事管理、党务管理工作等，为全年预算绩效目标的实现奠定基础。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rPr>
        <w:t xml:space="preserve"> </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加强支出管理。为加快我单位预算支出进度，提高财政资金使用效益，更好地促进行政审批工作，通过优化支出结构、编细编实预算、加快履行政府采购手续、尽快启动项目、及时支付资金、按规定及进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加强绩效运行监控。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w:t>
      </w: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608"/>
        <w:gridCol w:w="45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5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项目支出预算执行情况</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项目支出预算完成率</w:t>
            </w:r>
          </w:p>
        </w:tc>
        <w:tc>
          <w:tcPr>
            <w:tcW w:w="54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90</w:t>
            </w:r>
          </w:p>
        </w:tc>
        <w:tc>
          <w:tcPr>
            <w:tcW w:w="45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数量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年度项目建设</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完成年度项目建设数</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4</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个</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达标</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达标程度</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hint="default" w:ascii="方正书宋_GBK" w:eastAsia="方正书宋_GBK"/>
              </w:rPr>
            </w:pP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达标</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及时使用</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202</w:t>
            </w:r>
            <w:r>
              <w:rPr>
                <w:rFonts w:hint="eastAsia" w:ascii="方正书宋_GBK" w:eastAsia="方正书宋_GBK"/>
                <w:lang w:val="en-US" w:eastAsia="zh-CN"/>
              </w:rPr>
              <w:t>3年</w:t>
            </w:r>
            <w:r>
              <w:rPr>
                <w:rFonts w:hint="default" w:ascii="方正书宋_GBK" w:eastAsia="方正书宋_GBK"/>
                <w:lang w:val="en-US" w:eastAsia="zh-CN"/>
              </w:rPr>
              <w:t>年底完成</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hint="default" w:ascii="方正书宋_GBK" w:eastAsia="方正书宋_GBK"/>
              </w:rPr>
            </w:pP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及时</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成本控制</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成本控制在预算额度内</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335.27</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万元</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p>
        </w:tc>
        <w:tc>
          <w:tcPr>
            <w:tcW w:w="2172"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提升经济指标</w:t>
            </w:r>
          </w:p>
        </w:tc>
        <w:tc>
          <w:tcPr>
            <w:tcW w:w="2172"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完成各项目建设有利于推动县城经济发展</w:t>
            </w:r>
          </w:p>
        </w:tc>
        <w:tc>
          <w:tcPr>
            <w:tcW w:w="543"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文字描述</w:t>
            </w:r>
          </w:p>
        </w:tc>
        <w:tc>
          <w:tcPr>
            <w:tcW w:w="608" w:type="dxa"/>
            <w:tcBorders>
              <w:tl2br w:val="nil"/>
              <w:tr2bl w:val="nil"/>
            </w:tcBorders>
            <w:vAlign w:val="top"/>
          </w:tcPr>
          <w:p>
            <w:pPr>
              <w:widowControl/>
              <w:adjustRightInd w:val="0"/>
              <w:snapToGrid w:val="0"/>
              <w:jc w:val="center"/>
              <w:rPr>
                <w:rFonts w:ascii="方正书宋_GBK" w:eastAsia="方正书宋_GBK"/>
              </w:rPr>
            </w:pPr>
          </w:p>
        </w:tc>
        <w:tc>
          <w:tcPr>
            <w:tcW w:w="453"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显著</w:t>
            </w:r>
          </w:p>
        </w:tc>
        <w:tc>
          <w:tcPr>
            <w:tcW w:w="1277" w:type="dxa"/>
            <w:tcBorders>
              <w:tl2br w:val="nil"/>
              <w:tr2bl w:val="nil"/>
            </w:tcBorders>
            <w:vAlign w:val="top"/>
          </w:tcPr>
          <w:p>
            <w:pPr>
              <w:widowControl/>
              <w:adjustRightInd w:val="0"/>
              <w:snapToGrid w:val="0"/>
              <w:jc w:val="center"/>
              <w:rPr>
                <w:rFonts w:ascii="方正书宋_GBK" w:eastAsia="方正书宋_GBK"/>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p>
        </w:tc>
        <w:tc>
          <w:tcPr>
            <w:tcW w:w="2172"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ascii="方正书宋_GBK" w:eastAsia="方正书宋_GBK"/>
              </w:rPr>
            </w:pPr>
          </w:p>
        </w:tc>
        <w:tc>
          <w:tcPr>
            <w:tcW w:w="2172" w:type="dxa"/>
            <w:tcBorders>
              <w:tl2br w:val="nil"/>
              <w:tr2bl w:val="nil"/>
            </w:tcBorders>
            <w:noWrap/>
            <w:vAlign w:val="center"/>
          </w:tcPr>
          <w:p>
            <w:pPr>
              <w:widowControl/>
              <w:adjustRightInd w:val="0"/>
              <w:snapToGrid w:val="0"/>
              <w:jc w:val="center"/>
              <w:rPr>
                <w:rFonts w:ascii="方正书宋_GBK" w:eastAsia="方正书宋_GBK"/>
              </w:rPr>
            </w:pPr>
          </w:p>
        </w:tc>
        <w:tc>
          <w:tcPr>
            <w:tcW w:w="1483" w:type="dxa"/>
            <w:tcBorders>
              <w:tl2br w:val="nil"/>
              <w:tr2bl w:val="nil"/>
            </w:tcBorders>
            <w:noWrap/>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08" w:type="dxa"/>
            <w:tcBorders>
              <w:tl2br w:val="nil"/>
              <w:tr2bl w:val="nil"/>
            </w:tcBorders>
            <w:vAlign w:val="center"/>
          </w:tcPr>
          <w:p>
            <w:pPr>
              <w:widowControl/>
              <w:adjustRightInd w:val="0"/>
              <w:snapToGrid w:val="0"/>
              <w:jc w:val="center"/>
              <w:rPr>
                <w:rFonts w:ascii="方正书宋_GBK" w:eastAsia="方正书宋_GBK"/>
              </w:rPr>
            </w:pPr>
          </w:p>
        </w:tc>
        <w:tc>
          <w:tcPr>
            <w:tcW w:w="45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897"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服务对象满意度</w:t>
            </w:r>
          </w:p>
        </w:tc>
        <w:tc>
          <w:tcPr>
            <w:tcW w:w="2172"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noWrap/>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服务对象对项目实施的满意度</w:t>
            </w:r>
          </w:p>
        </w:tc>
        <w:tc>
          <w:tcPr>
            <w:tcW w:w="543" w:type="dxa"/>
            <w:tcBorders>
              <w:tl2br w:val="nil"/>
              <w:tr2bl w:val="nil"/>
            </w:tcBorders>
            <w:vAlign w:val="top"/>
          </w:tcPr>
          <w:p>
            <w:pPr>
              <w:widowControl/>
              <w:adjustRightInd w:val="0"/>
              <w:snapToGrid w:val="0"/>
              <w:jc w:val="center"/>
              <w:rPr>
                <w:rFonts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95</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群众满意度</w:t>
            </w:r>
          </w:p>
        </w:tc>
        <w:tc>
          <w:tcPr>
            <w:tcW w:w="2172"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依据预算执行情况</w:t>
            </w:r>
          </w:p>
        </w:tc>
        <w:tc>
          <w:tcPr>
            <w:tcW w:w="1483" w:type="dxa"/>
            <w:tcBorders>
              <w:tl2br w:val="nil"/>
              <w:tr2bl w:val="nil"/>
            </w:tcBorders>
            <w:noWrap/>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群众满意数量占总数的比例</w:t>
            </w:r>
          </w:p>
        </w:tc>
        <w:tc>
          <w:tcPr>
            <w:tcW w:w="54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608"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95</w:t>
            </w:r>
          </w:p>
        </w:tc>
        <w:tc>
          <w:tcPr>
            <w:tcW w:w="453"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jc w:val="center"/>
              <w:rPr>
                <w:rFonts w:hint="default" w:ascii="方正书宋_GBK" w:eastAsia="方正书宋_GBK"/>
                <w:lang w:val="en-US" w:eastAsia="zh-CN"/>
              </w:rPr>
            </w:pPr>
            <w:r>
              <w:rPr>
                <w:rFonts w:hint="default" w:ascii="方正书宋_GBK" w:eastAsia="方正书宋_GBK"/>
                <w:lang w:val="en-US" w:eastAsia="zh-CN"/>
              </w:rPr>
              <w:t>依据请示、合同、文件</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购</w:t>
      </w:r>
      <w:r>
        <w:rPr>
          <w:rFonts w:hint="default" w:ascii="Times New Roman" w:hAnsi="Times New Roman" w:eastAsia="仿宋_GB2312" w:cs="Times New Roman"/>
          <w:sz w:val="28"/>
          <w:lang w:val="en-US" w:eastAsia="zh-CN"/>
        </w:rPr>
        <w:t>买劳动力服务</w:t>
      </w:r>
      <w:r>
        <w:rPr>
          <w:rFonts w:ascii="Times New Roman" w:hAnsi="Times New Roman" w:eastAsia="仿宋_GB2312" w:cs="Times New Roman"/>
          <w:sz w:val="28"/>
        </w:rPr>
        <w:t>绩效目标表</w:t>
      </w:r>
    </w:p>
    <w:tbl>
      <w:tblPr>
        <w:tblStyle w:val="9"/>
        <w:tblW w:w="1466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3"/>
        <w:gridCol w:w="1729"/>
        <w:gridCol w:w="1398"/>
        <w:gridCol w:w="4119"/>
        <w:gridCol w:w="1485"/>
        <w:gridCol w:w="1281"/>
        <w:gridCol w:w="1449"/>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7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机构改革后，单位的业务发展变化很大，对工作人员的需求也日益增加，满足不了当前工作需要，需要以劳务派遣用工形式招录人员满足工作需要，保证工作正常运行。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1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1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购买劳动力服务</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完成购买劳动力服务</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112.67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满足工作需要</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解决就业，补充单位工作力量，更好的服务群众</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职工工作效果</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增加投入，对提高职工工作效果的影响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群众办事效果</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增加投入，对提高群众办事效果的影响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职工对项目实施的满意度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4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服务对象对项目实施的满意度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《合同》</w:t>
            </w:r>
          </w:p>
        </w:tc>
      </w:tr>
    </w:tbl>
    <w:p>
      <w:pPr>
        <w:numPr>
          <w:ilvl w:val="0"/>
          <w:numId w:val="0"/>
        </w:numPr>
        <w:ind w:firstLine="280" w:firstLineChars="100"/>
        <w:jc w:val="left"/>
        <w:outlineLvl w:val="1"/>
        <w:rPr>
          <w:rFonts w:hint="default" w:ascii="Times New Roman" w:hAnsi="Times New Roman" w:eastAsia="仿宋_GB2312" w:cs="Times New Roman"/>
          <w:sz w:val="28"/>
          <w:lang w:val="en-US" w:eastAsia="zh-CN"/>
        </w:rPr>
      </w:pPr>
    </w:p>
    <w:p>
      <w:pPr>
        <w:numPr>
          <w:ilvl w:val="0"/>
          <w:numId w:val="0"/>
        </w:numPr>
        <w:ind w:firstLine="180" w:firstLineChars="100"/>
        <w:jc w:val="left"/>
        <w:outlineLvl w:val="1"/>
        <w:rPr>
          <w:rFonts w:hint="default" w:ascii="Times New Roman" w:hAnsi="Times New Roman" w:eastAsia="仿宋_GB2312" w:cs="Times New Roman"/>
          <w:sz w:val="18"/>
          <w:szCs w:val="18"/>
          <w:lang w:val="en-US" w:eastAsia="zh-CN"/>
        </w:rPr>
      </w:pPr>
    </w:p>
    <w:p>
      <w:pPr>
        <w:numPr>
          <w:ilvl w:val="0"/>
          <w:numId w:val="0"/>
        </w:numPr>
        <w:ind w:firstLine="180" w:firstLineChars="100"/>
        <w:jc w:val="left"/>
        <w:outlineLvl w:val="1"/>
        <w:rPr>
          <w:rFonts w:hint="default" w:ascii="Times New Roman" w:hAnsi="Times New Roman" w:eastAsia="仿宋_GB2312" w:cs="Times New Roman"/>
          <w:sz w:val="18"/>
          <w:szCs w:val="18"/>
          <w:lang w:val="en-US" w:eastAsia="zh-CN"/>
        </w:rPr>
      </w:pPr>
    </w:p>
    <w:p>
      <w:pPr>
        <w:numPr>
          <w:ilvl w:val="0"/>
          <w:numId w:val="0"/>
        </w:numPr>
        <w:ind w:firstLine="180" w:firstLineChars="100"/>
        <w:jc w:val="left"/>
        <w:outlineLvl w:val="1"/>
        <w:rPr>
          <w:rFonts w:hint="default" w:ascii="Times New Roman" w:hAnsi="Times New Roman" w:eastAsia="仿宋_GB2312" w:cs="Times New Roman"/>
          <w:sz w:val="18"/>
          <w:szCs w:val="1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default" w:ascii="Times New Roman" w:hAnsi="Times New Roman" w:eastAsia="仿宋_GB2312" w:cs="Times New Roman"/>
          <w:sz w:val="28"/>
          <w:lang w:val="en-US" w:eastAsia="zh-CN"/>
        </w:rPr>
        <w:t>2.建档立卡脱贫户生产生活补助金</w:t>
      </w:r>
      <w:r>
        <w:rPr>
          <w:rFonts w:ascii="Times New Roman" w:hAnsi="Times New Roman" w:eastAsia="仿宋_GB2312" w:cs="Times New Roman"/>
          <w:sz w:val="28"/>
        </w:rPr>
        <w:t>绩效目标表</w:t>
      </w:r>
    </w:p>
    <w:tbl>
      <w:tblPr>
        <w:tblStyle w:val="9"/>
        <w:tblW w:w="147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4"/>
        <w:gridCol w:w="1800"/>
        <w:gridCol w:w="2144"/>
        <w:gridCol w:w="3006"/>
        <w:gridCol w:w="1699"/>
        <w:gridCol w:w="846"/>
        <w:gridCol w:w="1580"/>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3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为保障建档立卡贫困户慰问工作有效开展，建立长效机制，坚持节日慰问和日常慰问相结合。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0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建档立卡贫困户数</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完成建档立卡贫困户数</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户</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w:t>
            </w:r>
            <w:r>
              <w:rPr>
                <w:rFonts w:hint="eastAsia" w:ascii="宋体" w:hAnsi="宋体" w:cs="宋体"/>
                <w:i w:val="0"/>
                <w:iCs w:val="0"/>
                <w:color w:val="000000"/>
                <w:kern w:val="0"/>
                <w:sz w:val="18"/>
                <w:szCs w:val="18"/>
                <w:u w:val="none"/>
                <w:lang w:val="en-US" w:eastAsia="zh-CN" w:bidi="ar"/>
              </w:rPr>
              <w:t>年</w:t>
            </w:r>
            <w:r>
              <w:rPr>
                <w:rFonts w:hint="eastAsia" w:ascii="宋体" w:hAnsi="宋体" w:eastAsia="宋体" w:cs="宋体"/>
                <w:i w:val="0"/>
                <w:iCs w:val="0"/>
                <w:color w:val="000000"/>
                <w:kern w:val="0"/>
                <w:sz w:val="18"/>
                <w:szCs w:val="18"/>
                <w:u w:val="none"/>
                <w:lang w:val="en-US" w:eastAsia="zh-CN" w:bidi="ar"/>
              </w:rPr>
              <w:t>年底完成</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0.6</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开展“暖心工程”</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激发贫困户脱贫致富奔小康的动力</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w:t>
            </w:r>
            <w:r>
              <w:rPr>
                <w:rFonts w:hint="eastAsia" w:ascii="宋体" w:hAnsi="宋体" w:cs="宋体"/>
                <w:i w:val="0"/>
                <w:iCs w:val="0"/>
                <w:color w:val="000000"/>
                <w:kern w:val="0"/>
                <w:sz w:val="18"/>
                <w:szCs w:val="18"/>
                <w:u w:val="none"/>
                <w:lang w:val="en-US" w:eastAsia="zh-CN" w:bidi="ar"/>
              </w:rPr>
              <w:t>建档</w:t>
            </w:r>
            <w:r>
              <w:rPr>
                <w:rFonts w:hint="eastAsia" w:ascii="宋体" w:hAnsi="宋体" w:eastAsia="宋体" w:cs="宋体"/>
                <w:i w:val="0"/>
                <w:iCs w:val="0"/>
                <w:color w:val="000000"/>
                <w:kern w:val="0"/>
                <w:sz w:val="18"/>
                <w:szCs w:val="18"/>
                <w:u w:val="none"/>
                <w:lang w:val="en-US" w:eastAsia="zh-CN" w:bidi="ar"/>
              </w:rPr>
              <w:t>立卡贫困户的效果</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增加投入</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对提高贫困户效果的影响</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贫困户对派出单位的满意度</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贫困户满意度</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贫困户对帮扶责任人的满意度</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大组字﹝2018﹞66号</w:t>
            </w:r>
          </w:p>
        </w:tc>
      </w:tr>
    </w:tbl>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default" w:ascii="Times New Roman" w:hAnsi="Times New Roman" w:eastAsia="仿宋_GB2312" w:cs="Times New Roman"/>
          <w:sz w:val="28"/>
          <w:lang w:val="en-US" w:eastAsia="zh-CN"/>
        </w:rPr>
        <w:t>.房屋租赁费</w:t>
      </w:r>
      <w:r>
        <w:rPr>
          <w:rFonts w:ascii="Times New Roman" w:hAnsi="Times New Roman" w:eastAsia="仿宋_GB2312" w:cs="Times New Roman"/>
          <w:sz w:val="28"/>
        </w:rPr>
        <w:t>绩效目标表</w:t>
      </w:r>
    </w:p>
    <w:tbl>
      <w:tblPr>
        <w:tblStyle w:val="9"/>
        <w:tblW w:w="147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880"/>
        <w:gridCol w:w="1753"/>
        <w:gridCol w:w="2834"/>
        <w:gridCol w:w="1112"/>
        <w:gridCol w:w="1112"/>
        <w:gridCol w:w="1974"/>
        <w:gridCol w:w="2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98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通过租赁房屋，确保政务服务中心正常运转，为群众提供政务服务。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12828.05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平方米</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房屋租赁合同</w:t>
            </w:r>
          </w:p>
        </w:tc>
      </w:tr>
    </w:tbl>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default" w:ascii="Times New Roman" w:hAnsi="Times New Roman" w:eastAsia="仿宋_GB2312" w:cs="Times New Roman"/>
          <w:sz w:val="28"/>
          <w:lang w:val="en-US" w:eastAsia="zh-CN"/>
        </w:rPr>
        <w:t>劳务派遣5人工资、保险</w:t>
      </w:r>
      <w:r>
        <w:rPr>
          <w:rFonts w:ascii="Times New Roman" w:hAnsi="Times New Roman" w:eastAsia="仿宋_GB2312" w:cs="Times New Roman"/>
          <w:sz w:val="28"/>
        </w:rPr>
        <w:t>绩效目标表</w:t>
      </w:r>
    </w:p>
    <w:tbl>
      <w:tblPr>
        <w:tblStyle w:val="9"/>
        <w:tblW w:w="1469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0"/>
        <w:gridCol w:w="1220"/>
        <w:gridCol w:w="1561"/>
        <w:gridCol w:w="2788"/>
        <w:gridCol w:w="960"/>
        <w:gridCol w:w="885"/>
        <w:gridCol w:w="1455"/>
        <w:gridCol w:w="4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3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4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总人数</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招录劳务派遣人数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达标</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提高工作效率</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及时性</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及时</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劳务派遣协议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成本控制在预算额度内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万元</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推动工作开展</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推动工作开展</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可持续性服务</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可持续性服务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显著</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服务对象对劳务派遣人员的整体满意度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职工满意度</w:t>
            </w:r>
          </w:p>
        </w:tc>
        <w:tc>
          <w:tcPr>
            <w:tcW w:w="2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职工对劳务派遣人员的满意度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《大城县人力资源和社会保障局关于政府购买服务岗位的意见》</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jc w:val="center"/>
        <w:outlineLvl w:val="1"/>
        <w:rPr>
          <w:rFonts w:ascii="方正小标宋_GBK" w:eastAsia="方正小标宋_GBK" w:cs="Times New Roman"/>
          <w:sz w:val="32"/>
        </w:rPr>
      </w:pPr>
      <w:r>
        <w:rPr>
          <w:rFonts w:hint="eastAsia"/>
          <w:lang w:eastAsia="zh-CN"/>
        </w:rPr>
        <w:t>大城县行政审批局</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bookmarkStart w:id="2" w:name="_GoBack"/>
            <w:bookmarkEnd w:id="2"/>
          </w:p>
        </w:tc>
        <w:tc>
          <w:tcPr>
            <w:tcW w:w="964" w:type="dxa"/>
            <w:vAlign w:val="center"/>
          </w:tcPr>
          <w:p>
            <w:pPr>
              <w:pStyle w:val="22"/>
              <w:spacing w:line="584" w:lineRule="exact"/>
              <w:rPr>
                <w:rFonts w:hint="default" w:eastAsia="方正书宋_GBK"/>
                <w:lang w:val="en-US" w:eastAsia="zh-CN"/>
              </w:rPr>
            </w:pPr>
          </w:p>
        </w:tc>
        <w:tc>
          <w:tcPr>
            <w:tcW w:w="1134" w:type="dxa"/>
            <w:vAlign w:val="center"/>
          </w:tcPr>
          <w:p>
            <w:pPr>
              <w:pStyle w:val="23"/>
              <w:spacing w:line="584" w:lineRule="exact"/>
              <w:rPr>
                <w:rFonts w:hint="eastAsia" w:eastAsia="方正书宋_GBK"/>
                <w:lang w:eastAsia="zh-CN"/>
              </w:rPr>
            </w:pPr>
          </w:p>
        </w:tc>
        <w:tc>
          <w:tcPr>
            <w:tcW w:w="1134" w:type="dxa"/>
            <w:vAlign w:val="center"/>
          </w:tcPr>
          <w:p>
            <w:pPr>
              <w:pStyle w:val="23"/>
              <w:spacing w:line="584" w:lineRule="exact"/>
              <w:rPr>
                <w:rFonts w:hint="default" w:ascii="方正书宋_GBK" w:hAnsi="方正书宋_GBK" w:eastAsia="方正书宋_GBK" w:cs="方正书宋_GBK"/>
                <w:b/>
                <w:kern w:val="0"/>
                <w:sz w:val="21"/>
                <w:szCs w:val="24"/>
                <w:lang w:val="en-US" w:eastAsia="zh-CN" w:bidi="ar-SA"/>
              </w:rPr>
            </w:pPr>
          </w:p>
        </w:tc>
        <w:tc>
          <w:tcPr>
            <w:tcW w:w="709" w:type="dxa"/>
            <w:vAlign w:val="center"/>
          </w:tcPr>
          <w:p>
            <w:pPr>
              <w:pStyle w:val="21"/>
              <w:spacing w:line="584" w:lineRule="exact"/>
              <w:rPr>
                <w:rFonts w:hint="eastAsia" w:eastAsia="方正书宋_GBK"/>
                <w:lang w:eastAsia="zh-CN"/>
              </w:rPr>
            </w:pPr>
          </w:p>
        </w:tc>
        <w:tc>
          <w:tcPr>
            <w:tcW w:w="850" w:type="dxa"/>
            <w:vAlign w:val="center"/>
          </w:tcPr>
          <w:p>
            <w:pPr>
              <w:pStyle w:val="22"/>
              <w:spacing w:line="584" w:lineRule="exact"/>
              <w:rPr>
                <w:rFonts w:hint="default" w:eastAsia="方正书宋_GBK"/>
                <w:lang w:val="en-US" w:eastAsia="zh-CN"/>
              </w:rPr>
            </w:pPr>
          </w:p>
        </w:tc>
        <w:tc>
          <w:tcPr>
            <w:tcW w:w="850" w:type="dxa"/>
            <w:vAlign w:val="center"/>
          </w:tcPr>
          <w:p>
            <w:pPr>
              <w:pStyle w:val="22"/>
              <w:spacing w:line="584" w:lineRule="exact"/>
              <w:rPr>
                <w:rFonts w:hint="default" w:eastAsia="方正书宋_GBK"/>
                <w:lang w:val="en-US" w:eastAsia="zh-CN"/>
              </w:rPr>
            </w:pPr>
          </w:p>
        </w:tc>
        <w:tc>
          <w:tcPr>
            <w:tcW w:w="964" w:type="dxa"/>
            <w:vAlign w:val="center"/>
          </w:tcPr>
          <w:p>
            <w:pPr>
              <w:pStyle w:val="22"/>
              <w:spacing w:line="584" w:lineRule="exact"/>
              <w:rPr>
                <w:rFonts w:hint="default" w:eastAsia="方正书宋_GBK"/>
                <w:lang w:val="en-US" w:eastAsia="zh-CN"/>
              </w:rPr>
            </w:pPr>
          </w:p>
        </w:tc>
        <w:tc>
          <w:tcPr>
            <w:tcW w:w="964" w:type="dxa"/>
            <w:vAlign w:val="center"/>
          </w:tcPr>
          <w:p>
            <w:pPr>
              <w:pStyle w:val="22"/>
              <w:spacing w:line="584" w:lineRule="exact"/>
              <w:rPr>
                <w:rFonts w:hint="default" w:eastAsia="方正书宋_GBK"/>
                <w:lang w:val="en-US" w:eastAsia="zh-CN"/>
              </w:rPr>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spacing w:line="300" w:lineRule="exact"/>
              <w:jc w:val="center"/>
            </w:pPr>
          </w:p>
        </w:tc>
        <w:tc>
          <w:tcPr>
            <w:tcW w:w="964" w:type="dxa"/>
            <w:vAlign w:val="center"/>
          </w:tcPr>
          <w:p>
            <w:pPr>
              <w:spacing w:line="300" w:lineRule="exact"/>
              <w:jc w:val="center"/>
              <w:rPr>
                <w:rFonts w:hint="default" w:eastAsia="方正书宋_GBK"/>
                <w:lang w:val="en-US" w:eastAsia="zh-CN"/>
              </w:rPr>
            </w:pPr>
          </w:p>
        </w:tc>
        <w:tc>
          <w:tcPr>
            <w:tcW w:w="1134" w:type="dxa"/>
            <w:vAlign w:val="center"/>
          </w:tcPr>
          <w:p>
            <w:pPr>
              <w:spacing w:line="300" w:lineRule="exact"/>
              <w:jc w:val="center"/>
              <w:rPr>
                <w:rFonts w:hint="eastAsia" w:eastAsia="方正书宋_GBK"/>
                <w:lang w:eastAsia="zh-CN"/>
              </w:rPr>
            </w:pPr>
          </w:p>
        </w:tc>
        <w:tc>
          <w:tcPr>
            <w:tcW w:w="1134" w:type="dxa"/>
            <w:vAlign w:val="center"/>
          </w:tcPr>
          <w:p>
            <w:pPr>
              <w:spacing w:line="300" w:lineRule="exact"/>
              <w:jc w:val="center"/>
              <w:rPr>
                <w:rFonts w:hint="default" w:ascii="方正书宋_GBK" w:hAnsi="方正书宋_GBK" w:eastAsia="方正书宋_GBK" w:cs="方正书宋_GBK"/>
                <w:b/>
                <w:kern w:val="0"/>
                <w:sz w:val="21"/>
                <w:szCs w:val="24"/>
                <w:lang w:val="en-US" w:eastAsia="zh-CN" w:bidi="ar-SA"/>
              </w:rPr>
            </w:pPr>
          </w:p>
        </w:tc>
        <w:tc>
          <w:tcPr>
            <w:tcW w:w="709" w:type="dxa"/>
            <w:vAlign w:val="center"/>
          </w:tcPr>
          <w:p>
            <w:pPr>
              <w:spacing w:line="300" w:lineRule="exact"/>
              <w:jc w:val="center"/>
              <w:rPr>
                <w:rFonts w:hint="eastAsia" w:eastAsia="方正书宋_GBK"/>
                <w:lang w:eastAsia="zh-CN"/>
              </w:rPr>
            </w:pPr>
          </w:p>
        </w:tc>
        <w:tc>
          <w:tcPr>
            <w:tcW w:w="850" w:type="dxa"/>
            <w:vAlign w:val="center"/>
          </w:tcPr>
          <w:p>
            <w:pPr>
              <w:spacing w:line="300" w:lineRule="exact"/>
              <w:jc w:val="center"/>
              <w:rPr>
                <w:rFonts w:hint="eastAsia" w:eastAsia="方正书宋_GBK"/>
                <w:lang w:val="en-US" w:eastAsia="zh-CN"/>
              </w:rPr>
            </w:pPr>
          </w:p>
        </w:tc>
        <w:tc>
          <w:tcPr>
            <w:tcW w:w="850" w:type="dxa"/>
            <w:vAlign w:val="center"/>
          </w:tcPr>
          <w:p>
            <w:pPr>
              <w:spacing w:line="300" w:lineRule="exact"/>
              <w:jc w:val="center"/>
              <w:rPr>
                <w:rFonts w:hint="default" w:eastAsia="方正书宋_GBK"/>
                <w:lang w:val="en-US" w:eastAsia="zh-CN"/>
              </w:rPr>
            </w:pPr>
          </w:p>
        </w:tc>
        <w:tc>
          <w:tcPr>
            <w:tcW w:w="964" w:type="dxa"/>
            <w:vAlign w:val="center"/>
          </w:tcPr>
          <w:p>
            <w:pPr>
              <w:spacing w:line="300" w:lineRule="exact"/>
              <w:jc w:val="center"/>
              <w:rPr>
                <w:rFonts w:hint="default" w:eastAsia="方正书宋_GBK"/>
                <w:lang w:val="en-US" w:eastAsia="zh-CN"/>
              </w:rPr>
            </w:pPr>
          </w:p>
        </w:tc>
        <w:tc>
          <w:tcPr>
            <w:tcW w:w="964" w:type="dxa"/>
            <w:vAlign w:val="center"/>
          </w:tcPr>
          <w:p>
            <w:pPr>
              <w:spacing w:line="300" w:lineRule="exact"/>
              <w:jc w:val="center"/>
              <w:rPr>
                <w:rFonts w:hint="default" w:eastAsia="方正书宋_GBK"/>
                <w:lang w:val="en-US" w:eastAsia="zh-CN"/>
              </w:rPr>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320" w:firstLineChars="1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大城县行政审批局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1271.16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行政审批局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1271.16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22.96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1248.20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NhMWJiZjk4ZmE4NzhiNjE2MzdkYzFmM2RiMTliZG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E7C47EE"/>
    <w:rsid w:val="105477D0"/>
    <w:rsid w:val="13E306DA"/>
    <w:rsid w:val="1B1D7A72"/>
    <w:rsid w:val="1B6E4190"/>
    <w:rsid w:val="1BA535D6"/>
    <w:rsid w:val="1C502F39"/>
    <w:rsid w:val="1D801FC4"/>
    <w:rsid w:val="21487A63"/>
    <w:rsid w:val="222334A6"/>
    <w:rsid w:val="23BC3E20"/>
    <w:rsid w:val="283442E4"/>
    <w:rsid w:val="2AFB4FC0"/>
    <w:rsid w:val="2DC5475C"/>
    <w:rsid w:val="34B54432"/>
    <w:rsid w:val="38F17E51"/>
    <w:rsid w:val="39343ECA"/>
    <w:rsid w:val="39932BDD"/>
    <w:rsid w:val="3DEB0EC4"/>
    <w:rsid w:val="3E8B454E"/>
    <w:rsid w:val="3F655022"/>
    <w:rsid w:val="427F607F"/>
    <w:rsid w:val="55440103"/>
    <w:rsid w:val="56664773"/>
    <w:rsid w:val="57E040E2"/>
    <w:rsid w:val="5B5B4FA1"/>
    <w:rsid w:val="5D467A6D"/>
    <w:rsid w:val="5DE9563B"/>
    <w:rsid w:val="673B57FC"/>
    <w:rsid w:val="687D1153"/>
    <w:rsid w:val="6B1D22BB"/>
    <w:rsid w:val="6C2731BD"/>
    <w:rsid w:val="6E3A0F28"/>
    <w:rsid w:val="6F215C44"/>
    <w:rsid w:val="72081005"/>
    <w:rsid w:val="78342545"/>
    <w:rsid w:val="7A322170"/>
    <w:rsid w:val="7AC038EA"/>
    <w:rsid w:val="7DA35E15"/>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0" w:firstLine="629"/>
    </w:p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6326</Words>
  <Characters>6536</Characters>
  <Lines>35</Lines>
  <Paragraphs>10</Paragraphs>
  <TotalTime>0</TotalTime>
  <ScaleCrop>false</ScaleCrop>
  <LinksUpToDate>false</LinksUpToDate>
  <CharactersWithSpaces>6672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2023-03-27T08:57:21Z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