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大城县看守所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大城县看守所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单位</w:t>
      </w:r>
      <w:r>
        <w:rPr>
          <w:rFonts w:ascii="Times New Roman" w:hAnsi="Times New Roman" w:eastAsia="楷体_GB2312" w:cs="Times New Roman"/>
          <w:b/>
          <w:sz w:val="32"/>
          <w:szCs w:val="32"/>
        </w:rPr>
        <w:t>职责：</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)负责县看守所和拘留所的管理工作。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仿宋_GB2312" w:eastAsia="仿宋_GB2312"/>
                <w:highlight w:val="yellow"/>
              </w:rPr>
            </w:pPr>
            <w:r>
              <w:rPr>
                <w:rFonts w:hint="eastAsia" w:ascii="仿宋_GB2312" w:eastAsia="仿宋_GB2312"/>
              </w:rPr>
              <w:t>大城县看守所</w:t>
            </w:r>
          </w:p>
        </w:tc>
        <w:tc>
          <w:tcPr>
            <w:tcW w:w="1134" w:type="dxa"/>
            <w:shd w:val="clear" w:color="auto" w:fill="auto"/>
            <w:vAlign w:val="center"/>
          </w:tcPr>
          <w:p>
            <w:pPr>
              <w:spacing w:line="300" w:lineRule="exact"/>
              <w:jc w:val="center"/>
              <w:rPr>
                <w:rFonts w:ascii="仿宋_GB2312" w:eastAsia="仿宋_GB2312"/>
              </w:rPr>
            </w:pPr>
            <w:r>
              <w:rPr>
                <w:rFonts w:hint="eastAsia" w:ascii="仿宋_GB2312" w:eastAsia="仿宋_GB2312"/>
              </w:rPr>
              <w:t>行政</w:t>
            </w:r>
          </w:p>
        </w:tc>
        <w:tc>
          <w:tcPr>
            <w:tcW w:w="1276" w:type="dxa"/>
            <w:shd w:val="clear" w:color="auto" w:fill="auto"/>
            <w:vAlign w:val="center"/>
          </w:tcPr>
          <w:p>
            <w:pPr>
              <w:spacing w:line="300" w:lineRule="exact"/>
              <w:jc w:val="center"/>
              <w:rPr>
                <w:rFonts w:ascii="仿宋_GB2312" w:eastAsia="仿宋_GB2312"/>
              </w:rPr>
            </w:pPr>
            <w:r>
              <w:rPr>
                <w:rFonts w:hint="eastAsia" w:ascii="仿宋_GB2312" w:eastAsia="仿宋_GB2312"/>
              </w:rPr>
              <w:t>副科级</w:t>
            </w:r>
          </w:p>
        </w:tc>
        <w:tc>
          <w:tcPr>
            <w:tcW w:w="2902" w:type="dxa"/>
            <w:shd w:val="clear" w:color="auto" w:fill="auto"/>
            <w:vAlign w:val="center"/>
          </w:tcPr>
          <w:p>
            <w:pPr>
              <w:spacing w:line="300" w:lineRule="exact"/>
              <w:jc w:val="center"/>
              <w:rPr>
                <w:rFonts w:ascii="仿宋_GB2312" w:eastAsia="仿宋_GB2312"/>
              </w:rPr>
            </w:pPr>
            <w:r>
              <w:rPr>
                <w:rFonts w:hint="eastAsia" w:ascii="仿宋_GB2312" w:eastAsia="仿宋_GB2312"/>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420.1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420.1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大城县2023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420.1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工资奖金津补贴、看守所运转经费（办案支出）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女犯人拘押、未成年代押经费、其他人员工资经费、取暖经费、水费经费、在押人员伙食经费、在押人员入所前体检经费、在押人员体检费、在押人员医疗医药经费、在押人员衣被费、在押人员重大疾病治疗专项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420.1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减少117.49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减少0</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减少117.49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监所修缮工程、维稳经费、武警运转经费等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57.5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看守所</w:t>
      </w:r>
      <w:r>
        <w:rPr>
          <w:rFonts w:ascii="Times New Roman" w:hAnsi="Times New Roman" w:eastAsia="仿宋_GB2312" w:cs="Times New Roman"/>
          <w:sz w:val="32"/>
          <w:szCs w:val="32"/>
        </w:rPr>
        <w:t>办公区</w:t>
      </w:r>
      <w:r>
        <w:rPr>
          <w:rFonts w:hint="eastAsia" w:ascii="Times New Roman" w:hAnsi="Times New Roman" w:eastAsia="仿宋_GB2312" w:cs="Times New Roman"/>
          <w:sz w:val="32"/>
          <w:szCs w:val="32"/>
        </w:rPr>
        <w:t>监区</w:t>
      </w:r>
      <w:r>
        <w:rPr>
          <w:rFonts w:ascii="Times New Roman" w:hAnsi="Times New Roman" w:eastAsia="仿宋_GB2312" w:cs="Times New Roman"/>
          <w:sz w:val="32"/>
          <w:szCs w:val="32"/>
        </w:rPr>
        <w:t>的日常维修、办公用房</w:t>
      </w:r>
      <w:r>
        <w:rPr>
          <w:rFonts w:hint="eastAsia" w:ascii="Times New Roman" w:hAnsi="Times New Roman" w:eastAsia="仿宋_GB2312" w:cs="Times New Roman"/>
          <w:sz w:val="32"/>
          <w:szCs w:val="32"/>
        </w:rPr>
        <w:t>监区武警</w:t>
      </w:r>
      <w:r>
        <w:rPr>
          <w:rFonts w:ascii="Times New Roman" w:hAnsi="Times New Roman" w:eastAsia="仿宋_GB2312" w:cs="Times New Roman"/>
          <w:sz w:val="32"/>
          <w:szCs w:val="32"/>
        </w:rPr>
        <w:t>电费、</w:t>
      </w:r>
      <w:r>
        <w:rPr>
          <w:rFonts w:hint="eastAsia" w:ascii="Times New Roman" w:hAnsi="Times New Roman" w:eastAsia="仿宋_GB2312" w:cs="Times New Roman"/>
          <w:sz w:val="32"/>
          <w:szCs w:val="32"/>
        </w:rPr>
        <w:t>办公费、邮电费</w:t>
      </w:r>
      <w:r>
        <w:rPr>
          <w:rFonts w:ascii="Times New Roman" w:hAnsi="Times New Roman" w:eastAsia="仿宋_GB2312" w:cs="Times New Roman"/>
          <w:sz w:val="32"/>
          <w:szCs w:val="32"/>
        </w:rPr>
        <w:t>等日常运行支出</w:t>
      </w:r>
      <w:r>
        <w:rPr>
          <w:rFonts w:hint="eastAsia"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万元增</w:t>
      </w:r>
      <w:r>
        <w:rPr>
          <w:rFonts w:hint="eastAsia" w:ascii="Times New Roman" w:hAnsi="Times New Roman" w:eastAsia="仿宋_GB2312" w:cs="Times New Roman"/>
          <w:sz w:val="32"/>
          <w:szCs w:val="32"/>
        </w:rPr>
        <w:t>加0万元，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：我单位切实落实勤俭节约各项规定，严格控制公务接待费支出,</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第一部分单位整体绩效目标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2023年，大城县看守所在局党委的坚强领导下，在上级业务部门的帮助和指导下，紧紧抓住确保监所安全这一首要目标，在各项工作中紧密结合2022年公安工作要点和全面深化公安改革、推进“四项建设”和“五化四型”要求，牢固树立“对党忠诚、服务人民、执法公正、纪律严明”的理念，积极开展看守所“政治建警”工作，坚持以确保监所安全为重点，坚持管理与服务、教育与感化相结合的原则，推动监所管理工作持续发展，保障各项刑事诉讼活动顺利进行，取得显著成效。</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numPr>
          <w:ilvl w:val="0"/>
          <w:numId w:val="1"/>
        </w:numPr>
        <w:spacing w:line="584" w:lineRule="exact"/>
        <w:rPr>
          <w:rFonts w:ascii="仿宋_GB2312" w:eastAsia="仿宋_GB2312" w:cs="Times New Roman"/>
          <w:sz w:val="32"/>
          <w:szCs w:val="32"/>
        </w:rPr>
      </w:pPr>
      <w:r>
        <w:rPr>
          <w:rFonts w:hint="eastAsia" w:ascii="仿宋_GB2312" w:eastAsia="仿宋_GB2312" w:cs="Times New Roman"/>
          <w:sz w:val="32"/>
          <w:szCs w:val="32"/>
        </w:rPr>
        <w:t>运转。加强监所安全管理。</w:t>
      </w:r>
    </w:p>
    <w:p>
      <w:pPr>
        <w:spacing w:line="584" w:lineRule="exact"/>
        <w:ind w:left="640"/>
        <w:rPr>
          <w:rFonts w:ascii="仿宋_GB2312" w:eastAsia="仿宋_GB2312" w:cs="Times New Roman"/>
          <w:sz w:val="32"/>
          <w:szCs w:val="32"/>
        </w:rPr>
      </w:pPr>
      <w:r>
        <w:rPr>
          <w:rFonts w:hint="eastAsia" w:ascii="仿宋_GB2312" w:eastAsia="仿宋_GB2312" w:cs="Times New Roman"/>
          <w:sz w:val="32"/>
          <w:szCs w:val="32"/>
        </w:rPr>
        <w:t>绩效目标：确保监所无重大安全事故发生。</w:t>
      </w:r>
    </w:p>
    <w:p>
      <w:pPr>
        <w:spacing w:line="584" w:lineRule="exact"/>
        <w:ind w:left="640"/>
        <w:rPr>
          <w:rFonts w:ascii="仿宋_GB2312" w:eastAsia="仿宋_GB2312" w:cs="Times New Roman"/>
          <w:sz w:val="32"/>
          <w:szCs w:val="32"/>
        </w:rPr>
      </w:pPr>
      <w:r>
        <w:rPr>
          <w:rFonts w:hint="eastAsia" w:ascii="仿宋_GB2312" w:eastAsia="仿宋_GB2312" w:cs="Times New Roman"/>
          <w:sz w:val="32"/>
          <w:szCs w:val="32"/>
        </w:rPr>
        <w:t>绩效指标：健全各项规章制度，严格规范收押流程，依法做好在押人员入所管理、安全保障工作。</w:t>
      </w:r>
    </w:p>
    <w:p>
      <w:pPr>
        <w:spacing w:line="584" w:lineRule="exact"/>
        <w:ind w:left="640"/>
        <w:rPr>
          <w:rFonts w:ascii="仿宋_GB2312" w:eastAsia="仿宋_GB2312" w:cs="Times New Roman"/>
          <w:sz w:val="32"/>
          <w:szCs w:val="32"/>
        </w:rPr>
      </w:pPr>
      <w:r>
        <w:rPr>
          <w:rFonts w:hint="eastAsia" w:ascii="仿宋_GB2312" w:eastAsia="仿宋_GB2312" w:cs="Times New Roman"/>
          <w:sz w:val="32"/>
          <w:szCs w:val="32"/>
        </w:rPr>
        <w:t>2、保障监所正常</w:t>
      </w:r>
    </w:p>
    <w:p>
      <w:pPr>
        <w:spacing w:line="584" w:lineRule="exact"/>
        <w:ind w:left="640"/>
        <w:rPr>
          <w:rFonts w:ascii="仿宋_GB2312" w:eastAsia="仿宋_GB2312" w:cs="Times New Roman"/>
          <w:sz w:val="32"/>
          <w:szCs w:val="32"/>
        </w:rPr>
      </w:pPr>
      <w:r>
        <w:rPr>
          <w:rFonts w:hint="eastAsia" w:ascii="仿宋_GB2312" w:eastAsia="仿宋_GB2312" w:cs="Times New Roman"/>
          <w:sz w:val="32"/>
          <w:szCs w:val="32"/>
        </w:rPr>
        <w:t>绩效目标：保障监所正常运转。</w:t>
      </w:r>
    </w:p>
    <w:p>
      <w:pPr>
        <w:spacing w:line="584" w:lineRule="exact"/>
        <w:ind w:left="640"/>
        <w:rPr>
          <w:rFonts w:ascii="仿宋_GB2312" w:eastAsia="仿宋_GB2312" w:cs="Times New Roman"/>
          <w:sz w:val="32"/>
          <w:szCs w:val="32"/>
        </w:rPr>
      </w:pPr>
      <w:r>
        <w:rPr>
          <w:rFonts w:hint="eastAsia" w:ascii="仿宋_GB2312" w:eastAsia="仿宋_GB2312" w:cs="Times New Roman"/>
          <w:sz w:val="32"/>
          <w:szCs w:val="32"/>
        </w:rPr>
        <w:t>绩效指标：严格按财经纪律、规章制度做好后勤保障工作，高效使用财政预算资金，按时完成各项目标任务。</w:t>
      </w: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仿宋_GB2312" w:eastAsia="仿宋_GB2312"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bCs/>
          <w:sz w:val="32"/>
          <w:szCs w:val="32"/>
        </w:rPr>
        <w:t>完善制度建设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包括制定完善预算绩效管理制度、资金管理办法、工作保障制度等，为全年预算绩效目标的实现奠定制度基础。</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w:t>
      </w:r>
      <w:r>
        <w:rPr>
          <w:rFonts w:hint="eastAsia" w:ascii="Times New Roman" w:hAnsi="Times New Roman" w:eastAsia="仿宋_GB2312" w:cs="Times New Roman"/>
          <w:bCs/>
          <w:sz w:val="32"/>
          <w:szCs w:val="32"/>
        </w:rPr>
        <w:t>加强支出管理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通过优化支出结构、编细编实预算、加快履行政府采购手续、尽快启动项目、及时支付资金、6 月底前细化代编预算、按规定及时下达资金等多种措施，确保支出进度达标。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3、加强绩效运行监控</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按要求开展绩效运行监控，发现问题及时采取措施，确保绩效目标如期保质实现。</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4、做好绩效自评</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按要求开展上年度部门预算绩效自评和重点评价工作，对评价中发现的问题及时整改，调整优化支出结构， 提高财政资金使用效益。</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Cs/>
          <w:sz w:val="32"/>
          <w:szCs w:val="32"/>
        </w:rPr>
        <w:t xml:space="preserve"> 5、规范财务资产管理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完善财务管理制度，严格审批程序，做到支出合理，物尽其用。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6、加强内部监督</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加强内部监督制度建设，对绩效运行情况、重大支出决策、及其他重要经济业务事项的决策和执行进行督导，对会计资料进行内部审计，并配合做好审计、财政监督等外部监督工作，确保财政资金安全有效。</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7、加强宣传培训调研等</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加强人员培训，提高本部门职工业务素质；加强调研，提出优化财政资金配置、提高资金使用效益的意见；加大宣传力度，强化预算绩效管理意识，促进预算绩 效管理水平进一步提升。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8、确保监所绝对安全。</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（四）单位整体支出绩效指标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项目数量</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实施项目数量</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w:t>
            </w:r>
          </w:p>
        </w:tc>
        <w:tc>
          <w:tcPr>
            <w:tcW w:w="488"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13</w:t>
            </w: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个</w:t>
            </w:r>
          </w:p>
        </w:tc>
        <w:tc>
          <w:tcPr>
            <w:tcW w:w="1277" w:type="dxa"/>
            <w:tcBorders>
              <w:tl2br w:val="nil"/>
              <w:tr2bl w:val="nil"/>
            </w:tcBorders>
            <w:vAlign w:val="center"/>
          </w:tcPr>
          <w:p>
            <w:pPr>
              <w:widowControl/>
              <w:adjustRightInd w:val="0"/>
              <w:snapToGrid w:val="0"/>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实施正常</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项目实施情况</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文字描述</w:t>
            </w:r>
          </w:p>
        </w:tc>
        <w:tc>
          <w:tcPr>
            <w:tcW w:w="488" w:type="dxa"/>
            <w:tcBorders>
              <w:tl2br w:val="nil"/>
              <w:tr2bl w:val="nil"/>
            </w:tcBorders>
            <w:vAlign w:val="center"/>
          </w:tcPr>
          <w:p>
            <w:pPr>
              <w:widowControl/>
              <w:adjustRightInd w:val="0"/>
              <w:snapToGrid w:val="0"/>
              <w:jc w:val="center"/>
              <w:rPr>
                <w:rFonts w:ascii="宋体"/>
                <w:sz w:val="18"/>
                <w:szCs w:val="18"/>
              </w:rPr>
            </w:pP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实施正常</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及时完成</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2023年底及时完成</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文字描述</w:t>
            </w:r>
          </w:p>
        </w:tc>
        <w:tc>
          <w:tcPr>
            <w:tcW w:w="488" w:type="dxa"/>
            <w:tcBorders>
              <w:tl2br w:val="nil"/>
              <w:tr2bl w:val="nil"/>
            </w:tcBorders>
            <w:vAlign w:val="center"/>
          </w:tcPr>
          <w:p>
            <w:pPr>
              <w:widowControl/>
              <w:adjustRightInd w:val="0"/>
              <w:snapToGrid w:val="0"/>
              <w:jc w:val="center"/>
              <w:rPr>
                <w:rFonts w:ascii="宋体"/>
                <w:sz w:val="18"/>
                <w:szCs w:val="18"/>
              </w:rPr>
            </w:pP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及时</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成本控制</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成本控制在预算范围内</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w:t>
            </w:r>
          </w:p>
        </w:tc>
        <w:tc>
          <w:tcPr>
            <w:tcW w:w="488"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420.1</w:t>
            </w: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万元</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单位效果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监所安全</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确保监所安全</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文字描述</w:t>
            </w:r>
          </w:p>
        </w:tc>
        <w:tc>
          <w:tcPr>
            <w:tcW w:w="488" w:type="dxa"/>
            <w:tcBorders>
              <w:tl2br w:val="nil"/>
              <w:tr2bl w:val="nil"/>
            </w:tcBorders>
            <w:vAlign w:val="center"/>
          </w:tcPr>
          <w:p>
            <w:pPr>
              <w:widowControl/>
              <w:adjustRightInd w:val="0"/>
              <w:snapToGrid w:val="0"/>
              <w:jc w:val="center"/>
              <w:rPr>
                <w:rFonts w:ascii="宋体"/>
                <w:sz w:val="18"/>
                <w:szCs w:val="18"/>
              </w:rPr>
            </w:pP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显著</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监所安全</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rPr>
                <w:rFonts w:ascii="宋体"/>
                <w:sz w:val="18"/>
                <w:szCs w:val="18"/>
              </w:rPr>
            </w:pPr>
            <w:r>
              <w:rPr>
                <w:rFonts w:hint="eastAsia" w:ascii="宋体"/>
                <w:sz w:val="18"/>
                <w:szCs w:val="18"/>
              </w:rPr>
              <w:t>确保监所安全</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文字描述</w:t>
            </w:r>
          </w:p>
        </w:tc>
        <w:tc>
          <w:tcPr>
            <w:tcW w:w="488" w:type="dxa"/>
            <w:tcBorders>
              <w:tl2br w:val="nil"/>
              <w:tr2bl w:val="nil"/>
            </w:tcBorders>
            <w:vAlign w:val="center"/>
          </w:tcPr>
          <w:p>
            <w:pPr>
              <w:widowControl/>
              <w:adjustRightInd w:val="0"/>
              <w:snapToGrid w:val="0"/>
              <w:jc w:val="center"/>
              <w:rPr>
                <w:rFonts w:ascii="宋体"/>
                <w:sz w:val="18"/>
                <w:szCs w:val="18"/>
              </w:rPr>
            </w:pP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显著</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监所安全</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rPr>
                <w:rFonts w:ascii="宋体"/>
                <w:sz w:val="18"/>
                <w:szCs w:val="18"/>
              </w:rPr>
            </w:pPr>
            <w:r>
              <w:rPr>
                <w:rFonts w:hint="eastAsia" w:ascii="宋体"/>
                <w:sz w:val="18"/>
                <w:szCs w:val="18"/>
              </w:rPr>
              <w:t>确保监所安全</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文字描述</w:t>
            </w:r>
          </w:p>
        </w:tc>
        <w:tc>
          <w:tcPr>
            <w:tcW w:w="488" w:type="dxa"/>
            <w:tcBorders>
              <w:tl2br w:val="nil"/>
              <w:tr2bl w:val="nil"/>
            </w:tcBorders>
            <w:vAlign w:val="center"/>
          </w:tcPr>
          <w:p>
            <w:pPr>
              <w:widowControl/>
              <w:adjustRightInd w:val="0"/>
              <w:snapToGrid w:val="0"/>
              <w:jc w:val="center"/>
              <w:rPr>
                <w:rFonts w:ascii="宋体"/>
                <w:sz w:val="18"/>
                <w:szCs w:val="18"/>
              </w:rPr>
            </w:pP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显著</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看守所运转经费（办案支出）</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tcPr>
          <w:p>
            <w:pPr>
              <w:rPr>
                <w:rFonts w:ascii="Calibri" w:hAnsi="Calibri" w:eastAsia="宋体" w:cs="Calibri"/>
                <w:color w:val="000000"/>
                <w:sz w:val="22"/>
              </w:rPr>
            </w:pPr>
            <w:r>
              <w:rPr>
                <w:rFonts w:ascii="Calibri" w:hAnsi="Calibri" w:cs="Calibri"/>
                <w:color w:val="000000"/>
                <w:sz w:val="22"/>
              </w:rPr>
              <w:t>保障看守所全年工作正常运转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实际使用量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办公用品消耗</w:t>
            </w:r>
          </w:p>
        </w:tc>
        <w:tc>
          <w:tcPr>
            <w:tcW w:w="1843" w:type="dxa"/>
            <w:shd w:val="clear" w:color="auto" w:fill="auto"/>
          </w:tcPr>
          <w:p>
            <w:pPr>
              <w:tabs>
                <w:tab w:val="center" w:pos="813"/>
              </w:tabs>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正常办公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办公期间</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维护运行期间</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12月</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保障工作正常运转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57.5万元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保障工作正常运转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保障工作正常运转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工作人员</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w:t>
      </w:r>
      <w:r>
        <w:rPr>
          <w:rFonts w:ascii="Times New Roman" w:hAnsi="Times New Roman" w:eastAsia="仿宋_GB2312" w:cs="Times New Roman"/>
          <w:sz w:val="28"/>
        </w:rPr>
        <w:t>.</w:t>
      </w:r>
      <w:r>
        <w:rPr>
          <w:rFonts w:hint="eastAsia" w:ascii="Times New Roman" w:hAnsi="Times New Roman" w:eastAsia="仿宋_GB2312" w:cs="Times New Roman"/>
          <w:sz w:val="28"/>
        </w:rPr>
        <w:t>水费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保障看守所正常运转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保障用水天数</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保障用水天数</w:t>
            </w:r>
          </w:p>
        </w:tc>
        <w:tc>
          <w:tcPr>
            <w:tcW w:w="1843" w:type="dxa"/>
            <w:shd w:val="clear" w:color="auto" w:fill="auto"/>
          </w:tcPr>
          <w:p>
            <w:pPr>
              <w:tabs>
                <w:tab w:val="center" w:pos="813"/>
              </w:tabs>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365天</w:t>
            </w:r>
          </w:p>
        </w:tc>
        <w:tc>
          <w:tcPr>
            <w:tcW w:w="2155" w:type="dxa"/>
            <w:shd w:val="clear" w:color="auto" w:fill="auto"/>
          </w:tcPr>
          <w:p>
            <w:pPr>
              <w:rPr>
                <w:rFonts w:ascii="宋体" w:hAnsi="宋体" w:eastAsia="宋体" w:cs="宋体"/>
                <w:color w:val="000000"/>
                <w:sz w:val="22"/>
              </w:rPr>
            </w:pPr>
            <w:r>
              <w:rPr>
                <w:rFonts w:hint="eastAsia"/>
                <w:color w:val="000000"/>
                <w:sz w:val="22"/>
              </w:rPr>
              <w:t>基本用水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自来水</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水质</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合格</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按时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基本用水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按总成本控制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按总成本控制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29万元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保障用水情况</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保障用水情况</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服务对象的满意度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服务对象的满意度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取暖费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tcPr>
          <w:p>
            <w:pPr>
              <w:rPr>
                <w:rFonts w:ascii="Calibri" w:hAnsi="Calibri" w:eastAsia="宋体" w:cs="Calibri"/>
                <w:color w:val="000000"/>
                <w:sz w:val="22"/>
              </w:rPr>
            </w:pPr>
            <w:r>
              <w:rPr>
                <w:rFonts w:ascii="Calibri" w:hAnsi="Calibri" w:cs="Calibri"/>
                <w:color w:val="000000"/>
                <w:sz w:val="22"/>
              </w:rPr>
              <w:t>保障看守所工作人员和在押人员取暖需求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取暖人数</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取暖人数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230人</w:t>
            </w:r>
          </w:p>
        </w:tc>
        <w:tc>
          <w:tcPr>
            <w:tcW w:w="2155" w:type="dxa"/>
            <w:shd w:val="clear" w:color="auto" w:fill="auto"/>
          </w:tcPr>
          <w:p>
            <w:pPr>
              <w:rPr>
                <w:rFonts w:ascii="宋体" w:hAnsi="宋体" w:eastAsia="宋体" w:cs="宋体"/>
                <w:color w:val="000000"/>
                <w:sz w:val="22"/>
              </w:rPr>
            </w:pPr>
            <w:r>
              <w:rPr>
                <w:rFonts w:hint="eastAsia"/>
                <w:color w:val="000000"/>
                <w:sz w:val="22"/>
              </w:rPr>
              <w:t>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在押期间</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基本取暖需求</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4月</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供暖时间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国家供暖规定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54万元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满意度测评</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在押人员入所前体检费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保障在押人员权益，确保监所安全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嫌犯数量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嫌犯人数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1200人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280元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医院标准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入所前体检</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控制在预算资金内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控制在预算资金内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33万元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rPr>
        <w:t>在押人员体检费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保障在押人员权益，确保监所安全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280元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医院规定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成本控制在预算内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成本控制在预算内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4万元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女犯人拘押、未成年人代押费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落实上级安排，确保监所安全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女犯人未成年拘押数量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拘押人数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基本权益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tabs>
                <w:tab w:val="center" w:pos="813"/>
              </w:tabs>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99%</w:t>
            </w:r>
            <w:r>
              <w:rPr>
                <w:rFonts w:ascii="Calibri" w:hAnsi="Calibri" w:cs="Calibri"/>
                <w:color w:val="000000"/>
                <w:sz w:val="22"/>
              </w:rPr>
              <w:tab/>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总成本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总成本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6万元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再犯罪减低率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再犯罪减低率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封闭执勤、备勤民辅警伙食费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保障民辅警生活质量，保障看守所正常运转</w:t>
            </w:r>
            <w:r>
              <w:rPr>
                <w:rFonts w:hint="eastAsia" w:ascii="Times New Roman" w:hAnsi="Times New Roman" w:eastAsia="仿宋_GB2312" w:cs="Times New Roman"/>
                <w:b w:val="0"/>
                <w:bCs/>
              </w:rPr>
              <w:tab/>
            </w:r>
            <w:r>
              <w:rPr>
                <w:rFonts w:hint="eastAsia" w:ascii="Times New Roman" w:hAnsi="Times New Roman" w:eastAsia="仿宋_GB2312" w:cs="Times New Roman"/>
                <w:b w:val="0"/>
                <w:bCs/>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达标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16万元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成本控制在预算内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保障民辅警生活质量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保障看守所正常运转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满意度测评</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民辅警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ascii="Times New Roman" w:hAnsi="Times New Roman" w:eastAsia="仿宋_GB2312" w:cs="Times New Roman"/>
          <w:sz w:val="28"/>
        </w:rPr>
        <w:t>在押人员医疗医药费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保障在押人员权益，确保监所安全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达标率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上级规定标准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达标</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及时完成</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6万元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hint="eastAsia" w:ascii="Times New Roman" w:hAnsi="Times New Roman" w:eastAsia="仿宋_GB2312" w:cs="Times New Roman"/>
          <w:sz w:val="28"/>
        </w:rPr>
        <w:t>在押人员衣被费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落实上级安排，保障在押人员权益，衣被统一管理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达标率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上级规定标准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达标</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按时完成</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预算控制在成本内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预算控制在成本内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0</w:t>
      </w:r>
      <w:r>
        <w:rPr>
          <w:rFonts w:ascii="Times New Roman" w:hAnsi="Times New Roman" w:eastAsia="仿宋_GB2312" w:cs="Times New Roman"/>
          <w:sz w:val="28"/>
        </w:rPr>
        <w:t>.</w:t>
      </w:r>
      <w:r>
        <w:rPr>
          <w:rFonts w:hint="eastAsia" w:ascii="Times New Roman" w:hAnsi="Times New Roman" w:eastAsia="仿宋_GB2312" w:cs="Times New Roman"/>
          <w:sz w:val="28"/>
        </w:rPr>
        <w:t>其他人员工资</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rPr>
                <w:rFonts w:ascii="Times New Roman" w:hAnsi="Times New Roman" w:eastAsia="仿宋_GB2312" w:cs="Times New Roman"/>
                <w:b/>
              </w:rPr>
            </w:pPr>
            <w:r>
              <w:rPr>
                <w:rFonts w:ascii="Calibri" w:hAnsi="Calibri" w:cs="Calibri"/>
                <w:color w:val="000000"/>
                <w:sz w:val="22"/>
              </w:rPr>
              <w:t>保障监所安全稳定</w:t>
            </w:r>
            <w:r>
              <w:rPr>
                <w:rFonts w:hint="eastAsia" w:ascii="Calibri" w:hAnsi="Calibri" w:cs="Calibri"/>
                <w:color w:val="000000"/>
                <w:sz w:val="22"/>
                <w:lang w:eastAsia="zh-CN"/>
              </w:rPr>
              <w:t>，</w:t>
            </w:r>
            <w:r>
              <w:rPr>
                <w:rFonts w:hint="eastAsia" w:ascii="Times New Roman" w:hAnsi="Times New Roman" w:eastAsia="仿宋_GB2312" w:cs="Times New Roman"/>
                <w:b w:val="0"/>
                <w:bCs/>
              </w:rPr>
              <w:t>保障看守所工作正常运转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临时工数量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招聘临时工数量</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任务及时率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工资发放及时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预算控制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预算控制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50.4万元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提升工作效率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提升工作效率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工作人员</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1</w:t>
      </w:r>
      <w:r>
        <w:rPr>
          <w:rFonts w:ascii="Times New Roman" w:hAnsi="Times New Roman" w:eastAsia="仿宋_GB2312" w:cs="Times New Roman"/>
          <w:sz w:val="28"/>
        </w:rPr>
        <w:t>.</w:t>
      </w:r>
      <w:r>
        <w:rPr>
          <w:rFonts w:hint="eastAsia" w:ascii="Times New Roman" w:hAnsi="Times New Roman" w:eastAsia="仿宋_GB2312" w:cs="Times New Roman"/>
          <w:sz w:val="28"/>
        </w:rPr>
        <w:t>工资奖金津补贴</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按时发放补贴</w:t>
            </w:r>
            <w:r>
              <w:rPr>
                <w:rFonts w:hint="eastAsia" w:ascii="Times New Roman" w:hAnsi="Times New Roman" w:eastAsia="仿宋_GB2312" w:cs="Times New Roman"/>
                <w:b w:val="0"/>
                <w:bCs/>
                <w:lang w:eastAsia="zh-CN"/>
              </w:rPr>
              <w:t>，</w:t>
            </w:r>
            <w:r>
              <w:rPr>
                <w:rFonts w:hint="eastAsia" w:ascii="Times New Roman" w:hAnsi="Times New Roman" w:eastAsia="仿宋_GB2312" w:cs="Times New Roman"/>
                <w:b w:val="0"/>
                <w:bCs/>
              </w:rPr>
              <w:t>保障办公正常运转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保障人数</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65人</w:t>
            </w:r>
          </w:p>
        </w:tc>
        <w:tc>
          <w:tcPr>
            <w:tcW w:w="2155" w:type="dxa"/>
            <w:shd w:val="clear" w:color="auto" w:fill="auto"/>
          </w:tcPr>
          <w:p>
            <w:pPr>
              <w:rPr>
                <w:rFonts w:ascii="宋体" w:hAnsi="宋体" w:eastAsia="宋体" w:cs="宋体"/>
                <w:color w:val="000000"/>
                <w:sz w:val="22"/>
              </w:rPr>
            </w:pPr>
            <w:r>
              <w:rPr>
                <w:rFonts w:hint="eastAsia"/>
                <w:color w:val="000000"/>
                <w:sz w:val="22"/>
              </w:rPr>
              <w:t>干警人数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工资奖金发放标准达标率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工资奖金发放标准达标率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发放及时率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发放及时率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发放标准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发放标准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按规定发放</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加强工作人员归属感</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通过按时按标准发放补贴进一步提高工作人员归属感</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保持干部队伍稳定</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工作人员满意度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工作人员对加班补贴满意度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发放登记表</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w:t>
      </w:r>
      <w:r>
        <w:rPr>
          <w:rFonts w:ascii="Times New Roman" w:hAnsi="Times New Roman" w:eastAsia="仿宋_GB2312" w:cs="Times New Roman"/>
          <w:sz w:val="28"/>
        </w:rPr>
        <w:t>.</w:t>
      </w:r>
      <w:r>
        <w:rPr>
          <w:rFonts w:hint="eastAsia" w:ascii="Times New Roman" w:hAnsi="Times New Roman" w:eastAsia="仿宋_GB2312" w:cs="Times New Roman"/>
          <w:sz w:val="28"/>
        </w:rPr>
        <w:t>在押人员伙食费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tcPr>
          <w:p>
            <w:pPr>
              <w:rPr>
                <w:rFonts w:ascii="Calibri" w:hAnsi="Calibri" w:eastAsia="宋体" w:cs="Calibri"/>
                <w:color w:val="000000"/>
                <w:sz w:val="22"/>
              </w:rPr>
            </w:pPr>
            <w:r>
              <w:rPr>
                <w:rFonts w:ascii="Calibri" w:hAnsi="Calibri" w:cs="Calibri"/>
                <w:color w:val="000000"/>
                <w:sz w:val="22"/>
              </w:rPr>
              <w:t xml:space="preserve">保障看守所正常运转 </w:t>
            </w:r>
            <w:r>
              <w:rPr>
                <w:rFonts w:hint="eastAsia" w:ascii="Calibri" w:hAnsi="Calibri" w:cs="Calibri"/>
                <w:color w:val="000000"/>
                <w:sz w:val="22"/>
              </w:rPr>
              <w:t>，保障在押人员权益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伙食费标准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每月伙食费标准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310元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按时放餐</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 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控制在预算内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控制在预算内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89.28万元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保障在押人员基本生活</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保障在押人员基本生活</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在押人员重大疾病治疗专项经费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bookmarkStart w:id="2" w:name="_GoBack"/>
            <w:r>
              <w:rPr>
                <w:rFonts w:hint="eastAsia" w:ascii="Times New Roman" w:hAnsi="Times New Roman" w:eastAsia="仿宋_GB2312" w:cs="Times New Roman"/>
                <w:b w:val="0"/>
                <w:bCs/>
              </w:rPr>
              <w:t>落实上级安排，确保监所安全</w:t>
            </w:r>
            <w:bookmarkEnd w:id="2"/>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患重大疾病人数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在押人员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按需救治</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疾病改善情况</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及时治疗</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50万元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jc w:val="left"/>
        <w:rPr>
          <w:rFonts w:ascii="Times New Roman" w:hAnsi="Times New Roman" w:eastAsia="仿宋_GB2312"/>
          <w:color w:val="FF0000"/>
          <w:kern w:val="0"/>
          <w:sz w:val="32"/>
          <w:szCs w:val="32"/>
        </w:rPr>
      </w:pPr>
    </w:p>
    <w:p>
      <w:pPr>
        <w:autoSpaceDE w:val="0"/>
        <w:autoSpaceDN w:val="0"/>
        <w:adjustRightInd w:val="0"/>
        <w:spacing w:line="584" w:lineRule="exact"/>
        <w:jc w:val="left"/>
        <w:rPr>
          <w:rFonts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0"/>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单位政府采购预算</w:t>
      </w:r>
      <w:bookmarkEnd w:id="1"/>
    </w:p>
    <w:p>
      <w:pPr>
        <w:spacing w:line="584" w:lineRule="exact"/>
        <w:outlineLvl w:val="1"/>
        <w:rPr>
          <w:rFonts w:ascii="方正小标宋_GBK" w:eastAsia="方正小标宋_GBK" w:cs="Times New Roman"/>
          <w:sz w:val="32"/>
        </w:rPr>
      </w:pPr>
      <w:r>
        <w:rPr>
          <w:rFonts w:hint="eastAsia"/>
        </w:rPr>
        <w:t>大城县</w:t>
      </w:r>
      <w:r>
        <w:rPr>
          <w:rFonts w:hint="eastAsia"/>
          <w:lang w:eastAsia="zh-CN"/>
        </w:rPr>
        <w:t>看守所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无政府采购预算，空表列示。</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大城县看守所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 xml:space="preserve"> 大城县</w:t>
            </w:r>
            <w:r>
              <w:rPr>
                <w:rFonts w:hint="eastAsia" w:ascii="Times New Roman" w:hAnsi="Times New Roman" w:eastAsia="仿宋_GB2312" w:cs="Times New Roman"/>
                <w:kern w:val="0"/>
                <w:sz w:val="22"/>
                <w:lang w:eastAsia="zh-CN"/>
              </w:rPr>
              <w:t>看守所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420" w:firstLineChars="200"/>
        <w:jc w:val="left"/>
        <w:rPr>
          <w:rFonts w:hint="eastAsia" w:ascii="仿宋_GB2312" w:hAnsi="仿宋_GB2312" w:eastAsia="仿宋_GB2312" w:cs="仿宋_GB2312"/>
          <w:color w:val="000000"/>
          <w:highlight w:val="none"/>
          <w:lang w:eastAsia="zh-CN"/>
        </w:rPr>
      </w:pPr>
      <w:r>
        <w:rPr>
          <w:rFonts w:hint="eastAsia" w:ascii="仿宋_GB2312" w:hAnsi="仿宋_GB2312" w:eastAsia="仿宋_GB2312" w:cs="仿宋_GB2312"/>
          <w:color w:val="000000"/>
          <w:highlight w:val="none"/>
          <w:lang w:eastAsia="zh-CN"/>
        </w:rPr>
        <w:t>注：</w:t>
      </w:r>
      <w:r>
        <w:rPr>
          <w:rFonts w:hint="eastAsia" w:ascii="仿宋_GB2312" w:hAnsi="仿宋_GB2312" w:eastAsia="仿宋_GB2312" w:cs="仿宋_GB2312"/>
          <w:color w:val="000000"/>
          <w:highlight w:val="none"/>
        </w:rPr>
        <w:t>无</w:t>
      </w:r>
      <w:r>
        <w:rPr>
          <w:rFonts w:hint="eastAsia" w:ascii="仿宋_GB2312" w:hAnsi="仿宋_GB2312" w:eastAsia="仿宋_GB2312" w:cs="仿宋_GB2312"/>
          <w:color w:val="000000"/>
          <w:highlight w:val="none"/>
          <w:lang w:eastAsia="zh-CN"/>
        </w:rPr>
        <w:t>固定资产占用情况</w:t>
      </w:r>
      <w:r>
        <w:rPr>
          <w:rFonts w:hint="eastAsia" w:ascii="仿宋_GB2312" w:hAnsi="仿宋_GB2312" w:eastAsia="仿宋_GB2312" w:cs="仿宋_GB2312"/>
          <w:color w:val="000000"/>
          <w:highlight w:val="none"/>
        </w:rPr>
        <w:t>，空表列示</w:t>
      </w:r>
      <w:r>
        <w:rPr>
          <w:rFonts w:hint="eastAsia" w:ascii="仿宋_GB2312" w:hAnsi="仿宋_GB2312" w:eastAsia="仿宋_GB2312" w:cs="仿宋_GB2312"/>
          <w:color w:val="000000"/>
          <w:highlight w:val="none"/>
          <w:lang w:eastAsia="zh-CN"/>
        </w:rPr>
        <w:t>。</w:t>
      </w: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7A"/>
    <w:family w:val="auto"/>
    <w:pitch w:val="default"/>
    <w:sig w:usb0="00000000" w:usb1="00000000" w:usb2="00000010" w:usb3="00000000" w:csb0="00040000" w:csb1="00000000"/>
  </w:font>
  <w:font w:name="仿宋_GB2312">
    <w:panose1 w:val="02010609030101010101"/>
    <w:charset w:val="7A"/>
    <w:family w:val="modern"/>
    <w:pitch w:val="default"/>
    <w:sig w:usb0="00000001" w:usb1="080E0000" w:usb2="00000000" w:usb3="00000000" w:csb0="00040000" w:csb1="00000000"/>
  </w:font>
  <w:font w:name="方正小标宋简体">
    <w:panose1 w:val="03000509000000000000"/>
    <w:charset w:val="7A"/>
    <w:family w:val="auto"/>
    <w:pitch w:val="default"/>
    <w:sig w:usb0="00000001" w:usb1="080E0000" w:usb2="00000000" w:usb3="00000000" w:csb0="00040000" w:csb1="00000000"/>
  </w:font>
  <w:font w:name="楷体_GB2312">
    <w:panose1 w:val="02010609030101010101"/>
    <w:charset w:val="7A"/>
    <w:family w:val="modern"/>
    <w:pitch w:val="default"/>
    <w:sig w:usb0="00000001" w:usb1="080E0000" w:usb2="00000000" w:usb3="00000000" w:csb0="00040000" w:csb1="00000000"/>
  </w:font>
  <w:font w:name="方正小标宋_GBK">
    <w:altName w:val="微软雅黑"/>
    <w:panose1 w:val="00000000000000000000"/>
    <w:charset w:val="7A"/>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0"/>
        </w:tabs>
        <w:ind w:left="1360" w:hanging="720"/>
      </w:pPr>
      <w:rPr>
        <w:rFonts w:hint="default"/>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3YjIzMTkxZDgyMGM5NmEwMDYwNzJiYWQxZjE1ZjQ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A6E3F"/>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47191"/>
    <w:rsid w:val="00852B0D"/>
    <w:rsid w:val="0085425A"/>
    <w:rsid w:val="0085679A"/>
    <w:rsid w:val="0085726E"/>
    <w:rsid w:val="008575E3"/>
    <w:rsid w:val="008576D0"/>
    <w:rsid w:val="008616F6"/>
    <w:rsid w:val="00864B7F"/>
    <w:rsid w:val="00881692"/>
    <w:rsid w:val="008858FF"/>
    <w:rsid w:val="00887A73"/>
    <w:rsid w:val="0089075B"/>
    <w:rsid w:val="008A62DA"/>
    <w:rsid w:val="008A6576"/>
    <w:rsid w:val="008A6D3B"/>
    <w:rsid w:val="008B3CC5"/>
    <w:rsid w:val="008B52CD"/>
    <w:rsid w:val="008C4AAE"/>
    <w:rsid w:val="008C7C4D"/>
    <w:rsid w:val="008D6CD3"/>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76CD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76AAB"/>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50E411D"/>
    <w:rsid w:val="13E306DA"/>
    <w:rsid w:val="15A87DA7"/>
    <w:rsid w:val="1B1D7A72"/>
    <w:rsid w:val="1B6E4190"/>
    <w:rsid w:val="1C3C37E5"/>
    <w:rsid w:val="1C502F39"/>
    <w:rsid w:val="3740680F"/>
    <w:rsid w:val="377A54BF"/>
    <w:rsid w:val="38F17E51"/>
    <w:rsid w:val="3E8B454E"/>
    <w:rsid w:val="3F655022"/>
    <w:rsid w:val="459736E0"/>
    <w:rsid w:val="55440103"/>
    <w:rsid w:val="57E040E2"/>
    <w:rsid w:val="5BD15DA4"/>
    <w:rsid w:val="673B57FC"/>
    <w:rsid w:val="687D1153"/>
    <w:rsid w:val="6B1D22BB"/>
    <w:rsid w:val="6C2731BD"/>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C966-320E-4C8A-B0B9-6F7C2CE53F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6090</Words>
  <Characters>6358</Characters>
  <Lines>54</Lines>
  <Paragraphs>15</Paragraphs>
  <TotalTime>4</TotalTime>
  <ScaleCrop>false</ScaleCrop>
  <LinksUpToDate>false</LinksUpToDate>
  <CharactersWithSpaces>6515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李琦</cp:lastModifiedBy>
  <cp:lastPrinted>2023-01-29T01:01:00Z</cp:lastPrinted>
  <dcterms:modified xsi:type="dcterms:W3CDTF">2023-03-27T07:48:26Z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E0DCD2FAFD4C4EC78104898D7A030BBD</vt:lpwstr>
  </property>
</Properties>
</file>