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大城县财政局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大城县财政局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widowControl/>
        <w:spacing w:line="23" w:lineRule="atLeas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根据《大城县财政局职能配置、内设机构和人员编制规定》，大城县财政局的主要职责是：</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1）贯彻执行国家、省、市财税方针、政策及法律法规，在县政府授权的范围内，拟订全县财税发展战略、规划、政策和改革方案并组织实施；分析预测宏观经济形势，参与制定各项宏观经济政策；提出运用财税政策实施宏观调控和综合平衡社会财力的建议；拟订和执行县与乡镇（区）、政府与企业的分配政策，完善鼓励公益事业发展的财政政策。</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（2）负责提出全县财税、预算、财务、会计等政策性文件立项的建议，根据县政府委托起草有关地方规范性文件草案，制定有关制度并监督实施。</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3）承担财政预算管理的责任。负责编制年度县本级预决算草案并组织执行，汇编全县年度预决算草案；受县政府委托，向县人民代表大会报告全县及县本级预算及其执行情况，向县人大常委会报告决算；组织制定县本级经费开支标准、定额，负责审核批复部门（单位）的年度预决算。</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（4）承担财政体制管理的责任。负责拟订县与乡镇（区）之间的财政管理体制，完善地方转移支付制度，做好省财政直管县财政体制改革有关工作。</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5）承担财政国库管理的责任。组织制定地方国库管理制度、国库集中收付制度并组织实施，指导和监督县本级国库业务，按规定开展国库现金管理工作；负责制定政府采购制度并监督管理；制定和执行财政投资评审制度，负责财政投资评审工作；负责县政府的国内外债权、债务，承担外国政府贷款、国际金融组织贷款的管理。</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（6）负责政府非税收入和政府性基金管理，按规定管理行政事业性收费；管理财政票据；拟定地方彩票管理制度，管理彩票市场，按规定管理彩票公益金。</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7）负责制定全县行政事业单位国有资产管理制度，承担行政事业单位国有资产管理职能和地方金融企业财务管理、财务决算、国有资产管理职能；制定需要全县统一规定的资产配备标准及政策；承担县直机关事业单位公务车辆编制管理职责。负责审核和汇总编制全县国有资本经营预决算草案，收取县本级企业国有资本收益，按规定管理国有资产评估工作。</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8）负责办理和监督县财政的经济发展支出、县级政府性投资项目的财政拨款，参与拟订县建设投资的有关政策，组织实施基本建设财务制度，负责有关政策性补贴和专项储备资金财政管理工作。承担政府与社会资金合作（PPP）的事项办理和监管。</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（9）会同有关部门管理县财政社会保障和就业及医疗卫生支出，组织实施社会保障资金（基金）的财务管理制度，编制县级社会保障预决算草案。</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（10）负责管理全县的会计工作，监督和规范会计行为，组织实施国家统一的会计制度，组织实施会计行政法规规章，指导和监督注册会计师和会计师事务所的业务，指导和管理社会审计。</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（11）监督检查财税法规、政策的执行情况，反映财政收支管理中的重大问题，提出加强财政管理的政策建议。</w:t>
      </w:r>
    </w:p>
    <w:p>
      <w:pPr>
        <w:widowControl/>
        <w:spacing w:line="23" w:lineRule="atLeast"/>
        <w:jc w:val="left"/>
        <w:rPr>
          <w:rFonts w:ascii="仿宋" w:hAnsi="仿宋" w:eastAsia="仿宋" w:cs="仿宋"/>
          <w:color w:val="000000"/>
          <w:sz w:val="32"/>
          <w:szCs w:val="32"/>
        </w:rPr>
      </w:pPr>
      <w:r>
        <w:rPr>
          <w:rFonts w:hint="eastAsia" w:ascii="仿宋" w:hAnsi="仿宋" w:eastAsia="仿宋" w:cs="仿宋"/>
          <w:color w:val="000000"/>
          <w:kern w:val="0"/>
          <w:sz w:val="32"/>
          <w:szCs w:val="32"/>
        </w:rPr>
        <w:t>　　（12）按照有关规定，管理县建投公司。</w:t>
      </w:r>
    </w:p>
    <w:p>
      <w:pPr>
        <w:widowControl/>
        <w:spacing w:line="23" w:lineRule="atLeast"/>
        <w:ind w:firstLine="63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（13）承办县委、县政府交办的其他事项。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大城县财政局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大城县财政局</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2265.84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2257.41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国有资本经营预算</w:t>
      </w:r>
      <w:r>
        <w:rPr>
          <w:rFonts w:ascii="Times New Roman" w:hAnsi="Times New Roman" w:eastAsia="仿宋_GB2312" w:cs="Times New Roman"/>
          <w:sz w:val="32"/>
          <w:szCs w:val="32"/>
        </w:rPr>
        <w:t>收入</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0.43万元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2265.84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2228.21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2123.07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105.14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37</w:t>
      </w:r>
      <w:r>
        <w:rPr>
          <w:rFonts w:hint="eastAsia" w:ascii="Times New Roman" w:hAnsi="Times New Roman" w:eastAsia="仿宋_GB2312" w:cs="Times New Roman"/>
          <w:sz w:val="32"/>
          <w:szCs w:val="32"/>
        </w:rPr>
        <w:t>.63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2023</w:t>
      </w:r>
      <w:r>
        <w:rPr>
          <w:rFonts w:hint="eastAsia"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rPr>
        <w:t>建档立卡脱贫户生产生活补助金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关于提前下达2023年省级农村财会人员培训资金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国有企业退休人员社会化管理资金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2265.84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75.83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597.96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减少7</w:t>
      </w:r>
      <w:r>
        <w:rPr>
          <w:rFonts w:hint="eastAsia" w:ascii="Times New Roman" w:hAnsi="Times New Roman" w:eastAsia="仿宋_GB2312" w:cs="Times New Roman"/>
          <w:sz w:val="32"/>
          <w:szCs w:val="32"/>
          <w:lang w:val="en-US" w:eastAsia="zh-CN"/>
        </w:rPr>
        <w:t>32</w:t>
      </w:r>
      <w:r>
        <w:rPr>
          <w:rFonts w:hint="eastAsia" w:ascii="Times New Roman" w:hAnsi="Times New Roman" w:eastAsia="仿宋_GB2312" w:cs="Times New Roman"/>
          <w:sz w:val="32"/>
          <w:szCs w:val="32"/>
        </w:rPr>
        <w:t>.94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减少开支，减少安排项目支出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105.14</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减少3</w:t>
      </w:r>
      <w:r>
        <w:rPr>
          <w:rFonts w:ascii="Times New Roman" w:hAnsi="Times New Roman" w:eastAsia="仿宋_GB2312" w:cs="Times New Roman"/>
          <w:sz w:val="32"/>
          <w:szCs w:val="32"/>
        </w:rPr>
        <w:t>万元（其中：公务用车运维费</w:t>
      </w:r>
      <w:r>
        <w:rPr>
          <w:rFonts w:hint="eastAsia" w:ascii="Times New Roman" w:hAnsi="Times New Roman" w:eastAsia="仿宋_GB2312" w:cs="Times New Roman"/>
          <w:sz w:val="32"/>
          <w:szCs w:val="32"/>
        </w:rPr>
        <w:t>减少3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我部门切实落实勤俭节约各项规定，压减公车运行经费支出。机关在2022年调拨至人社局公车一辆</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2023年，在国家实施大规模减税降费政策、疫情防控形势严峻、宏观经济下行压力增加的情况下，县财政局在县委县政府的正确领导下，认真做好“六稳”工作、落实“六保”任务，守住“三保”底线，迎难而上，积极挖潜增收、争取支持、培植财源，财政收入实现稳中有升，财政保障能力持续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630"/>
        <w:rPr>
          <w:rFonts w:ascii="仿宋" w:hAnsi="仿宋" w:eastAsia="仿宋" w:cs="仿宋"/>
          <w:sz w:val="32"/>
          <w:szCs w:val="32"/>
        </w:rPr>
      </w:pPr>
      <w:r>
        <w:rPr>
          <w:rFonts w:hint="eastAsia" w:ascii="仿宋" w:hAnsi="仿宋" w:eastAsia="仿宋" w:cs="仿宋"/>
          <w:sz w:val="32"/>
          <w:szCs w:val="32"/>
        </w:rPr>
        <w:t>（一）202</w:t>
      </w:r>
      <w:r>
        <w:rPr>
          <w:rFonts w:hint="eastAsia" w:ascii="仿宋" w:hAnsi="仿宋" w:eastAsia="仿宋" w:cs="仿宋"/>
          <w:sz w:val="32"/>
          <w:szCs w:val="32"/>
          <w:lang w:val="en-US" w:eastAsia="zh-CN"/>
        </w:rPr>
        <w:t>3</w:t>
      </w:r>
      <w:r>
        <w:rPr>
          <w:rFonts w:hint="eastAsia" w:ascii="仿宋" w:hAnsi="仿宋" w:eastAsia="仿宋" w:cs="仿宋"/>
          <w:sz w:val="32"/>
          <w:szCs w:val="32"/>
        </w:rPr>
        <w:t>年农村综合改革一事一议工作经费-上级</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绩效目标:规范我县农村综合改革一事一议工作管理。</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绩效指标：落实国家农村综合一事一议工作，100%落实并执行；走访全县各村街达到覆盖率90%。</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（二）建档立卡脱贫户生产生活补助金</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绩效目标:保障建档立卡脱贫户生产生活补助金工作顺利进行。</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绩效指标：落实国家建档立卡脱贫户生产生活补助金工作，实现政策落地并执行；我部门负责5户建档立卡户脱贫工作确保工作完成率100%。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cs="仿宋"/>
          <w:sz w:val="32"/>
          <w:szCs w:val="32"/>
        </w:rPr>
      </w:pPr>
      <w:r>
        <w:rPr>
          <w:rFonts w:hint="eastAsia" w:ascii="仿宋" w:hAnsi="仿宋" w:eastAsia="仿宋" w:cs="仿宋"/>
          <w:sz w:val="32"/>
          <w:szCs w:val="32"/>
        </w:rPr>
        <w:t>（三）国有企业退休人员社会化管理资金</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绩效目标:规范我县国有企业退休人员社会化管理工作。</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绩效指标：落实国家国有企业退休人员社会化管理制度情况，尽快实现国有企业已退休人员管理服务工作与原企业分离的比例；提升退休人员生活保障。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cs="仿宋"/>
          <w:sz w:val="32"/>
          <w:szCs w:val="32"/>
        </w:rPr>
      </w:pPr>
      <w:r>
        <w:rPr>
          <w:rFonts w:hint="eastAsia" w:ascii="仿宋" w:hAnsi="仿宋" w:eastAsia="仿宋" w:cs="仿宋"/>
          <w:sz w:val="32"/>
          <w:szCs w:val="32"/>
        </w:rPr>
        <w:t>（四）劳务派遣人工资保险经费</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绩效目标:保障劳务派遣人员工资保险工作顺利进行。</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绩效指标：本部门现有劳务派遣人员二名，确保工资待遇按国家法定标准执行；保障劳务派遣人员就业率为100%。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cs="仿宋"/>
          <w:sz w:val="32"/>
          <w:szCs w:val="32"/>
        </w:rPr>
      </w:pP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（五）关于提前下达202</w:t>
      </w:r>
      <w:r>
        <w:rPr>
          <w:rFonts w:hint="eastAsia" w:ascii="仿宋" w:hAnsi="仿宋" w:eastAsia="仿宋" w:cs="仿宋"/>
          <w:sz w:val="32"/>
          <w:szCs w:val="32"/>
          <w:lang w:val="en-US" w:eastAsia="zh-CN"/>
        </w:rPr>
        <w:t>3</w:t>
      </w:r>
      <w:r>
        <w:rPr>
          <w:rFonts w:hint="eastAsia" w:ascii="仿宋" w:hAnsi="仿宋" w:eastAsia="仿宋" w:cs="仿宋"/>
          <w:sz w:val="32"/>
          <w:szCs w:val="32"/>
        </w:rPr>
        <w:t>年省级农村财务人员培训一般转移支付指标的通知</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绩效目标：规范我县农村财务人员培训管理。</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绩效指标：落实国家农村财务管理制度情况，100%落实并执行，提高农村财务人员综合业务水平；县级各农村财务管理人员相关制度知晓率100%。</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firstLine="800" w:firstLineChars="250"/>
        <w:rPr>
          <w:rFonts w:ascii="仿宋" w:hAnsi="仿宋" w:eastAsia="仿宋" w:cs="仿宋"/>
          <w:sz w:val="32"/>
          <w:szCs w:val="32"/>
        </w:rPr>
      </w:pPr>
      <w:r>
        <w:rPr>
          <w:rFonts w:hint="eastAsia" w:ascii="仿宋" w:hAnsi="仿宋" w:eastAsia="仿宋" w:cs="仿宋"/>
          <w:sz w:val="32"/>
          <w:szCs w:val="32"/>
        </w:rPr>
        <w:t>（六）关于提前下达2023年省级农村财务人员培训一般转移支付指标的通知</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绩效目标：规范我县农村财务人员培训管理。</w:t>
      </w:r>
    </w:p>
    <w:p>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hAnsi="仿宋" w:eastAsia="仿宋" w:cs="仿宋"/>
          <w:sz w:val="32"/>
          <w:szCs w:val="32"/>
        </w:rPr>
      </w:pPr>
      <w:r>
        <w:rPr>
          <w:rFonts w:hint="eastAsia" w:ascii="仿宋" w:hAnsi="仿宋" w:eastAsia="仿宋" w:cs="仿宋"/>
          <w:sz w:val="32"/>
          <w:szCs w:val="32"/>
        </w:rPr>
        <w:t>绩效指标：落实国家农村财务管理制度情况，100%落实并执行，提高农村财务人员综合业务水平；县级各农村财务管理人员相关制度知晓率100%。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ind w:firstLine="161" w:firstLineChars="5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hAnsi="仿宋" w:eastAsia="仿宋" w:cs="仿宋"/>
          <w:kern w:val="2"/>
          <w:szCs w:val="32"/>
          <w:lang w:eastAsia="zh-CN"/>
        </w:rPr>
      </w:pPr>
      <w:r>
        <w:rPr>
          <w:rFonts w:hint="eastAsia" w:ascii="仿宋" w:hAnsi="仿宋" w:eastAsia="仿宋" w:cs="仿宋"/>
          <w:kern w:val="2"/>
          <w:szCs w:val="32"/>
          <w:lang w:eastAsia="zh-CN"/>
        </w:rPr>
        <w:t>（一）抓收入、控支出，进一步提升财政保障能力。收入方面，一是强化收入目标管理。加强收入预测和分析，科学应对各项政策性增、减收。将全年收入目标合理分解到各季、各月，落实组织收入责任，做到“以月保季”、“以季保年”，抓好收入均衡入库。深入推进综合治税，以重点行业、重点企业、重点税种清查清理为突破点，开展一系列专项行动，进一步公平行业税负。加大对重点非税收入收缴和监管力度，强化国有资产、资源有偿使用收入监管，挖掘增收潜力，做到依法征收、应收尽收。二是积极做好争资工作。根据国家产业发展和财政扶持政策要求，有针对性地做好项目谋划和申报，积极争取上级财政政策和专项资金扶持,缓解财政压力。三是盘活现有土地资源。合理利用现有土地资源，有序推进房地产业健康发展，提升房地产业税收对财政收入的贡献率。加快土地招拍挂进度，按规定完成与土地收储、出让相关的税收征管工作。支出方面，一是更加突出以收定支，通过节支改善财政收支平衡状况。全县一般性支出在2022年已压减的基础上进一步压减，继续盘活各类存量资金和资产。二是预算执行中按照“能省则省”的原则，把可不再安排的支出节省下来。从严控制财政资金拨付，已经列入预算的基本支出要依据国家规定予以保障，项目支出要体现节支要求，严格按照项目进度、合同约定和规定程序拨付，严禁超进度、超合同提前拨款。</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hAnsi="仿宋" w:eastAsia="仿宋" w:cs="仿宋"/>
          <w:kern w:val="2"/>
          <w:szCs w:val="32"/>
          <w:lang w:eastAsia="zh-CN"/>
        </w:rPr>
      </w:pPr>
      <w:r>
        <w:rPr>
          <w:rFonts w:hint="eastAsia" w:ascii="仿宋" w:hAnsi="仿宋" w:eastAsia="仿宋" w:cs="仿宋"/>
          <w:kern w:val="2"/>
          <w:szCs w:val="32"/>
          <w:lang w:eastAsia="zh-CN"/>
        </w:rPr>
        <w:t>（二）转方式、促发展，助力县域经济提质增效。一是全力支持园区开发。进一步加大对园区交通路网、污水处理厂等基础设施建设的投入，增强园区服务功能，破解交通制约，进一步强化对项目的吸附能力。二是加快推动新旧动能转换。在推进绝热节能材料、有色金属、新能源车等传统产业转型升级的基础上，大力发展战略性新兴产业和现代服务业，重点支持高端装备制造、新材料新能源、仓储物流等一批对结构调整具有全局性、带动性的项目，加快电子商务、文化创意等产业发展，着力构建现代化经济体系。三是巩固和拓展减税降费成效。加强信息共享，密切关注各行业税负变化，及时研究解决新出现的问题，切实帮扶中小企业加快发展。四是大力支持科技创新。按照“百企转型”计划要求，加大财政科技投入力度，重点支持企业科技创新、项目投资建设、人才引进培养等工作，提升科技创新引领作用，努力形成新的经济增长点。</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hAnsi="仿宋" w:eastAsia="仿宋" w:cs="仿宋"/>
          <w:kern w:val="2"/>
          <w:szCs w:val="32"/>
          <w:lang w:eastAsia="zh-CN"/>
        </w:rPr>
      </w:pPr>
      <w:r>
        <w:rPr>
          <w:rFonts w:hint="eastAsia" w:ascii="仿宋" w:hAnsi="仿宋" w:eastAsia="仿宋" w:cs="仿宋"/>
          <w:kern w:val="2"/>
          <w:szCs w:val="32"/>
          <w:lang w:eastAsia="zh-CN"/>
        </w:rPr>
        <w:t>（三）补短板、惠民生，统筹办好民生实事。科学统筹财政资金，更加注重普惠性、基础性、兜底性，集中财力办好民生大事、急事难事，不断增强群众的获得感、幸福感。一是支持教育优先发展。落实城乡义务教育保障机制和校舍维修改造保障机制，加快中小学校建设，在积极推进大城县第二小学、第三小学等学校改扩建、野固献小学迁建等工程的同时，不断扩大学前教育资源，全面提升教育水平。二是支持文体事业发展。大力支持“廊坊市2020年文旅大会”、“葫芦文化艺术节”等文旅活动，打造大城特色旅游品牌。落实公共图书馆、文化馆（站）、体育场（馆）免费开放惠民政策，进一步健全公共文化服务体系，让人民群众共享改革发展成果。三是支持卫生健康事业发展。积极承接京津优质医疗资源，加快提升妇幼服务能力，扎实推进基本公共卫生服务均等化，让人民群众在家门口看的了病、看的好病。四是支持完善社保体系。落实各项社保扩面任务，支持机关事业单位养老保险制度改革，加大对困难群众的救助力度；扎实做好退役军人工作，切实把民生底线兜住兜牢。五是支持脱贫攻坚工作。进一步加大资金投入力度，提高资金使用绩效。同时，对贫困边缘户有针对性地开展扶持和救助工作，防止出现“因病返贫”等现象。六是支持安居工程建设。实施保障性安居住房建设和老旧小区改造工程，持续改善居民居住条件，提高群众幸福感。七是支持生态文明建设。加大对环境治理的投入力度，突出“散乱污”、河道垃圾和农业面源污染问题的综合治理，重点支持打好蓝天、碧水、净土保卫战。八是支持城乡统筹发展。支持打好打赢形象提升攻坚战，重点保障经六路、和平公园和城区小街小巷改造等基础设施建设，有效提升城市配套功能。支持打好打赢乡村振兴攻坚战，充分发挥财政资金引导作用，支持现代农业发展，继续推动农村一二三产业深度融合发展。</w:t>
      </w:r>
    </w:p>
    <w:p>
      <w:pPr>
        <w:pStyle w:val="2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hAnsi="仿宋" w:eastAsia="仿宋" w:cs="仿宋"/>
          <w:kern w:val="2"/>
          <w:szCs w:val="32"/>
          <w:lang w:eastAsia="zh-CN"/>
        </w:rPr>
      </w:pPr>
      <w:r>
        <w:rPr>
          <w:rFonts w:hint="eastAsia" w:ascii="仿宋" w:hAnsi="仿宋" w:eastAsia="仿宋" w:cs="仿宋"/>
          <w:kern w:val="2"/>
          <w:szCs w:val="32"/>
          <w:lang w:eastAsia="zh-CN"/>
        </w:rPr>
        <w:t>（四）促改革，强管理，释放财政机制活力。围绕国家治理体系和治理能力现代化建设，加大工作推力，加快财税体制改革步伐。一是稳妥推进税种改革。加强地方税体系建设研究，按照中央和省市改革部署，主动谋划房产税、消费税、车辆购置税等税制改革工作，逐步培育地方主体税种和税源。密切关注中央和省财税体制改革动态，认真落实环境保护税和个人所得税改革政策，继续深化水资源税改革。二是深化预算管理改革。按照全面规范透明、标准科学、约束有力的要求，扎实推进全口径政府预算管理，深入实施中期财政规划管理，进一步完善跨年度预算平衡机制，严控预算调整和调剂事项，切实刚化预算约束。三是全面实施绩效预算管理。加快构建全方位、全过程、全覆盖的预算绩效管理体系，将绩效理念体现到预算管理的全过程，提高财政基础管理水平。四是推进其他重点改革。积极推进全县差旅电子凭证网上报销改革。科学做好项目PPP模式推广应用，严格项目筛选入库，规范项目运作管理，拓宽城市建设可用资金来源。稳步推进国有金融资本管理体制改革、公务用车管理、司法体制财物统管、国有资产管理情况报告制度等改革工作。</w:t>
      </w:r>
    </w:p>
    <w:p>
      <w:pPr>
        <w:overflowPunct w:val="0"/>
        <w:adjustRightInd w:val="0"/>
        <w:snapToGrid w:val="0"/>
        <w:spacing w:afterLines="50" w:line="584" w:lineRule="exact"/>
        <w:ind w:firstLine="627" w:firstLineChars="196"/>
        <w:jc w:val="left"/>
        <w:rPr>
          <w:rFonts w:ascii="仿宋" w:hAnsi="仿宋" w:eastAsia="仿宋" w:cs="仿宋"/>
          <w:sz w:val="32"/>
          <w:szCs w:val="32"/>
        </w:rPr>
      </w:pPr>
      <w:r>
        <w:rPr>
          <w:rFonts w:hint="eastAsia" w:ascii="仿宋" w:hAnsi="仿宋" w:eastAsia="仿宋" w:cs="仿宋"/>
          <w:sz w:val="32"/>
          <w:szCs w:val="32"/>
        </w:rPr>
        <w:t>（五）重监管、促规范，提高财政管理水平。一是完善财政内控制度。狠抓制度建设和执行，扎紧笼子，堵漏洞、强监管，不断提升财政管理效能和资金绩效。以财政信息化建设提升监管能力，建立健全财政资金分配使用全程留痕、责任可追溯的监管机制。深入推进预决算信息公开，以建立“公开、透明、规范、完整”的预算制度为目标，认真做好政府预决算、部门预决算和“三公”经费预决算公开，全面提高预决算透明度。二是努力防控财政风险。坚持“资金跟着项目走”的原则，统筹运用新增政府债券、再融资债券政策，支持补短板等急需的重大基础设施项目建设。同时，有效遏制政府隐性债务增量，严格执行债务风险预警及化解机制，强化政府性债务举债融资行为和PPP项目运营的财政监督，有效防控财政风险。</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仿宋" w:hAnsi="仿宋" w:eastAsia="仿宋" w:cs="仿宋"/>
          <w:b/>
          <w:bCs/>
          <w:sz w:val="32"/>
          <w:szCs w:val="32"/>
        </w:rPr>
        <w:t>（</w:t>
      </w:r>
      <w:r>
        <w:rPr>
          <w:rFonts w:hint="eastAsia" w:ascii="楷体_GB2312" w:eastAsia="楷体_GB2312" w:cs="Times New Roman"/>
          <w:b/>
          <w:sz w:val="32"/>
          <w:szCs w:val="32"/>
        </w:rPr>
        <w:t>四）单位整体支出绩效指标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单位整体工作目标</w:t>
            </w: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完成率</w:t>
            </w: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目标完成率</w:t>
            </w:r>
          </w:p>
        </w:tc>
        <w:tc>
          <w:tcPr>
            <w:tcW w:w="543" w:type="dxa"/>
            <w:tcBorders>
              <w:tl2br w:val="nil"/>
              <w:tr2bl w:val="nil"/>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90</w:t>
            </w: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质量达标</w:t>
            </w: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达标程度</w:t>
            </w: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使用效率</w:t>
            </w: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9</w:t>
            </w:r>
            <w:r>
              <w:rPr>
                <w:rFonts w:asciiTheme="minorEastAsia" w:hAnsiTheme="minorEastAsia"/>
                <w:sz w:val="18"/>
                <w:szCs w:val="18"/>
              </w:rPr>
              <w:t>0</w:t>
            </w: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及时完成</w:t>
            </w: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完成率</w:t>
            </w: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年底完成</w:t>
            </w: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及时</w:t>
            </w: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及时</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成本控制</w:t>
            </w: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是否超预算</w:t>
            </w: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成本控制在预算内</w:t>
            </w:r>
          </w:p>
        </w:tc>
        <w:tc>
          <w:tcPr>
            <w:tcW w:w="543" w:type="dxa"/>
            <w:tcBorders>
              <w:tl2br w:val="nil"/>
              <w:tr2bl w:val="nil"/>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29.63</w:t>
            </w: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年初预算</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2172"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48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各项收支指标</w:t>
            </w:r>
          </w:p>
        </w:tc>
        <w:tc>
          <w:tcPr>
            <w:tcW w:w="2172"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工作计划</w:t>
            </w:r>
          </w:p>
        </w:tc>
        <w:tc>
          <w:tcPr>
            <w:tcW w:w="1483"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达到上级要求</w:t>
            </w:r>
          </w:p>
        </w:tc>
        <w:tc>
          <w:tcPr>
            <w:tcW w:w="54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9</w:t>
            </w:r>
            <w:r>
              <w:rPr>
                <w:rFonts w:asciiTheme="minorEastAsia" w:hAnsiTheme="minorEastAsia"/>
                <w:sz w:val="18"/>
                <w:szCs w:val="18"/>
              </w:rPr>
              <w:t>0</w:t>
            </w:r>
          </w:p>
        </w:tc>
        <w:tc>
          <w:tcPr>
            <w:tcW w:w="573" w:type="dxa"/>
            <w:tcBorders>
              <w:tl2br w:val="nil"/>
              <w:tr2bl w:val="nil"/>
            </w:tcBorders>
            <w:vAlign w:val="center"/>
          </w:tcPr>
          <w:p>
            <w:pPr>
              <w:widowControl/>
              <w:adjustRightInd w:val="0"/>
              <w:snapToGrid w:val="0"/>
              <w:jc w:val="center"/>
              <w:rPr>
                <w:rFonts w:asciiTheme="minorEastAsia" w:hAnsiTheme="minorEastAsia"/>
                <w:sz w:val="18"/>
                <w:szCs w:val="18"/>
              </w:rPr>
            </w:pPr>
            <w:r>
              <w:rPr>
                <w:rFonts w:hint="eastAsia" w:asciiTheme="minorEastAsia" w:hAnsi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服务对象满意度</w:t>
            </w:r>
          </w:p>
        </w:tc>
        <w:tc>
          <w:tcPr>
            <w:tcW w:w="2172"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满意程度</w:t>
            </w:r>
          </w:p>
        </w:tc>
        <w:tc>
          <w:tcPr>
            <w:tcW w:w="1483" w:type="dxa"/>
            <w:tcBorders>
              <w:tl2br w:val="nil"/>
              <w:tr2bl w:val="nil"/>
            </w:tcBorders>
            <w:noWrap/>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各预算部门满意度</w:t>
            </w:r>
          </w:p>
        </w:tc>
        <w:tc>
          <w:tcPr>
            <w:tcW w:w="543" w:type="dxa"/>
            <w:tcBorders>
              <w:tl2br w:val="nil"/>
              <w:tr2bl w:val="nil"/>
            </w:tcBorders>
            <w:vAlign w:val="center"/>
          </w:tcPr>
          <w:p>
            <w:pPr>
              <w:widowControl/>
              <w:adjustRightInd w:val="0"/>
              <w:snapToGrid w:val="0"/>
              <w:ind w:firstLine="180" w:firstLineChars="100"/>
              <w:jc w:val="center"/>
              <w:rPr>
                <w:rFonts w:asciiTheme="minorEastAsia" w:hAnsiTheme="minorEastAsia"/>
                <w:sz w:val="18"/>
                <w:szCs w:val="18"/>
              </w:rPr>
            </w:pPr>
            <w:r>
              <w:rPr>
                <w:rFonts w:hint="eastAsia" w:asciiTheme="minorEastAsia" w:hAnsiTheme="minorEastAsia"/>
                <w:sz w:val="18"/>
                <w:szCs w:val="18"/>
              </w:rPr>
              <w:t>≥</w:t>
            </w:r>
          </w:p>
        </w:tc>
        <w:tc>
          <w:tcPr>
            <w:tcW w:w="488" w:type="dxa"/>
            <w:tcBorders>
              <w:tl2br w:val="nil"/>
              <w:tr2bl w:val="nil"/>
            </w:tcBorders>
            <w:vAlign w:val="center"/>
          </w:tcPr>
          <w:p>
            <w:pPr>
              <w:widowControl/>
              <w:adjustRightInd w:val="0"/>
              <w:snapToGrid w:val="0"/>
              <w:ind w:firstLine="180" w:firstLineChars="100"/>
              <w:rPr>
                <w:rFonts w:asciiTheme="minorEastAsia" w:hAnsiTheme="minorEastAsia"/>
                <w:sz w:val="18"/>
                <w:szCs w:val="18"/>
              </w:rPr>
            </w:pPr>
            <w:r>
              <w:rPr>
                <w:rFonts w:hint="eastAsia" w:asciiTheme="minorEastAsia" w:hAnsiTheme="minorEastAsia"/>
                <w:sz w:val="18"/>
                <w:szCs w:val="18"/>
              </w:rPr>
              <w:t>9</w:t>
            </w:r>
            <w:r>
              <w:rPr>
                <w:rFonts w:asciiTheme="minorEastAsia" w:hAnsiTheme="minorEastAsia"/>
                <w:sz w:val="18"/>
                <w:szCs w:val="18"/>
              </w:rPr>
              <w:t>0</w:t>
            </w:r>
          </w:p>
        </w:tc>
        <w:tc>
          <w:tcPr>
            <w:tcW w:w="573" w:type="dxa"/>
            <w:tcBorders>
              <w:tl2br w:val="nil"/>
              <w:tr2bl w:val="nil"/>
            </w:tcBorders>
            <w:vAlign w:val="center"/>
          </w:tcPr>
          <w:p>
            <w:pPr>
              <w:widowControl/>
              <w:adjustRightInd w:val="0"/>
              <w:snapToGrid w:val="0"/>
              <w:ind w:firstLine="180" w:firstLineChars="100"/>
              <w:jc w:val="center"/>
              <w:rPr>
                <w:rFonts w:asciiTheme="minorEastAsia" w:hAnsiTheme="minorEastAsia"/>
                <w:sz w:val="18"/>
                <w:szCs w:val="18"/>
              </w:rPr>
            </w:pPr>
            <w:r>
              <w:rPr>
                <w:rFonts w:hint="eastAsia" w:asciiTheme="minorEastAsia" w:hAnsi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sz w:val="18"/>
                <w:szCs w:val="18"/>
              </w:rPr>
            </w:pPr>
            <w:r>
              <w:rPr>
                <w:rFonts w:asciiTheme="minorEastAsia" w:hAnsiTheme="minorEastAsia"/>
                <w:sz w:val="18"/>
                <w:szCs w:val="18"/>
              </w:rPr>
              <w:t>工作计划</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480" w:firstLineChars="150"/>
        <w:rPr>
          <w:rFonts w:ascii="Times New Roman" w:hAnsi="Times New Roman" w:eastAsia="仿宋_GB2312" w:cs="Times New Roman"/>
          <w:sz w:val="28"/>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w:t>
      </w:r>
      <w:r>
        <w:rPr>
          <w:rFonts w:ascii="Times New Roman" w:hAnsi="Times New Roman" w:eastAsia="仿宋_GB2312" w:cs="Times New Roman"/>
          <w:sz w:val="28"/>
        </w:rPr>
        <w:t>.</w:t>
      </w:r>
      <w:r>
        <w:rPr>
          <w:rFonts w:hint="eastAsia" w:ascii="仿宋" w:hAnsi="仿宋" w:eastAsia="仿宋" w:cs="仿宋"/>
          <w:sz w:val="28"/>
        </w:rPr>
        <w:t>2022年农村综合改革一事一议工作经费-上级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heme="majorEastAsia" w:hAnsiTheme="majorEastAsia" w:eastAsiaTheme="majorEastAsia" w:cstheme="majorEastAsia"/>
                <w:color w:val="000000"/>
                <w:kern w:val="0"/>
                <w:sz w:val="18"/>
                <w:szCs w:val="18"/>
              </w:rPr>
              <w:t>2022年农村综合改革一事一议工作经费-上级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完成检查验收村街数量</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完成检村街数量</w:t>
            </w:r>
          </w:p>
        </w:tc>
        <w:tc>
          <w:tcPr>
            <w:tcW w:w="1843" w:type="dxa"/>
            <w:shd w:val="clear" w:color="auto" w:fill="auto"/>
            <w:vAlign w:val="center"/>
          </w:tcPr>
          <w:p>
            <w:pPr>
              <w:spacing w:line="584" w:lineRule="exact"/>
              <w:jc w:val="left"/>
              <w:rPr>
                <w:rFonts w:ascii="Times New Roman" w:hAnsi="Times New Roman" w:cs="Times New Roman" w:eastAsiaTheme="majorEastAsia"/>
              </w:rPr>
            </w:pPr>
            <w:r>
              <w:rPr>
                <w:rFonts w:hint="eastAsia" w:asciiTheme="majorEastAsia" w:hAnsiTheme="majorEastAsia" w:eastAsiaTheme="majorEastAsia" w:cstheme="majorEastAsia"/>
                <w:color w:val="000000"/>
                <w:kern w:val="0"/>
                <w:sz w:val="18"/>
                <w:szCs w:val="18"/>
              </w:rPr>
              <w:t>≥</w:t>
            </w:r>
            <w:r>
              <w:rPr>
                <w:rFonts w:hint="eastAsia" w:asciiTheme="majorEastAsia" w:hAnsiTheme="majorEastAsia" w:eastAsiaTheme="majorEastAsia" w:cstheme="majorEastAsia"/>
                <w:color w:val="000000"/>
                <w:kern w:val="0"/>
                <w:sz w:val="18"/>
                <w:szCs w:val="18"/>
                <w:lang w:val="en-US" w:eastAsia="zh-CN"/>
              </w:rPr>
              <w:t>1</w:t>
            </w:r>
            <w:r>
              <w:rPr>
                <w:rFonts w:hint="eastAsia" w:asciiTheme="majorEastAsia" w:hAnsiTheme="majorEastAsia" w:eastAsiaTheme="majorEastAsia" w:cstheme="majorEastAsia"/>
                <w:color w:val="000000"/>
                <w:kern w:val="0"/>
                <w:sz w:val="18"/>
                <w:szCs w:val="18"/>
              </w:rPr>
              <w:t>个</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项目验收合格率</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项目验收合格率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时效指标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按时完成率</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按时完成率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控制在预算内</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不超预算数</w:t>
            </w:r>
          </w:p>
        </w:tc>
        <w:tc>
          <w:tcPr>
            <w:tcW w:w="1843" w:type="dxa"/>
            <w:shd w:val="clear" w:color="auto" w:fill="auto"/>
            <w:vAlign w:val="center"/>
          </w:tcPr>
          <w:p>
            <w:pPr>
              <w:spacing w:line="584" w:lineRule="exact"/>
              <w:jc w:val="left"/>
              <w:rPr>
                <w:rFonts w:ascii="Times New Roman" w:hAnsi="Times New Roman" w:cs="Times New Roman" w:eastAsiaTheme="majorEastAsia"/>
              </w:rPr>
            </w:pPr>
            <w:r>
              <w:rPr>
                <w:rFonts w:hint="eastAsia" w:asciiTheme="majorEastAsia" w:hAnsiTheme="majorEastAsia" w:eastAsiaTheme="majorEastAsia" w:cstheme="majorEastAsia"/>
                <w:color w:val="000000"/>
                <w:kern w:val="0"/>
                <w:sz w:val="18"/>
                <w:szCs w:val="18"/>
              </w:rPr>
              <w:t>≤</w:t>
            </w:r>
            <w:r>
              <w:rPr>
                <w:rFonts w:hint="eastAsia" w:asciiTheme="majorEastAsia" w:hAnsiTheme="majorEastAsia" w:eastAsiaTheme="majorEastAsia" w:cstheme="majorEastAsia"/>
                <w:color w:val="000000"/>
                <w:kern w:val="0"/>
                <w:sz w:val="18"/>
                <w:szCs w:val="18"/>
                <w:lang w:val="en-US" w:eastAsia="zh-CN"/>
              </w:rPr>
              <w:t>0.01</w:t>
            </w:r>
            <w:r>
              <w:rPr>
                <w:rFonts w:hint="eastAsia" w:asciiTheme="majorEastAsia" w:hAnsiTheme="majorEastAsia" w:eastAsiaTheme="majorEastAsia" w:cstheme="majorEastAsia"/>
                <w:color w:val="000000"/>
                <w:kern w:val="0"/>
                <w:sz w:val="18"/>
                <w:szCs w:val="18"/>
              </w:rPr>
              <w:t>万元</w:t>
            </w:r>
          </w:p>
        </w:tc>
        <w:tc>
          <w:tcPr>
            <w:tcW w:w="2155" w:type="dxa"/>
            <w:shd w:val="clear" w:color="auto" w:fill="auto"/>
          </w:tcPr>
          <w:p>
            <w:pPr>
              <w:widowControl/>
              <w:jc w:val="left"/>
              <w:textAlignment w:val="top"/>
              <w:rPr>
                <w:rFonts w:asciiTheme="majorEastAsia" w:hAnsiTheme="majorEastAsia" w:eastAsiaTheme="majorEastAsia" w:cstheme="majorEastAsia"/>
                <w:color w:val="00000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村容村貌得到明显改善</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村容村貌得到明显改善</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受益群众满意度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受益群众满意度</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≥90%</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280" w:firstLineChars="1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建档立卡脱贫户生产生活补助金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heme="majorEastAsia" w:hAnsiTheme="majorEastAsia" w:eastAsiaTheme="majorEastAsia" w:cstheme="majorEastAsia"/>
                <w:color w:val="000000"/>
                <w:kern w:val="0"/>
                <w:sz w:val="18"/>
                <w:szCs w:val="18"/>
              </w:rPr>
              <w:t>建档立卡脱贫户生产生活补助金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发放贫困户数量</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发放建档立卡贫困户户数</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=5户</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发放资金控制</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发放资金控制在预算范围内</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=1万元</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时效指标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发放及时到位</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及时完成工作计划</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发放金额达标</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资金全额发放到位</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维护社会稳定效果</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落实政府“暖心工程”，达到维护社会稳定的影响</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rPr>
            </w:pP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发放人员满意度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建档立卡贫困户对项目实施满意度</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heme="majorEastAsia" w:hAnsiTheme="majorEastAsia" w:eastAsiaTheme="majorEastAsia" w:cstheme="majorEastAsia"/>
                <w:color w:val="000000"/>
                <w:kern w:val="0"/>
                <w:sz w:val="18"/>
                <w:szCs w:val="18"/>
              </w:rPr>
              <w:t>保障建档立卡贫困户慰问工作有效开展</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（2023）国有企业退休人员社会化管理资金绩效目标表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heme="majorEastAsia" w:hAnsiTheme="majorEastAsia" w:eastAsiaTheme="majorEastAsia" w:cstheme="majorEastAsia"/>
                <w:color w:val="000000"/>
                <w:kern w:val="0"/>
                <w:sz w:val="18"/>
                <w:szCs w:val="18"/>
              </w:rPr>
              <w:t>（2023）国有企业退休人员社会化管理资金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国有企业已退休人员管理服务工作与原企业分离的比例</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全县15家企业分离率</w:t>
            </w:r>
          </w:p>
        </w:tc>
        <w:tc>
          <w:tcPr>
            <w:tcW w:w="1843" w:type="dxa"/>
            <w:shd w:val="clear" w:color="auto" w:fill="auto"/>
            <w:vAlign w:val="center"/>
          </w:tcPr>
          <w:p>
            <w:pPr>
              <w:spacing w:line="584" w:lineRule="exact"/>
              <w:jc w:val="left"/>
              <w:rPr>
                <w:rFonts w:ascii="Times New Roman" w:hAnsi="Times New Roman" w:eastAsia="仿宋_GB2312" w:cs="Times New Roman"/>
                <w:color w:val="000000" w:themeColor="text1"/>
              </w:rPr>
            </w:pPr>
            <w:r>
              <w:rPr>
                <w:rFonts w:hint="eastAsia" w:ascii="Times New Roman" w:hAnsi="Times New Roman" w:eastAsia="仿宋_GB2312" w:cs="Times New Roman"/>
                <w:color w:val="000000" w:themeColor="text1"/>
              </w:rPr>
              <w:t>1</w:t>
            </w:r>
            <w:r>
              <w:rPr>
                <w:rFonts w:hint="eastAsia" w:ascii="Times New Roman" w:hAnsi="Times New Roman" w:eastAsia="仿宋_GB2312" w:cs="Times New Roman"/>
                <w:color w:val="000000" w:themeColor="text1"/>
                <w:lang w:val="en-US" w:eastAsia="zh-CN"/>
              </w:rPr>
              <w:t>3</w:t>
            </w:r>
            <w:r>
              <w:rPr>
                <w:rFonts w:hint="eastAsia" w:ascii="Times New Roman" w:hAnsi="Times New Roman" w:eastAsia="仿宋_GB2312" w:cs="Times New Roman"/>
                <w:color w:val="000000" w:themeColor="text1"/>
              </w:rPr>
              <w:t>家</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单位数是否一致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国有企业新办理退休人员管理服务工作与原企业分理的比例</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移交348人数</w:t>
            </w:r>
          </w:p>
        </w:tc>
        <w:tc>
          <w:tcPr>
            <w:tcW w:w="1843" w:type="dxa"/>
            <w:shd w:val="clear" w:color="auto" w:fill="auto"/>
            <w:vAlign w:val="center"/>
          </w:tcPr>
          <w:p>
            <w:pPr>
              <w:spacing w:line="584" w:lineRule="exact"/>
              <w:jc w:val="left"/>
              <w:rPr>
                <w:rFonts w:ascii="Times New Roman" w:hAnsi="Times New Roman" w:eastAsia="仿宋_GB2312" w:cs="Times New Roman"/>
                <w:color w:val="000000" w:themeColor="text1"/>
              </w:rPr>
            </w:pPr>
            <w:r>
              <w:rPr>
                <w:rFonts w:hint="eastAsia" w:asciiTheme="majorEastAsia" w:hAnsiTheme="majorEastAsia" w:eastAsiaTheme="majorEastAsia" w:cstheme="majorEastAsia"/>
                <w:color w:val="000000" w:themeColor="text1"/>
                <w:kern w:val="0"/>
                <w:sz w:val="18"/>
                <w:szCs w:val="18"/>
              </w:rPr>
              <w:t>3</w:t>
            </w:r>
            <w:r>
              <w:rPr>
                <w:rFonts w:hint="eastAsia" w:asciiTheme="majorEastAsia" w:hAnsiTheme="majorEastAsia" w:eastAsiaTheme="majorEastAsia" w:cstheme="majorEastAsia"/>
                <w:color w:val="000000" w:themeColor="text1"/>
                <w:kern w:val="0"/>
                <w:sz w:val="18"/>
                <w:szCs w:val="18"/>
                <w:lang w:val="en-US" w:eastAsia="zh-CN"/>
              </w:rPr>
              <w:t>00</w:t>
            </w:r>
            <w:bookmarkStart w:id="2" w:name="_GoBack"/>
            <w:bookmarkEnd w:id="2"/>
            <w:r>
              <w:rPr>
                <w:rFonts w:hint="eastAsia" w:asciiTheme="majorEastAsia" w:hAnsiTheme="majorEastAsia" w:eastAsiaTheme="majorEastAsia" w:cstheme="majorEastAsia"/>
                <w:color w:val="000000" w:themeColor="text1"/>
                <w:kern w:val="0"/>
                <w:sz w:val="18"/>
                <w:szCs w:val="18"/>
              </w:rPr>
              <w:t>人</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年度情况是否相符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时效指标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各项任务完成及时率（%）</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各项任务完成及时率（%）</w:t>
            </w:r>
          </w:p>
        </w:tc>
        <w:tc>
          <w:tcPr>
            <w:tcW w:w="1843" w:type="dxa"/>
            <w:shd w:val="clear" w:color="auto" w:fill="auto"/>
            <w:vAlign w:val="center"/>
          </w:tcPr>
          <w:p>
            <w:pPr>
              <w:spacing w:line="584" w:lineRule="exact"/>
              <w:jc w:val="left"/>
              <w:rPr>
                <w:rFonts w:ascii="Times New Roman" w:hAnsi="Times New Roman" w:eastAsia="仿宋_GB2312" w:cs="Times New Roman"/>
                <w:color w:val="000000" w:themeColor="text1"/>
              </w:rPr>
            </w:pPr>
            <w:r>
              <w:rPr>
                <w:rFonts w:hint="eastAsia" w:ascii="Times New Roman" w:hAnsi="Times New Roman" w:eastAsia="仿宋_GB2312" w:cs="Times New Roman"/>
                <w:color w:val="000000" w:themeColor="text1"/>
              </w:rPr>
              <w:t>100平台管理</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是否及时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按预算资金完成率</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按预算资金完成率</w:t>
            </w:r>
          </w:p>
        </w:tc>
        <w:tc>
          <w:tcPr>
            <w:tcW w:w="1843" w:type="dxa"/>
            <w:shd w:val="clear" w:color="auto" w:fill="auto"/>
            <w:vAlign w:val="center"/>
          </w:tcPr>
          <w:p>
            <w:pPr>
              <w:spacing w:line="584" w:lineRule="exact"/>
              <w:jc w:val="left"/>
              <w:rPr>
                <w:rFonts w:ascii="Times New Roman" w:hAnsi="Times New Roman" w:eastAsia="仿宋_GB2312" w:cs="Times New Roman"/>
                <w:color w:val="000000" w:themeColor="text1"/>
              </w:rPr>
            </w:pPr>
            <w:r>
              <w:rPr>
                <w:rFonts w:hint="eastAsia" w:ascii="Times New Roman" w:hAnsi="Times New Roman" w:eastAsia="仿宋_GB2312" w:cs="Times New Roman"/>
                <w:color w:val="000000" w:themeColor="text1"/>
              </w:rPr>
              <w:t>7万元</w:t>
            </w:r>
          </w:p>
        </w:tc>
        <w:tc>
          <w:tcPr>
            <w:tcW w:w="2155" w:type="dxa"/>
            <w:shd w:val="clear" w:color="auto" w:fill="auto"/>
          </w:tcPr>
          <w:p>
            <w:pPr>
              <w:widowControl/>
              <w:jc w:val="left"/>
              <w:textAlignment w:val="top"/>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经费是否相符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提升退休人员生活保障</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提升退休人员生活保障</w:t>
            </w:r>
          </w:p>
        </w:tc>
        <w:tc>
          <w:tcPr>
            <w:tcW w:w="1843" w:type="dxa"/>
            <w:shd w:val="clear" w:color="auto" w:fill="auto"/>
            <w:vAlign w:val="center"/>
          </w:tcPr>
          <w:p>
            <w:pPr>
              <w:spacing w:line="584" w:lineRule="exact"/>
              <w:jc w:val="left"/>
              <w:rPr>
                <w:rFonts w:ascii="Times New Roman" w:hAnsi="Times New Roman" w:cs="Times New Roman" w:eastAsiaTheme="majorEastAsia"/>
                <w:color w:val="000000" w:themeColor="text1"/>
              </w:rPr>
            </w:pPr>
            <w:r>
              <w:rPr>
                <w:rFonts w:hint="eastAsia" w:asciiTheme="majorEastAsia" w:hAnsiTheme="majorEastAsia" w:eastAsiaTheme="majorEastAsia" w:cstheme="majorEastAsia"/>
                <w:color w:val="000000" w:themeColor="text1"/>
                <w:kern w:val="0"/>
                <w:sz w:val="18"/>
                <w:szCs w:val="18"/>
              </w:rPr>
              <w:t>≥90平台监管</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是否完整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spacing w:line="584" w:lineRule="exact"/>
              <w:jc w:val="left"/>
              <w:rPr>
                <w:rFonts w:ascii="Times New Roman" w:hAnsi="Times New Roman" w:eastAsia="仿宋_GB2312" w:cs="Times New Roman"/>
              </w:rPr>
            </w:pPr>
          </w:p>
        </w:tc>
        <w:tc>
          <w:tcPr>
            <w:tcW w:w="3402" w:type="dxa"/>
            <w:shd w:val="clear" w:color="auto" w:fill="auto"/>
            <w:vAlign w:val="center"/>
          </w:tcPr>
          <w:p>
            <w:pPr>
              <w:spacing w:line="584" w:lineRule="exact"/>
              <w:jc w:val="left"/>
              <w:rPr>
                <w:rFonts w:ascii="Times New Roman" w:hAnsi="Times New Roman" w:eastAsia="仿宋_GB2312" w:cs="Times New Roman"/>
              </w:rPr>
            </w:pPr>
          </w:p>
        </w:tc>
        <w:tc>
          <w:tcPr>
            <w:tcW w:w="1843" w:type="dxa"/>
            <w:shd w:val="clear" w:color="auto" w:fill="auto"/>
            <w:vAlign w:val="center"/>
          </w:tcPr>
          <w:p>
            <w:pPr>
              <w:spacing w:line="584" w:lineRule="exact"/>
              <w:jc w:val="left"/>
              <w:rPr>
                <w:rFonts w:ascii="Times New Roman" w:hAnsi="Times New Roman" w:eastAsia="仿宋_GB2312" w:cs="Times New Roman"/>
                <w:color w:val="000000" w:themeColor="text1"/>
              </w:rPr>
            </w:pPr>
          </w:p>
        </w:tc>
        <w:tc>
          <w:tcPr>
            <w:tcW w:w="2155" w:type="dxa"/>
            <w:shd w:val="clear" w:color="auto" w:fill="auto"/>
            <w:vAlign w:val="center"/>
          </w:tcPr>
          <w:p>
            <w:pPr>
              <w:spacing w:line="584" w:lineRule="exact"/>
              <w:jc w:val="left"/>
              <w:rPr>
                <w:rFonts w:ascii="Times New Roman" w:hAnsi="Times New Roman" w:eastAsia="仿宋_GB2312" w:cs="Times New Roman"/>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移交企业的综合满意程度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问卷调查</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color w:val="000000" w:themeColor="text1"/>
                <w:kern w:val="0"/>
                <w:sz w:val="18"/>
                <w:szCs w:val="18"/>
              </w:rPr>
              <w:t>85问卷调查</w:t>
            </w:r>
          </w:p>
        </w:tc>
        <w:tc>
          <w:tcPr>
            <w:tcW w:w="2155" w:type="dxa"/>
            <w:shd w:val="clear" w:color="auto" w:fill="auto"/>
            <w:vAlign w:val="center"/>
          </w:tcPr>
          <w:p>
            <w:pPr>
              <w:spacing w:line="584" w:lineRule="exact"/>
              <w:jc w:val="left"/>
              <w:rPr>
                <w:rFonts w:ascii="Times New Roman" w:hAnsi="Times New Roman" w:eastAsia="仿宋_GB2312" w:cs="Times New Roman"/>
                <w:color w:val="000000" w:themeColor="text1"/>
              </w:rPr>
            </w:pPr>
            <w:r>
              <w:rPr>
                <w:rFonts w:hint="eastAsia" w:asciiTheme="majorEastAsia" w:hAnsiTheme="majorEastAsia" w:eastAsiaTheme="majorEastAsia" w:cstheme="majorEastAsia"/>
                <w:color w:val="000000" w:themeColor="text1"/>
                <w:kern w:val="0"/>
                <w:sz w:val="18"/>
                <w:szCs w:val="18"/>
              </w:rPr>
              <w:t>是否满意</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（2023）劳务派遣人员工资保险经费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heme="majorEastAsia" w:hAnsiTheme="majorEastAsia" w:eastAsiaTheme="majorEastAsia" w:cstheme="majorEastAsia"/>
                <w:color w:val="000000"/>
                <w:sz w:val="18"/>
                <w:szCs w:val="18"/>
              </w:rPr>
              <w:t>劳务派遣人员工资保险按时发放及缴纳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数量指标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人数</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职工人数</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≥2个</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质量指标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工资</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工资待遇</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≥1680元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heme="majorEastAsia" w:hAnsiTheme="majorEastAsia" w:eastAsiaTheme="majorEastAsia" w:cstheme="majorEastAsia"/>
                <w:color w:val="000000"/>
                <w:kern w:val="0"/>
                <w:sz w:val="18"/>
                <w:szCs w:val="18"/>
              </w:rPr>
              <w:t>河北省最低工资标准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时效指标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时间</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发放工资及时率</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≥全年</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资金成本</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资金成本</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≤8.2万元</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社会效益指标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就业</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增加就业数量</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≥2个</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经济效益指标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受益职工</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就业受益人数</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≥2个</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服务对象满意度指标</w:t>
            </w:r>
          </w:p>
        </w:tc>
        <w:tc>
          <w:tcPr>
            <w:tcW w:w="1985"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群众</w:t>
            </w:r>
          </w:p>
        </w:tc>
        <w:tc>
          <w:tcPr>
            <w:tcW w:w="3402" w:type="dxa"/>
            <w:shd w:val="clear" w:color="auto" w:fill="auto"/>
          </w:tcPr>
          <w:p>
            <w:pPr>
              <w:widowControl/>
              <w:jc w:val="left"/>
              <w:textAlignment w:val="top"/>
              <w:rPr>
                <w:rFonts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rPr>
              <w:t>群众满意程度</w:t>
            </w:r>
          </w:p>
        </w:tc>
        <w:tc>
          <w:tcPr>
            <w:tcW w:w="1843" w:type="dxa"/>
            <w:shd w:val="clear" w:color="auto" w:fill="auto"/>
            <w:vAlign w:val="center"/>
          </w:tcPr>
          <w:p>
            <w:pPr>
              <w:spacing w:line="584" w:lineRule="exact"/>
              <w:jc w:val="left"/>
              <w:rPr>
                <w:rFonts w:ascii="Times New Roman" w:hAnsi="Times New Roman" w:cs="Times New Roman" w:eastAsiaTheme="majorEastAsia"/>
              </w:rPr>
            </w:pPr>
            <w:r>
              <w:rPr>
                <w:rFonts w:hint="eastAsia" w:asciiTheme="majorEastAsia" w:hAnsiTheme="majorEastAsia" w:eastAsiaTheme="majorEastAsia" w:cstheme="majorEastAsia"/>
                <w:color w:val="000000"/>
                <w:kern w:val="0"/>
                <w:sz w:val="18"/>
                <w:szCs w:val="18"/>
              </w:rPr>
              <w:t>≥90%</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bl>
    <w:p>
      <w:pPr>
        <w:spacing w:line="584" w:lineRule="exact"/>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关于提前下达2022年省级农村财务人员培训一般转移支付指标的通知（上级）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绩效目标</w:t>
            </w:r>
          </w:p>
        </w:tc>
        <w:tc>
          <w:tcPr>
            <w:tcW w:w="11653" w:type="dxa"/>
            <w:gridSpan w:val="5"/>
            <w:shd w:val="clear" w:color="auto" w:fill="auto"/>
            <w:vAlign w:val="center"/>
          </w:tcPr>
          <w:p>
            <w:pPr>
              <w:spacing w:line="584" w:lineRule="exac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关于提前下达2022年省级农村财务人员培训一般转移支付指标的通知（上级）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一级指标</w:t>
            </w:r>
          </w:p>
        </w:tc>
        <w:tc>
          <w:tcPr>
            <w:tcW w:w="2268"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二级指标</w:t>
            </w:r>
          </w:p>
        </w:tc>
        <w:tc>
          <w:tcPr>
            <w:tcW w:w="198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三级指标</w:t>
            </w:r>
          </w:p>
        </w:tc>
        <w:tc>
          <w:tcPr>
            <w:tcW w:w="3402"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绩效指标描述</w:t>
            </w:r>
          </w:p>
        </w:tc>
        <w:tc>
          <w:tcPr>
            <w:tcW w:w="1843"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w:t>
            </w:r>
          </w:p>
        </w:tc>
        <w:tc>
          <w:tcPr>
            <w:tcW w:w="215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培训次数或培训人数</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考核培训活动次数指标完成程度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≥1次</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工作计划、历史经验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培训活动质量达标程度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考核培训活动质量指标实现程度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kern w:val="2"/>
                <w:sz w:val="18"/>
                <w:szCs w:val="18"/>
                <w:lang w:val="en-US" w:eastAsia="zh-CN" w:bidi="ar-SA"/>
              </w:rPr>
            </w:pPr>
            <w:r>
              <w:rPr>
                <w:rFonts w:hint="eastAsia" w:asciiTheme="majorEastAsia" w:hAnsiTheme="majorEastAsia" w:eastAsiaTheme="majorEastAsia" w:cstheme="majorEastAsia"/>
                <w:bCs/>
                <w:sz w:val="18"/>
                <w:szCs w:val="18"/>
              </w:rPr>
              <w:t>达标</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时效指标</w:t>
            </w:r>
          </w:p>
        </w:tc>
        <w:tc>
          <w:tcPr>
            <w:tcW w:w="1985" w:type="dxa"/>
            <w:shd w:val="clear" w:color="auto" w:fill="auto"/>
            <w:vAlign w:val="top"/>
          </w:tcPr>
          <w:p>
            <w:pPr>
              <w:widowControl/>
              <w:jc w:val="left"/>
              <w:textAlignment w:val="top"/>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培训活动完成时间</w:t>
            </w:r>
          </w:p>
        </w:tc>
        <w:tc>
          <w:tcPr>
            <w:tcW w:w="3402" w:type="dxa"/>
            <w:shd w:val="clear" w:color="auto" w:fill="auto"/>
            <w:vAlign w:val="top"/>
          </w:tcPr>
          <w:p>
            <w:pPr>
              <w:widowControl/>
              <w:jc w:val="left"/>
              <w:textAlignment w:val="top"/>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考核培训活动时效指标实现程度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kern w:val="2"/>
                <w:sz w:val="18"/>
                <w:szCs w:val="18"/>
                <w:lang w:val="en-US" w:eastAsia="zh-CN" w:bidi="ar-SA"/>
              </w:rPr>
            </w:pPr>
            <w:r>
              <w:rPr>
                <w:rFonts w:hint="eastAsia" w:asciiTheme="majorEastAsia" w:hAnsiTheme="majorEastAsia" w:eastAsiaTheme="majorEastAsia" w:cstheme="majorEastAsia"/>
                <w:bCs/>
                <w:sz w:val="18"/>
                <w:szCs w:val="18"/>
              </w:rPr>
              <w:t>2023年底</w:t>
            </w:r>
          </w:p>
        </w:tc>
        <w:tc>
          <w:tcPr>
            <w:tcW w:w="2155" w:type="dxa"/>
            <w:shd w:val="clear" w:color="auto" w:fill="auto"/>
            <w:vAlign w:val="top"/>
          </w:tcPr>
          <w:p>
            <w:pPr>
              <w:widowControl/>
              <w:jc w:val="left"/>
              <w:textAlignment w:val="top"/>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成本指标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培训活动成本控制量</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考核培训成本指标实现程度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w:t>
            </w:r>
            <w:r>
              <w:rPr>
                <w:rFonts w:hint="eastAsia" w:asciiTheme="majorEastAsia" w:hAnsiTheme="majorEastAsia" w:eastAsiaTheme="majorEastAsia" w:cstheme="majorEastAsia"/>
                <w:bCs/>
                <w:color w:val="000000"/>
                <w:kern w:val="0"/>
                <w:sz w:val="18"/>
                <w:szCs w:val="18"/>
                <w:lang w:val="en-US" w:eastAsia="zh-CN"/>
              </w:rPr>
              <w:t>0.42</w:t>
            </w:r>
            <w:r>
              <w:rPr>
                <w:rFonts w:hint="eastAsia" w:asciiTheme="majorEastAsia" w:hAnsiTheme="majorEastAsia" w:eastAsiaTheme="majorEastAsia" w:cstheme="majorEastAsia"/>
                <w:bCs/>
                <w:color w:val="000000"/>
                <w:kern w:val="0"/>
                <w:sz w:val="18"/>
                <w:szCs w:val="18"/>
              </w:rPr>
              <w:t>万元</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测算及历史经验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提高会计专业水平</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考核培训会计范围指标实现程度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提高</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1985"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3402"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服务对象满意度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考核培训服务对象满意度指标实现程度</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≥85%</w:t>
            </w: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问卷调查</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关于提前下达2023年省级农村财会人员培训资金一般转移支付（上级）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绩效目标</w:t>
            </w:r>
          </w:p>
        </w:tc>
        <w:tc>
          <w:tcPr>
            <w:tcW w:w="11653" w:type="dxa"/>
            <w:gridSpan w:val="5"/>
            <w:shd w:val="clear" w:color="auto" w:fill="auto"/>
            <w:vAlign w:val="center"/>
          </w:tcPr>
          <w:p>
            <w:pPr>
              <w:spacing w:line="584" w:lineRule="exac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关于提前下达2023年省级农村财会人员培训资金一般转移支付（上级）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一级指标</w:t>
            </w:r>
          </w:p>
        </w:tc>
        <w:tc>
          <w:tcPr>
            <w:tcW w:w="2268"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二级指标</w:t>
            </w:r>
          </w:p>
        </w:tc>
        <w:tc>
          <w:tcPr>
            <w:tcW w:w="198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三级指标</w:t>
            </w:r>
          </w:p>
        </w:tc>
        <w:tc>
          <w:tcPr>
            <w:tcW w:w="3402"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绩效指标描述</w:t>
            </w:r>
          </w:p>
        </w:tc>
        <w:tc>
          <w:tcPr>
            <w:tcW w:w="1843"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w:t>
            </w:r>
          </w:p>
        </w:tc>
        <w:tc>
          <w:tcPr>
            <w:tcW w:w="215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培训次数</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全年安排会计培训的次数</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1次</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工作计划、历史经验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培训活动质量达标程度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考核培训活动质量指标实现程度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达标</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历史经验、合同约定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时效指标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培训活动完成时间</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考核培训活动时效指标实现程度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2023年底</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培训活动成本控制量</w:t>
            </w:r>
          </w:p>
        </w:tc>
        <w:tc>
          <w:tcPr>
            <w:tcW w:w="3402"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考核培训活动成本指标实现程度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≤20万元</w:t>
            </w:r>
          </w:p>
        </w:tc>
        <w:tc>
          <w:tcPr>
            <w:tcW w:w="2155"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sz w:val="18"/>
                <w:szCs w:val="18"/>
              </w:rPr>
              <w:t>测算历史经验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提高会计人员素质</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考核培训活动效果指标实现程度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提高</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可持续影响指标</w:t>
            </w:r>
          </w:p>
        </w:tc>
        <w:tc>
          <w:tcPr>
            <w:tcW w:w="1985"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长期持续性</w:t>
            </w:r>
          </w:p>
        </w:tc>
        <w:tc>
          <w:tcPr>
            <w:tcW w:w="3402"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考核培训活动影响力指标实现程度</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持续</w:t>
            </w: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服务对象满意度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考核培训活动服务对象指标实现程度</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≥90%</w:t>
            </w: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color w:val="000000"/>
                <w:kern w:val="0"/>
                <w:sz w:val="18"/>
                <w:szCs w:val="18"/>
              </w:rPr>
              <w:t>历史经验</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hint="eastAsia"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河北省财政厅关于提前下达2023年国有企业退休人员社会化管理省级财政补助资金-上级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绩效目标</w:t>
            </w:r>
          </w:p>
        </w:tc>
        <w:tc>
          <w:tcPr>
            <w:tcW w:w="11653" w:type="dxa"/>
            <w:gridSpan w:val="5"/>
            <w:shd w:val="clear" w:color="auto" w:fill="auto"/>
            <w:vAlign w:val="center"/>
          </w:tcPr>
          <w:p>
            <w:pPr>
              <w:spacing w:line="584" w:lineRule="exac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河北省财政厅关于提前下达2023年国有企业退休人员社会化管理省级财政补助资金-上级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一级指标</w:t>
            </w:r>
          </w:p>
        </w:tc>
        <w:tc>
          <w:tcPr>
            <w:tcW w:w="2268"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二级指标</w:t>
            </w:r>
          </w:p>
        </w:tc>
        <w:tc>
          <w:tcPr>
            <w:tcW w:w="198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三级指标</w:t>
            </w:r>
          </w:p>
        </w:tc>
        <w:tc>
          <w:tcPr>
            <w:tcW w:w="3402"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绩效指标描述</w:t>
            </w:r>
          </w:p>
        </w:tc>
        <w:tc>
          <w:tcPr>
            <w:tcW w:w="1843"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w:t>
            </w:r>
          </w:p>
        </w:tc>
        <w:tc>
          <w:tcPr>
            <w:tcW w:w="2155"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产出指标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数量指标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国有企业已退休人员管理服务工作与原企业分离的比例</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全县15家企业分离率</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imes New Roman" w:hAnsi="Times New Roman" w:eastAsia="仿宋_GB2312" w:cs="Times New Roman"/>
                <w:color w:val="000000" w:themeColor="text1"/>
                <w:lang w:val="en-US" w:eastAsia="zh-CN"/>
              </w:rPr>
              <w:t>2</w:t>
            </w:r>
            <w:r>
              <w:rPr>
                <w:rFonts w:hint="eastAsia" w:ascii="Times New Roman" w:hAnsi="Times New Roman" w:eastAsia="仿宋_GB2312" w:cs="Times New Roman"/>
                <w:color w:val="000000" w:themeColor="text1"/>
              </w:rPr>
              <w:t>家</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单位数是否一致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质量指标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国有企业新办理退休人员管理服务工作与原企业分理的比例</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移交348人数</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color w:val="000000" w:themeColor="text1"/>
                <w:kern w:val="0"/>
                <w:sz w:val="18"/>
                <w:szCs w:val="18"/>
              </w:rPr>
              <w:t>48人</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年度情况是否相符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时效指标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sz w:val="18"/>
                <w:szCs w:val="18"/>
              </w:rPr>
              <w:t>各项任务完成及时率（%）</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sz w:val="18"/>
                <w:szCs w:val="18"/>
              </w:rPr>
              <w:t>各项任务完成及时率（%）</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imes New Roman" w:hAnsi="Times New Roman" w:eastAsia="仿宋_GB2312" w:cs="Times New Roman"/>
                <w:color w:val="000000" w:themeColor="text1"/>
              </w:rPr>
              <w:t>100平台管理</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是否及时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成本指标</w:t>
            </w:r>
          </w:p>
        </w:tc>
        <w:tc>
          <w:tcPr>
            <w:tcW w:w="1985"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sz w:val="18"/>
                <w:szCs w:val="18"/>
              </w:rPr>
              <w:t>按预算资金完成率</w:t>
            </w:r>
          </w:p>
        </w:tc>
        <w:tc>
          <w:tcPr>
            <w:tcW w:w="3402"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sz w:val="18"/>
                <w:szCs w:val="18"/>
              </w:rPr>
              <w:t>按预算资金完成率</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imes New Roman" w:hAnsi="Times New Roman" w:eastAsia="仿宋_GB2312" w:cs="Times New Roman"/>
                <w:color w:val="000000" w:themeColor="text1"/>
              </w:rPr>
              <w:t>1万元</w:t>
            </w:r>
          </w:p>
        </w:tc>
        <w:tc>
          <w:tcPr>
            <w:tcW w:w="2155" w:type="dxa"/>
            <w:shd w:val="clear" w:color="auto" w:fill="auto"/>
          </w:tcPr>
          <w:p>
            <w:pPr>
              <w:widowControl/>
              <w:jc w:val="left"/>
              <w:textAlignment w:val="top"/>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经费是否相符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效果指标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社会效益指标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提升退休人员生活保障</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提升退休人员生活保障</w:t>
            </w: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color w:val="000000" w:themeColor="text1"/>
                <w:kern w:val="0"/>
                <w:sz w:val="18"/>
                <w:szCs w:val="18"/>
              </w:rPr>
              <w:t>≥90平台监管</w:t>
            </w:r>
          </w:p>
        </w:tc>
        <w:tc>
          <w:tcPr>
            <w:tcW w:w="215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是否完整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heme="majorEastAsia" w:hAnsiTheme="majorEastAsia" w:eastAsiaTheme="majorEastAsia" w:cstheme="majorEastAsia"/>
                <w:bCs/>
                <w:sz w:val="18"/>
                <w:szCs w:val="18"/>
              </w:rPr>
            </w:pPr>
          </w:p>
        </w:tc>
        <w:tc>
          <w:tcPr>
            <w:tcW w:w="2268"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1985"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3402"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1843"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bCs/>
                <w:sz w:val="18"/>
                <w:szCs w:val="18"/>
              </w:rPr>
              <w:t>满意度指标</w:t>
            </w:r>
          </w:p>
        </w:tc>
        <w:tc>
          <w:tcPr>
            <w:tcW w:w="2268"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bCs/>
                <w:color w:val="000000"/>
                <w:kern w:val="0"/>
                <w:sz w:val="18"/>
                <w:szCs w:val="18"/>
              </w:rPr>
              <w:t>服务对象满意度指标</w:t>
            </w:r>
          </w:p>
        </w:tc>
        <w:tc>
          <w:tcPr>
            <w:tcW w:w="1985"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移交企业的综合满意程度</w:t>
            </w:r>
          </w:p>
        </w:tc>
        <w:tc>
          <w:tcPr>
            <w:tcW w:w="3402"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kern w:val="0"/>
                <w:sz w:val="18"/>
                <w:szCs w:val="18"/>
              </w:rPr>
              <w:t>问卷调查</w:t>
            </w:r>
          </w:p>
        </w:tc>
        <w:tc>
          <w:tcPr>
            <w:tcW w:w="1843" w:type="dxa"/>
            <w:shd w:val="clear" w:color="auto" w:fill="auto"/>
            <w:vAlign w:val="center"/>
          </w:tcPr>
          <w:p>
            <w:pPr>
              <w:widowControl/>
              <w:jc w:val="left"/>
              <w:textAlignment w:val="center"/>
              <w:rPr>
                <w:rFonts w:asciiTheme="majorEastAsia" w:hAnsiTheme="majorEastAsia" w:eastAsiaTheme="majorEastAsia" w:cstheme="majorEastAsia"/>
                <w:bCs/>
                <w:color w:val="000000"/>
                <w:sz w:val="18"/>
                <w:szCs w:val="18"/>
              </w:rPr>
            </w:pPr>
            <w:r>
              <w:rPr>
                <w:rFonts w:hint="eastAsia" w:asciiTheme="majorEastAsia" w:hAnsiTheme="majorEastAsia" w:eastAsiaTheme="majorEastAsia" w:cstheme="majorEastAsia"/>
                <w:color w:val="000000" w:themeColor="text1"/>
                <w:kern w:val="0"/>
                <w:sz w:val="18"/>
                <w:szCs w:val="18"/>
              </w:rPr>
              <w:t>85问卷调查</w:t>
            </w:r>
          </w:p>
        </w:tc>
        <w:tc>
          <w:tcPr>
            <w:tcW w:w="2155" w:type="dxa"/>
            <w:shd w:val="clear" w:color="auto" w:fill="auto"/>
            <w:vAlign w:val="center"/>
          </w:tcPr>
          <w:p>
            <w:pPr>
              <w:spacing w:line="584" w:lineRule="exact"/>
              <w:jc w:val="left"/>
              <w:rPr>
                <w:rFonts w:asciiTheme="majorEastAsia" w:hAnsiTheme="majorEastAsia" w:eastAsiaTheme="majorEastAsia" w:cstheme="majorEastAsia"/>
                <w:bCs/>
                <w:sz w:val="18"/>
                <w:szCs w:val="18"/>
              </w:rPr>
            </w:pPr>
            <w:r>
              <w:rPr>
                <w:rFonts w:hint="eastAsia" w:asciiTheme="majorEastAsia" w:hAnsiTheme="majorEastAsia" w:eastAsiaTheme="majorEastAsia" w:cstheme="majorEastAsia"/>
                <w:color w:val="000000" w:themeColor="text1"/>
                <w:kern w:val="0"/>
                <w:sz w:val="18"/>
                <w:szCs w:val="18"/>
              </w:rPr>
              <w:t>是否满意</w:t>
            </w:r>
          </w:p>
        </w:tc>
      </w:tr>
    </w:tbl>
    <w:p>
      <w:pPr>
        <w:autoSpaceDE w:val="0"/>
        <w:autoSpaceDN w:val="0"/>
        <w:adjustRightInd w:val="0"/>
        <w:spacing w:line="584" w:lineRule="exact"/>
        <w:ind w:firstLine="360" w:firstLineChars="200"/>
        <w:jc w:val="left"/>
        <w:rPr>
          <w:rFonts w:asciiTheme="majorEastAsia" w:hAnsiTheme="majorEastAsia" w:eastAsiaTheme="majorEastAsia" w:cstheme="majorEastAsia"/>
          <w:bCs/>
          <w:sz w:val="18"/>
          <w:szCs w:val="18"/>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hint="eastAsia"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bookmarkEnd w:id="0"/>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单位政府采购预算</w:t>
      </w:r>
      <w:bookmarkEnd w:id="1"/>
    </w:p>
    <w:p>
      <w:pPr>
        <w:spacing w:line="584" w:lineRule="exact"/>
        <w:outlineLvl w:val="1"/>
        <w:rPr>
          <w:rFonts w:ascii="方正小标宋_GBK" w:eastAsia="方正小标宋_GBK" w:cs="Times New Roman"/>
          <w:sz w:val="32"/>
        </w:rPr>
      </w:pPr>
      <w:r>
        <w:rPr>
          <w:rFonts w:hint="eastAsia"/>
        </w:rPr>
        <w:t>大城县财政局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lang w:eastAsia="zh-CN"/>
              </w:rPr>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大城县财政局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563.33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 xml:space="preserve"> 大城县财政局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563.33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2207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482.31</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4YWE5OWE3ZmZhZDQ2ODQ5ZWY5YzVjZTk0NjJmY2E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2A72"/>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540E8"/>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65F84"/>
    <w:rsid w:val="00572067"/>
    <w:rsid w:val="00573562"/>
    <w:rsid w:val="00573966"/>
    <w:rsid w:val="0057546C"/>
    <w:rsid w:val="00590ECE"/>
    <w:rsid w:val="00593A39"/>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87B0A"/>
    <w:rsid w:val="00694D30"/>
    <w:rsid w:val="006B1C4A"/>
    <w:rsid w:val="006B610D"/>
    <w:rsid w:val="006C3E06"/>
    <w:rsid w:val="006D010F"/>
    <w:rsid w:val="006E0F7B"/>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E27B9"/>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2C7"/>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EF67E6"/>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3B29C9"/>
    <w:rsid w:val="0CB61C5D"/>
    <w:rsid w:val="0E652CCA"/>
    <w:rsid w:val="13E306DA"/>
    <w:rsid w:val="15C34C7D"/>
    <w:rsid w:val="168C45E3"/>
    <w:rsid w:val="17623F15"/>
    <w:rsid w:val="1B762479"/>
    <w:rsid w:val="1C502F39"/>
    <w:rsid w:val="1E1D2544"/>
    <w:rsid w:val="21C45628"/>
    <w:rsid w:val="239555EB"/>
    <w:rsid w:val="245321BF"/>
    <w:rsid w:val="28C83AC9"/>
    <w:rsid w:val="296C06CD"/>
    <w:rsid w:val="2B4538CA"/>
    <w:rsid w:val="2B701F40"/>
    <w:rsid w:val="37FA336B"/>
    <w:rsid w:val="3A6D1960"/>
    <w:rsid w:val="3B85360C"/>
    <w:rsid w:val="3E8B454E"/>
    <w:rsid w:val="3E971157"/>
    <w:rsid w:val="3F655022"/>
    <w:rsid w:val="3F7E6EC2"/>
    <w:rsid w:val="3FFA3B38"/>
    <w:rsid w:val="41BF0EBD"/>
    <w:rsid w:val="46201D60"/>
    <w:rsid w:val="46B0311E"/>
    <w:rsid w:val="4A0A7B60"/>
    <w:rsid w:val="4D197D58"/>
    <w:rsid w:val="50EB17D2"/>
    <w:rsid w:val="51955C3D"/>
    <w:rsid w:val="5364487E"/>
    <w:rsid w:val="54431016"/>
    <w:rsid w:val="54A70BC6"/>
    <w:rsid w:val="55EF7AC3"/>
    <w:rsid w:val="57384E95"/>
    <w:rsid w:val="57E040E2"/>
    <w:rsid w:val="57E56708"/>
    <w:rsid w:val="5C5A6424"/>
    <w:rsid w:val="5E3E0DA2"/>
    <w:rsid w:val="5ED61D27"/>
    <w:rsid w:val="5EFF3A78"/>
    <w:rsid w:val="5FC84D73"/>
    <w:rsid w:val="60D678C7"/>
    <w:rsid w:val="687D1153"/>
    <w:rsid w:val="6B1D22BB"/>
    <w:rsid w:val="6EC71554"/>
    <w:rsid w:val="6EEB28D2"/>
    <w:rsid w:val="6F5939DF"/>
    <w:rsid w:val="71E7368C"/>
    <w:rsid w:val="74B85483"/>
    <w:rsid w:val="7894388A"/>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正文文本1"/>
    <w:basedOn w:val="1"/>
    <w:qFormat/>
    <w:uiPriority w:val="0"/>
    <w:pPr>
      <w:widowControl/>
      <w:jc w:val="left"/>
    </w:pPr>
    <w:rPr>
      <w:rFonts w:ascii="微软雅黑" w:hAnsi="微软雅黑" w:eastAsia="微软雅黑" w:cs="Times New Roman"/>
      <w:kern w:val="0"/>
      <w:sz w:val="32"/>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B452-1F6E-4607-B6C9-69F40591683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8752</Words>
  <Characters>9055</Characters>
  <Lines>70</Lines>
  <Paragraphs>19</Paragraphs>
  <TotalTime>4</TotalTime>
  <ScaleCrop>false</ScaleCrop>
  <LinksUpToDate>false</LinksUpToDate>
  <CharactersWithSpaces>9218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2023-03-15T07:28:00Z</dcterms:created>
  <dc:creator>guest</dc:creator>
  <cp:lastModifiedBy>asus</cp:lastModifiedBy>
  <cp:lastPrinted>2023-01-29T01:01:00Z</cp:lastPrinted>
  <dcterms:modified xsi:type="dcterms:W3CDTF">2023-03-27T08:34:40Z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