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ascii="Times New Roman" w:hAnsi="Times New Roman" w:eastAsia="方正小标宋简体" w:cs="Times New Roman"/>
          <w:sz w:val="44"/>
          <w:szCs w:val="44"/>
        </w:rPr>
        <w:t>公安交通警察大队20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ascii="Times New Roman" w:hAnsi="Times New Roman" w:eastAsia="仿宋_GB2312" w:cs="Times New Roman"/>
          <w:sz w:val="32"/>
          <w:szCs w:val="32"/>
        </w:rPr>
        <w:t>公安交通警察大队20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left="640" w:firstLine="0"/>
        <w:rPr>
          <w:rFonts w:hint="eastAsia" w:ascii="仿宋_GB2312" w:eastAsia="仿宋_GB2312" w:cs="仿宋_GB2312"/>
          <w:sz w:val="32"/>
          <w:szCs w:val="32"/>
          <w:lang w:bidi="ar-SA"/>
        </w:rPr>
      </w:pPr>
      <w:r>
        <w:rPr>
          <w:rFonts w:hint="eastAsia" w:ascii="仿宋_GB2312" w:eastAsia="仿宋_GB2312" w:cs="仿宋_GB2312"/>
          <w:sz w:val="32"/>
          <w:szCs w:val="32"/>
          <w:lang w:bidi="ar-SA"/>
        </w:rPr>
        <w:t>1、保障道路交通安全、畅通、有序，为全省经济社会发展提供良好的道路交通环境。</w:t>
      </w:r>
    </w:p>
    <w:p>
      <w:pPr>
        <w:ind w:firstLine="639"/>
        <w:rPr>
          <w:rFonts w:hint="eastAsia" w:ascii="仿宋_GB2312" w:eastAsia="仿宋_GB2312" w:cs="仿宋_GB2312"/>
          <w:sz w:val="32"/>
          <w:szCs w:val="32"/>
          <w:lang w:bidi="ar-SA"/>
        </w:rPr>
      </w:pPr>
      <w:r>
        <w:rPr>
          <w:rFonts w:hint="eastAsia" w:ascii="仿宋_GB2312" w:eastAsia="仿宋_GB2312" w:cs="仿宋_GB2312"/>
          <w:sz w:val="32"/>
          <w:szCs w:val="32"/>
          <w:lang w:bidi="ar-SA"/>
        </w:rPr>
        <w:t>2、规范机动车登记行为，保护公民、法人和其他组织的合法权益，促进经济、社会发展，道路交通安全；促进提高机动车驾驶人安全文明驾驶素质，全力预防和减少重特大道路交通事故。</w:t>
      </w:r>
    </w:p>
    <w:p>
      <w:pPr>
        <w:autoSpaceDE w:val="0"/>
        <w:autoSpaceDN w:val="0"/>
        <w:adjustRightInd w:val="0"/>
        <w:spacing w:line="584" w:lineRule="exact"/>
        <w:ind w:firstLine="627" w:firstLineChars="196"/>
        <w:jc w:val="left"/>
        <w:rPr>
          <w:rFonts w:ascii="仿宋_GB2312" w:eastAsia="仿宋_GB2312" w:cs="仿宋_GB2312"/>
          <w:sz w:val="32"/>
          <w:szCs w:val="32"/>
          <w:lang w:bidi="ar-SA"/>
        </w:rPr>
      </w:pPr>
      <w:r>
        <w:rPr>
          <w:rFonts w:hint="eastAsia" w:ascii="仿宋_GB2312" w:eastAsia="仿宋_GB2312" w:cs="仿宋_GB2312"/>
          <w:sz w:val="32"/>
          <w:szCs w:val="32"/>
          <w:lang w:bidi="ar-SA"/>
        </w:rPr>
        <w:t>3、加强交通法制建设与安全宣传力度；强化交警的宗旨意识，提高执法水平和管理服务社会能力，为交管事业健康发展提供各项有力保障；合理、正确发放道路交通事故社会救助基金。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大城县公安交通警察大队</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ascii="Times New Roman" w:hAnsi="Times New Roman" w:eastAsia="仿宋_GB2312" w:cs="Times New Roman"/>
          <w:sz w:val="32"/>
          <w:szCs w:val="32"/>
        </w:rPr>
        <w:t>公安交通警察大队机关及所属事业单位的收支包含在部门预算中。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年预算收入6584.77万元，其中：一般公共预算收入6584.77万元，基金预算收入0万元，财政专户核拨收入0万元，其他来源收入0万元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年支出预算6584.77万元，其中基本支出1232.07万元，包括人员类项目经费1030.27万元和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公用项目经费201.81万元；运转类其他及特定目标类项目支出5352.70万元，主要为</w:t>
      </w:r>
      <w:r>
        <w:rPr>
          <w:rFonts w:hint="eastAsia" w:ascii="Times New Roman" w:hAnsi="Times New Roman" w:eastAsia="仿宋_GB2312" w:cs="Times New Roman"/>
          <w:sz w:val="32"/>
          <w:szCs w:val="32"/>
        </w:rPr>
        <w:t>人员专项支出</w:t>
      </w:r>
      <w:r>
        <w:rPr>
          <w:rFonts w:ascii="Times New Roman" w:hAnsi="Times New Roman" w:eastAsia="仿宋_GB2312" w:cs="Times New Roman"/>
          <w:sz w:val="32"/>
          <w:szCs w:val="32"/>
        </w:rPr>
        <w:t>2544.00</w:t>
      </w:r>
      <w:r>
        <w:rPr>
          <w:rFonts w:hint="eastAsia" w:ascii="Times New Roman" w:hAnsi="Times New Roman" w:eastAsia="仿宋_GB2312" w:cs="Times New Roman"/>
          <w:sz w:val="32"/>
          <w:szCs w:val="32"/>
        </w:rPr>
        <w:t>万元、项目支出</w:t>
      </w:r>
      <w:r>
        <w:rPr>
          <w:rFonts w:ascii="Times New Roman" w:hAnsi="Times New Roman" w:eastAsia="仿宋_GB2312" w:cs="Times New Roman"/>
          <w:sz w:val="32"/>
          <w:szCs w:val="32"/>
        </w:rPr>
        <w:t>2734.70</w:t>
      </w:r>
      <w:r>
        <w:rPr>
          <w:rFonts w:hint="eastAsia" w:ascii="Times New Roman" w:hAnsi="Times New Roman" w:eastAsia="仿宋_GB2312" w:cs="Times New Roman"/>
          <w:sz w:val="32"/>
          <w:szCs w:val="32"/>
        </w:rPr>
        <w:t>万元及中央政法纪检监察转移支付资金</w:t>
      </w:r>
      <w:r>
        <w:rPr>
          <w:rFonts w:ascii="Times New Roman" w:hAnsi="Times New Roman" w:eastAsia="仿宋_GB2312" w:cs="Times New Roman"/>
          <w:sz w:val="32"/>
          <w:szCs w:val="32"/>
        </w:rPr>
        <w:t>74.00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年预算收支安排6584.77万元，较20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年预算减少530.44万元，其中：基本支出增加168.16万元，主要为人员经费支出；项目支出减少698.60万元，主要为运转类项目支出。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年，我局机关运行经费共计安排704.91万元，主要用于办公区的日常维修、办公用房水电费、办公用房取暖费、办公用房物业管理费等日常运行支出。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年，我局财政拨款“三公”经费预算安排100万元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因公出国（境）费0万元；公务用车购置及运维费100万元（其中：公务用车购置费为0万元，公务用车运维费100万元)；公务接待费0万元。与20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年相比持平，无增减变化。公务接待费与20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年相比持平，无增减变化。主要原因是我单位无公务接待费。</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0" w:firstLineChars="200"/>
        <w:rPr>
          <w:rFonts w:ascii="仿宋_GB2312" w:eastAsia="仿宋_GB2312" w:cs="Times New Roman"/>
          <w:color w:val="FF0000"/>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lang w:bidi="ar-SA"/>
        </w:rPr>
      </w:pPr>
      <w:r>
        <w:rPr>
          <w:rFonts w:hint="eastAsia" w:ascii="Times New Roman" w:hAnsi="Times New Roman" w:eastAsia="仿宋_GB2312" w:cs="Times New Roman"/>
          <w:bCs/>
          <w:sz w:val="32"/>
          <w:szCs w:val="32"/>
          <w:lang w:bidi="ar-SA"/>
        </w:rPr>
        <w:t>大城县公安交通警察大队执行国家有关道路交通安全、交通秩序的法律、法规、政策，在202</w:t>
      </w:r>
      <w:r>
        <w:rPr>
          <w:rFonts w:ascii="Times New Roman" w:hAnsi="Times New Roman" w:eastAsia="仿宋_GB2312" w:cs="Times New Roman"/>
          <w:bCs/>
          <w:sz w:val="32"/>
          <w:szCs w:val="32"/>
          <w:lang w:bidi="ar-SA"/>
        </w:rPr>
        <w:t>3</w:t>
      </w:r>
      <w:r>
        <w:rPr>
          <w:rFonts w:hint="eastAsia" w:ascii="Times New Roman" w:hAnsi="Times New Roman" w:eastAsia="仿宋_GB2312" w:cs="Times New Roman"/>
          <w:bCs/>
          <w:sz w:val="32"/>
          <w:szCs w:val="32"/>
          <w:lang w:bidi="ar-SA"/>
        </w:rPr>
        <w:t>年</w:t>
      </w:r>
      <w:r>
        <w:rPr>
          <w:rFonts w:hint="eastAsia" w:ascii="Times New Roman" w:hAnsi="Times New Roman" w:eastAsia="仿宋_GB2312" w:cs="Times New Roman"/>
          <w:sz w:val="32"/>
          <w:szCs w:val="32"/>
          <w:lang w:bidi="ar-SA"/>
        </w:rPr>
        <w:t>加大道路交通秩序的维护和道路交通安全设施的管理，交通事故的预防和调处工作降低事故发生率。依法打击破坏道路交通安全设施等违法犯罪活动，保障各项保卫活动的正常运行。保障道路交通安全、畅通、有序，为全省经济社会发展提供良好的道路交通环境。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指导基层交通安全组织的建设，开展交通安全宣传教育活动。 利用监控系统对机动车、驾驶人业务进行监管，降低违章发生率。按有关规定，组织对全县交警系统预算收入和罚没款、物的管理和审核</w:t>
      </w:r>
      <w:r>
        <w:rPr>
          <w:rFonts w:ascii="Times New Roman" w:hAnsi="Times New Roman" w:eastAsia="仿宋_GB2312" w:cs="Times New Roman"/>
          <w:sz w:val="32"/>
          <w:szCs w:val="32"/>
          <w:lang w:bidi="ar-SA"/>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lang w:bidi="ar-SA"/>
        </w:rPr>
        <w:t>1.</w:t>
      </w:r>
      <w:r>
        <w:rPr>
          <w:rFonts w:hint="eastAsia" w:ascii="Times New Roman" w:hAnsi="Times New Roman" w:eastAsia="仿宋_GB2312" w:cs="Times New Roman"/>
          <w:sz w:val="32"/>
          <w:szCs w:val="32"/>
        </w:rPr>
        <w:t>贯彻落实国家各项法律法规</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sz w:val="32"/>
          <w:szCs w:val="32"/>
        </w:rPr>
        <w:t>绩效目标：大城县公安交通警</w:t>
      </w:r>
      <w:r>
        <w:rPr>
          <w:rFonts w:hint="eastAsia" w:ascii="Times New Roman" w:hAnsi="Times New Roman" w:eastAsia="仿宋_GB2312" w:cs="Times New Roman"/>
          <w:bCs/>
          <w:sz w:val="32"/>
          <w:szCs w:val="32"/>
        </w:rPr>
        <w:t>察大队贯彻执行国家有关道路安全、交通秩序的法律、法规、政策，参与制定全市道路交通安全、秩序的地方性法规、规章、政策。参与研究城市建设、道路交通和安全设施的规划。</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绩效指标：保障道路交通安全、畅通、有序,为全省经济社会发展提供良好的道路交通环境。更好的净化我县交通环境。维护全县良好的道路交通秩序,缓解城市交通拥堵,提高道路通行能力;加强公路巡警中队建设,提升道路交通秩序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2.维护道路交通秩序、保障道路交通安全</w:t>
      </w:r>
    </w:p>
    <w:p>
      <w:pPr>
        <w:autoSpaceDE w:val="0"/>
        <w:autoSpaceDN w:val="0"/>
        <w:adjustRightInd w:val="0"/>
        <w:spacing w:line="584" w:lineRule="exact"/>
        <w:ind w:left="18"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 xml:space="preserve"> 绩效目标：规范机动车登记行为,保护公民、法人和其他组织的合法权益,促进经济社会发展,保障道路交通安全;促进提高机动车驾驶人安全文明驾驶素质，全力预防和减少重特大道路交通事故。加强全县机动车辆和非机动车辆道路交通管理和机动车安全技术性能的检测,降低事故发生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绩效指标：加强交通法制建设与安全宣传力度;强化交警的宗旨意识,提高执法水平和管理服务社会能力,为交管事业健康发展提供各项有力保障;合理、正确发放道路交通事故社会救助基金。20</w:t>
      </w:r>
      <w:r>
        <w:rPr>
          <w:rFonts w:ascii="Times New Roman" w:hAnsi="Times New Roman" w:eastAsia="仿宋_GB2312" w:cs="Times New Roman"/>
          <w:bCs/>
          <w:sz w:val="32"/>
          <w:szCs w:val="32"/>
        </w:rPr>
        <w:t>22</w:t>
      </w:r>
      <w:r>
        <w:rPr>
          <w:rFonts w:hint="eastAsia" w:ascii="Times New Roman" w:hAnsi="Times New Roman" w:eastAsia="仿宋_GB2312" w:cs="Times New Roman"/>
          <w:bCs/>
          <w:sz w:val="32"/>
          <w:szCs w:val="32"/>
        </w:rPr>
        <w:t>年加大基层交通安全组织建设,开展交通安全宣传教育活动,普及交通安全知识,使全县广大群众遵守交通规则，安全出行。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1.</w:t>
      </w:r>
      <w:r>
        <w:rPr>
          <w:rFonts w:hint="eastAsia" w:ascii="Times New Roman" w:hAnsi="Times New Roman" w:eastAsia="仿宋_GB2312" w:cs="Times New Roman"/>
          <w:bCs/>
          <w:sz w:val="32"/>
          <w:szCs w:val="32"/>
          <w:lang w:bidi="ar-SA"/>
        </w:rPr>
        <w:t>完善制度建设</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包括制定完善预算绩效管理制度、资金管理办法、工作保障制度等，为全年预算绩效目标的实现奠定制度基础。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2 .</w:t>
      </w:r>
      <w:r>
        <w:rPr>
          <w:rFonts w:hint="eastAsia" w:ascii="Times New Roman" w:hAnsi="Times New Roman" w:eastAsia="仿宋_GB2312" w:cs="Times New Roman"/>
          <w:bCs/>
          <w:sz w:val="32"/>
          <w:szCs w:val="32"/>
          <w:lang w:bidi="ar-SA"/>
        </w:rPr>
        <w:t>加强支出管理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通过优化支出结构、编细编实预算、加快履行政府采购手续、尽快启动项目、及时支付资金、6 月底前细化代编预算、按规定及时下达资金等多种措施，确保支出进度达标。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rPr>
        <w:t>3</w:t>
      </w:r>
      <w:r>
        <w:rPr>
          <w:rFonts w:hint="eastAsia" w:ascii="Times New Roman" w:hAnsi="Times New Roman" w:eastAsia="仿宋_GB2312" w:cs="Times New Roman"/>
          <w:bCs/>
          <w:sz w:val="32"/>
          <w:szCs w:val="32"/>
          <w:lang w:bidi="ar-SA"/>
        </w:rPr>
        <w:t>.加强绩效运行监控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4.做好绩效自评</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按要求开展上年度部门预算绩效自评和重点评价工作，对评价中发现的问题及时整改，调整优化支出结构， 提高财政资金使用效益。</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bCs/>
          <w:sz w:val="32"/>
          <w:szCs w:val="32"/>
          <w:lang w:bidi="ar-SA"/>
        </w:rPr>
        <w:t xml:space="preserve"> 5. 规范财务资产管理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6.加强内部监督</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7.加强宣传培训调研等</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加强人员培训，提高本部门职工业务素质；加强调研，提出优化财政资金配置、提高资金使用效益的意见；加大宣传力度，强化预算绩效管理意识，促进预算绩 效管理水平进一步提升。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8.保障道路交通安全有序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保障道路交通安全有序,为全省经济社会发展提供良好的道路交通环境。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9.维护道路交通秩序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bidi="ar-SA"/>
        </w:rPr>
        <w:t>维护全省良好的道路交通秩序,缓解城市交通拥堵,提高道路通行能力;加强公路巡警中队建设,提升道路交通秩序管理水平。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Cs/>
          <w:sz w:val="32"/>
          <w:szCs w:val="32"/>
          <w:lang w:bidi="ar-SA"/>
        </w:rPr>
      </w:pPr>
      <w:r>
        <w:rPr>
          <w:rFonts w:hint="eastAsia" w:ascii="Times New Roman" w:hAnsi="Times New Roman" w:eastAsia="仿宋_GB2312" w:cs="Times New Roman"/>
          <w:bCs/>
          <w:sz w:val="32"/>
          <w:szCs w:val="32"/>
          <w:lang w:bidi="ar-SA"/>
        </w:rPr>
        <w:t>10.提高群众的满意度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bidi="ar-SA"/>
        </w:rPr>
        <w:sectPr>
          <w:footerReference r:id="rId3" w:type="default"/>
          <w:footerReference r:id="rId4" w:type="even"/>
          <w:pgSz w:w="16840" w:h="11910" w:orient="landscape"/>
          <w:pgMar w:top="1580" w:right="1200" w:bottom="1720" w:left="1400" w:header="720" w:footer="720" w:gutter="0"/>
          <w:pgNumType w:start="1"/>
          <w:cols w:space="720" w:num="1"/>
          <w:docGrid w:linePitch="435" w:charSpace="0"/>
        </w:sectPr>
      </w:pPr>
      <w:r>
        <w:rPr>
          <w:rFonts w:hint="eastAsia" w:ascii="Times New Roman" w:hAnsi="Times New Roman" w:eastAsia="仿宋_GB2312" w:cs="Times New Roman"/>
          <w:sz w:val="32"/>
          <w:szCs w:val="32"/>
          <w:lang w:bidi="ar-SA"/>
        </w:rPr>
        <w:t>通过故处理工作规范化、科学化水平,让群众在每起案件中都感受到公平正义,努力实现“事故少、秩序好、道路畅通、群众满意”的总体工作目标</w:t>
      </w:r>
      <w:r>
        <w:rPr>
          <w:rFonts w:ascii="Times New Roman" w:hAnsi="Times New Roman" w:eastAsia="仿宋_GB2312" w:cs="Times New Roman"/>
          <w:sz w:val="32"/>
          <w:szCs w:val="32"/>
          <w:lang w:bidi="ar-SA"/>
        </w:rPr>
        <w:t>。</w:t>
      </w:r>
    </w:p>
    <w:p>
      <w:pPr>
        <w:overflowPunct w:val="0"/>
        <w:adjustRightInd w:val="0"/>
        <w:snapToGrid w:val="0"/>
        <w:spacing w:after="156"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5"/>
        <w:gridCol w:w="825"/>
        <w:gridCol w:w="897"/>
        <w:gridCol w:w="2172"/>
        <w:gridCol w:w="1483"/>
        <w:gridCol w:w="543"/>
        <w:gridCol w:w="652"/>
        <w:gridCol w:w="6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2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5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9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项目数量</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实施项目数量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w:t>
            </w:r>
          </w:p>
        </w:tc>
        <w:tc>
          <w:tcPr>
            <w:tcW w:w="65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20</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个</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实施正常</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项目实施情况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实施正常</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及时完成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2023年底及时完成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及时</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成本控制</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成本控制在预算范围内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w:t>
            </w:r>
          </w:p>
        </w:tc>
        <w:tc>
          <w:tcPr>
            <w:tcW w:w="65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6584.77</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万元</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节省社会资源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减少交通事故发生率，节省社会资源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显著</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节省社会资源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减少交通事故发生率，节省社会资源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显著</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cs="宋体"/>
              </w:rPr>
              <w:t>人民群众和大队人员满意度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ascii="方正书宋_GBK" w:eastAsia="方正书宋_GBK"/>
              </w:rPr>
              <w:t>绩效指标相关性</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ascii="Calibri" w:hAnsi="Calibri" w:eastAsia="宋体" w:cs="宋体"/>
                <w:sz w:val="22"/>
              </w:rPr>
              <w:t>人民群众和大队人员满意度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Calibri" w:hAnsi="Calibri" w:eastAsia="宋体" w:cs="宋体"/>
                <w:sz w:val="22"/>
              </w:rPr>
              <w:t>文字描述</w:t>
            </w:r>
          </w:p>
        </w:tc>
        <w:tc>
          <w:tcPr>
            <w:tcW w:w="652" w:type="dxa"/>
            <w:tcBorders>
              <w:tl2br w:val="nil"/>
              <w:tr2bl w:val="nil"/>
            </w:tcBorders>
            <w:vAlign w:val="center"/>
          </w:tcPr>
          <w:p>
            <w:pPr>
              <w:widowControl/>
              <w:adjustRightInd w:val="0"/>
              <w:snapToGrid w:val="0"/>
              <w:jc w:val="center"/>
              <w:rPr>
                <w:rFonts w:ascii="方正书宋_GBK" w:eastAsia="方正书宋_GBK"/>
              </w:rPr>
            </w:pP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满意</w:t>
            </w:r>
          </w:p>
        </w:tc>
        <w:tc>
          <w:tcPr>
            <w:tcW w:w="18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cs="宋体"/>
              </w:rPr>
              <w:t>中华人民共和国道路交通安全法</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left="0"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1.(2023年)公路巡警业务经费（办案支出）绩效目标表</w:t>
      </w:r>
      <w:bookmarkStart w:id="0" w:name="_Toc29799657"/>
      <w:bookmarkEnd w:id="0"/>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cs="宋体"/>
                <w:color w:val="000000"/>
                <w:kern w:val="0"/>
                <w:sz w:val="18"/>
                <w:szCs w:val="18"/>
              </w:rPr>
              <w:t>维护全省良好的道路交通秩序，缓解城市交通拥堵，提高道路通行能力。</w:t>
            </w:r>
            <w:r>
              <w:rPr>
                <w:rFonts w:hint="eastAsia" w:ascii="宋体" w:cs="宋体"/>
                <w:color w:val="000000"/>
                <w:kern w:val="0"/>
                <w:sz w:val="18"/>
                <w:szCs w:val="18"/>
              </w:rPr>
              <w:tab/>
            </w:r>
            <w:r>
              <w:rPr>
                <w:rFonts w:hint="eastAsia" w:ascii="宋体" w:cs="宋体"/>
                <w:color w:val="000000"/>
                <w:kern w:val="0"/>
                <w:sz w:val="18"/>
                <w:szCs w:val="18"/>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数量指标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LED显示屏</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LED显示屏数量</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1</w:t>
            </w:r>
            <w:r>
              <w:rPr>
                <w:rFonts w:hint="eastAsia" w:ascii="宋体" w:cs="宋体"/>
                <w:sz w:val="18"/>
                <w:szCs w:val="18"/>
              </w:rPr>
              <w:t>套</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质量指标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项目实施情况</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时效指标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及时完成</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成本控制在预算额度内</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r>
              <w:rPr>
                <w:rFonts w:ascii="宋体" w:cs="宋体"/>
                <w:sz w:val="18"/>
                <w:szCs w:val="18"/>
              </w:rPr>
              <w:t>400.21</w:t>
            </w:r>
            <w:r>
              <w:rPr>
                <w:rFonts w:hint="eastAsia" w:ascii="宋体" w:cs="宋体"/>
                <w:sz w:val="18"/>
                <w:szCs w:val="18"/>
              </w:rPr>
              <w:t>万元</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社会效益指标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加强道路管理，维护交通秩序。</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cs="宋体"/>
                <w:sz w:val="18"/>
                <w:szCs w:val="18"/>
              </w:rPr>
              <w:t>显著</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经济效益指标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减少交通事故发生率，节省社会资源</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保护公民的合法权益，促进经济的发展</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cs="宋体"/>
                <w:sz w:val="18"/>
                <w:szCs w:val="18"/>
              </w:rPr>
              <w:t>显著</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宋体" w:cs="宋体"/>
                <w:sz w:val="18"/>
                <w:szCs w:val="18"/>
              </w:rPr>
              <w:t>满意</w:t>
            </w:r>
          </w:p>
        </w:tc>
        <w:tc>
          <w:tcPr>
            <w:tcW w:w="2155" w:type="dxa"/>
            <w:shd w:val="clear" w:color="auto" w:fill="auto"/>
            <w:vAlign w:val="center"/>
          </w:tcPr>
          <w:p>
            <w:r>
              <w:rPr>
                <w:rFonts w:hint="eastAsia" w:ascii="宋体" w:cs="宋体"/>
                <w:sz w:val="18"/>
                <w:szCs w:val="18"/>
              </w:rPr>
              <w:t>根据《中华人民共和国道路交通安全法》</w:t>
            </w:r>
          </w:p>
        </w:tc>
      </w:tr>
    </w:tbl>
    <w:p>
      <w:pPr>
        <w:numPr>
          <w:ilvl w:val="0"/>
          <w:numId w:val="1"/>
        </w:numPr>
        <w:ind w:left="0"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(2023年)车管业务经费（办案支出）绩效目标表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rPr>
                <w:rFonts w:hint="eastAsia" w:ascii="宋体" w:cs="宋体"/>
                <w:color w:val="000000"/>
                <w:kern w:val="0"/>
                <w:sz w:val="18"/>
                <w:szCs w:val="18"/>
              </w:rPr>
            </w:pPr>
            <w:r>
              <w:rPr>
                <w:rFonts w:hint="eastAsia" w:ascii="宋体" w:cs="宋体"/>
                <w:color w:val="000000"/>
                <w:kern w:val="0"/>
                <w:sz w:val="18"/>
                <w:szCs w:val="18"/>
              </w:rPr>
              <w:t>促进经济、社会的发展，保障道路交通安全，促进提高机动车驾驶人安全文明驾驶素质，全力预防和重特大道路交通事故。</w:t>
            </w:r>
            <w:r>
              <w:rPr>
                <w:rFonts w:hint="eastAsia" w:ascii="宋体" w:cs="宋体"/>
                <w:color w:val="000000"/>
                <w:kern w:val="0"/>
                <w:sz w:val="18"/>
                <w:szCs w:val="18"/>
              </w:rPr>
              <w:tab/>
            </w:r>
            <w:r>
              <w:rPr>
                <w:rFonts w:hint="eastAsia" w:ascii="宋体" w:cs="宋体"/>
                <w:color w:val="000000"/>
                <w:kern w:val="0"/>
                <w:sz w:val="18"/>
                <w:szCs w:val="18"/>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b/>
                <w:bCs/>
                <w:sz w:val="18"/>
                <w:szCs w:val="18"/>
              </w:rPr>
            </w:pPr>
            <w:r>
              <w:rPr>
                <w:rFonts w:hint="eastAsia" w:ascii="宋体" w:cs="宋体"/>
                <w:b/>
                <w:bCs/>
                <w:sz w:val="18"/>
                <w:szCs w:val="18"/>
              </w:rPr>
              <w:t>数量指标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业务经费数</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专用材料、办公费、印刷费、水费、电费、邮电费、差旅费</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7项</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1"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质量指标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项目实施情况</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时效指标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及时完成</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成本控制在预算额度内</w:t>
            </w:r>
          </w:p>
        </w:tc>
        <w:tc>
          <w:tcPr>
            <w:tcW w:w="1843" w:type="dxa"/>
            <w:shd w:val="clear" w:color="auto" w:fill="auto"/>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304.7</w:t>
            </w:r>
            <w:r>
              <w:rPr>
                <w:rFonts w:hint="eastAsia" w:ascii="宋体" w:cs="宋体"/>
                <w:sz w:val="18"/>
                <w:szCs w:val="18"/>
              </w:rPr>
              <w:t>万元</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社会效益指标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加强道路管理，维护交通秩序。</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显著</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经济效益指标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减少交通事故发生率，节省社会资源</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保护公民的合法权益，促进经济的发展</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显著</w:t>
            </w:r>
          </w:p>
        </w:tc>
        <w:tc>
          <w:tcPr>
            <w:tcW w:w="2155" w:type="dxa"/>
            <w:shd w:val="clear" w:color="auto" w:fill="auto"/>
            <w:vAlign w:val="center"/>
          </w:tcPr>
          <w:p>
            <w:r>
              <w:rPr>
                <w:rFonts w:hint="eastAsia" w:ascii="宋体" w:cs="宋体"/>
                <w:sz w:val="18"/>
                <w:szCs w:val="18"/>
              </w:rPr>
              <w:t>根据《中华人民共和国道路交通安全法》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85"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3402" w:type="dxa"/>
            <w:shd w:val="clear" w:color="auto" w:fill="auto"/>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让人民群众在每起案件中都感受到公平正义，出行通畅</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满意</w:t>
            </w:r>
          </w:p>
        </w:tc>
        <w:tc>
          <w:tcPr>
            <w:tcW w:w="2155" w:type="dxa"/>
            <w:shd w:val="clear" w:color="auto" w:fill="auto"/>
            <w:vAlign w:val="center"/>
          </w:tcPr>
          <w:p>
            <w:r>
              <w:rPr>
                <w:rFonts w:hint="eastAsia" w:ascii="宋体" w:cs="宋体"/>
                <w:sz w:val="18"/>
                <w:szCs w:val="18"/>
              </w:rPr>
              <w:t>根据《中华人民共和国道路交通安全法》</w:t>
            </w:r>
          </w:p>
        </w:tc>
      </w:tr>
    </w:tbl>
    <w:p>
      <w:pPr>
        <w:numPr>
          <w:ilvl w:val="0"/>
          <w:numId w:val="1"/>
        </w:numPr>
        <w:ind w:left="0"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仿宋_GB2312" w:cs="Times New Roman"/>
          <w:sz w:val="28"/>
        </w:rPr>
        <w:t>(2023年)食堂经费（办案支出）绩效目标表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ascii="宋体" w:cs="宋体"/>
                <w:color w:val="000000"/>
                <w:kern w:val="0"/>
                <w:sz w:val="18"/>
                <w:szCs w:val="18"/>
              </w:rPr>
              <w:t>为民辅警做好后勤保障工作，解决民辅警因执勤需要的用餐问题。</w:t>
            </w:r>
            <w:r>
              <w:rPr>
                <w:rFonts w:ascii="宋体" w:cs="宋体"/>
                <w:color w:val="000000"/>
                <w:kern w:val="0"/>
                <w:sz w:val="18"/>
                <w:szCs w:val="18"/>
              </w:rPr>
              <w:tab/>
            </w:r>
            <w:r>
              <w:rPr>
                <w:rFonts w:ascii="宋体" w:cs="宋体"/>
                <w:color w:val="000000"/>
                <w:kern w:val="0"/>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color w:val="000000"/>
                <w:kern w:val="0"/>
                <w:sz w:val="18"/>
                <w:szCs w:val="18"/>
              </w:rPr>
            </w:pPr>
            <w:r>
              <w:rPr>
                <w:rFonts w:hint="eastAsia" w:ascii="宋体" w:cs="宋体"/>
                <w:color w:val="000000"/>
                <w:kern w:val="0"/>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经费</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一年伙食费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color w:val="000000"/>
                <w:kern w:val="0"/>
                <w:sz w:val="18"/>
                <w:szCs w:val="18"/>
              </w:rPr>
            </w:pPr>
            <w:r>
              <w:rPr>
                <w:rFonts w:hint="eastAsia" w:ascii="宋体" w:cs="宋体"/>
                <w:color w:val="000000"/>
                <w:kern w:val="0"/>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color w:val="000000"/>
                <w:kern w:val="0"/>
                <w:sz w:val="18"/>
                <w:szCs w:val="18"/>
              </w:rPr>
            </w:pPr>
            <w:r>
              <w:rPr>
                <w:rFonts w:hint="eastAsia" w:ascii="宋体" w:cs="宋体"/>
                <w:color w:val="000000"/>
                <w:kern w:val="0"/>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完成情况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color w:val="000000"/>
                <w:kern w:val="0"/>
                <w:sz w:val="18"/>
                <w:szCs w:val="18"/>
              </w:rPr>
            </w:pPr>
            <w:r>
              <w:rPr>
                <w:rFonts w:hint="eastAsia" w:ascii="宋体" w:cs="宋体"/>
                <w:color w:val="000000"/>
                <w:kern w:val="0"/>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50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大公交请字（2020）第12号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cs="宋体"/>
                <w:color w:val="000000"/>
                <w:kern w:val="0"/>
                <w:sz w:val="18"/>
                <w:szCs w:val="18"/>
              </w:rPr>
            </w:pPr>
            <w:r>
              <w:rPr>
                <w:rFonts w:ascii="宋体" w:cs="宋体"/>
                <w:color w:val="000000"/>
                <w:kern w:val="0"/>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color w:val="000000"/>
                <w:kern w:val="0"/>
                <w:sz w:val="18"/>
                <w:szCs w:val="18"/>
              </w:rPr>
            </w:pPr>
            <w:r>
              <w:rPr>
                <w:rFonts w:ascii="宋体" w:cs="宋体"/>
                <w:color w:val="000000"/>
                <w:kern w:val="0"/>
                <w:sz w:val="18"/>
                <w:szCs w:val="18"/>
              </w:rPr>
              <w:t>大公交请字（2020）第12号</w:t>
            </w:r>
          </w:p>
        </w:tc>
      </w:tr>
    </w:tbl>
    <w:p>
      <w:pPr>
        <w:numPr>
          <w:ilvl w:val="0"/>
          <w:numId w:val="1"/>
        </w:numPr>
        <w:ind w:left="0"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年)农村道路交通管理专用车辆费用经费（办案支出）</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加强农村道路交通安全管理工作，降低交通事故发生率。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车辆</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执勤用车数量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辆</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p>
            <w:pPr>
              <w:jc w:val="center"/>
              <w:rPr>
                <w:rFonts w:hint="eastAsia" w:ascii="宋体" w:cs="宋体"/>
                <w:sz w:val="18"/>
                <w:szCs w:val="18"/>
              </w:rPr>
            </w:pP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136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加强道路管理，维护交通秩序。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保护公民的合法权益，促进经济的发展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维护道路交通，打击违法犯罪，减少安全隐患</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让人民群众在每起案件中都感受到公平正义，出行通畅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大公交请字【2020】第11号</w:t>
            </w:r>
          </w:p>
          <w:p>
            <w:pPr>
              <w:jc w:val="center"/>
              <w:rPr>
                <w:rFonts w:hint="eastAsia" w:ascii="宋体" w:cs="宋体"/>
                <w:sz w:val="18"/>
                <w:szCs w:val="18"/>
              </w:rPr>
            </w:pPr>
          </w:p>
        </w:tc>
      </w:tr>
    </w:tbl>
    <w:p>
      <w:pPr>
        <w:jc w:val="left"/>
        <w:outlineLvl w:val="1"/>
        <w:rPr>
          <w:rFonts w:ascii="Times New Roman" w:hAnsi="Times New Roman" w:eastAsia="仿宋_GB2312" w:cs="Times New Roman"/>
          <w:vanish w:val="0"/>
          <w:sz w:val="28"/>
        </w:rPr>
      </w:pPr>
    </w:p>
    <w:p>
      <w:pPr>
        <w:numPr>
          <w:ilvl w:val="0"/>
          <w:numId w:val="1"/>
        </w:numPr>
        <w:ind w:left="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年)交通事故处理检验鉴定项目资金（办案支出）</w:t>
      </w:r>
      <w:r>
        <w:rPr>
          <w:rFonts w:ascii="Times New Roman" w:hAnsi="Times New Roman" w:eastAsia="仿宋_GB2312" w:cs="Times New Roman"/>
          <w:sz w:val="28"/>
        </w:rPr>
        <w:t>绩效目标表</w:t>
      </w:r>
    </w:p>
    <w:tbl>
      <w:tblPr>
        <w:tblStyle w:val="8"/>
        <w:tblW w:w="146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2940"/>
        <w:gridCol w:w="1365"/>
        <w:gridCol w:w="1260"/>
        <w:gridCol w:w="945"/>
        <w:gridCol w:w="3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保障交通事故当事人的合法权益，提高事故办案效率。</w:t>
            </w:r>
            <w:r>
              <w:rPr>
                <w:rFonts w:hint="eastAsia" w:ascii="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color w:val="000000"/>
                <w:kern w:val="0"/>
                <w:sz w:val="18"/>
                <w:szCs w:val="18"/>
              </w:rPr>
            </w:pPr>
            <w:r>
              <w:rPr>
                <w:rFonts w:hint="eastAsia" w:ascii="宋体" w:cs="宋体"/>
                <w:b/>
                <w:bCs/>
                <w:color w:val="000000"/>
                <w:kern w:val="0"/>
                <w:sz w:val="18"/>
                <w:szCs w:val="18"/>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color w:val="000000"/>
                <w:kern w:val="0"/>
                <w:sz w:val="18"/>
                <w:szCs w:val="18"/>
              </w:rPr>
            </w:pPr>
            <w:r>
              <w:rPr>
                <w:rFonts w:hint="eastAsia" w:ascii="宋体" w:cs="宋体"/>
                <w:b/>
                <w:bCs/>
                <w:color w:val="000000"/>
                <w:kern w:val="0"/>
                <w:sz w:val="18"/>
                <w:szCs w:val="18"/>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361" w:firstLineChars="200"/>
              <w:textAlignment w:val="center"/>
              <w:rPr>
                <w:rFonts w:hint="eastAsia" w:ascii="宋体" w:cs="宋体"/>
                <w:b/>
                <w:bCs/>
                <w:color w:val="000000"/>
                <w:kern w:val="0"/>
                <w:sz w:val="18"/>
                <w:szCs w:val="18"/>
              </w:rPr>
            </w:pPr>
            <w:r>
              <w:rPr>
                <w:rFonts w:hint="eastAsia" w:ascii="宋体" w:cs="宋体"/>
                <w:b/>
                <w:bCs/>
                <w:color w:val="000000"/>
                <w:kern w:val="0"/>
                <w:sz w:val="18"/>
                <w:szCs w:val="18"/>
              </w:rPr>
              <w:t>三级指标</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
                <w:bCs/>
                <w:color w:val="000000"/>
                <w:kern w:val="0"/>
                <w:sz w:val="18"/>
                <w:szCs w:val="18"/>
              </w:rPr>
            </w:pPr>
            <w:r>
              <w:rPr>
                <w:rFonts w:hint="eastAsia" w:ascii="宋体" w:cs="宋体"/>
                <w:b/>
                <w:bCs/>
                <w:color w:val="000000"/>
                <w:kern w:val="0"/>
                <w:sz w:val="18"/>
                <w:szCs w:val="18"/>
              </w:rPr>
              <w:t>绩效指标描述（指标内容）</w:t>
            </w:r>
          </w:p>
        </w:tc>
        <w:tc>
          <w:tcPr>
            <w:tcW w:w="35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33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一年服务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210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事故当事人的权益</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保障事故当事人的合法权益</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节省资源</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生态效益指标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提高事故办案效率，保障交通事故当事人的合法权益</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维护当事人合法权益</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3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w:t>
            </w:r>
          </w:p>
        </w:tc>
      </w:tr>
    </w:tbl>
    <w:p>
      <w:pPr>
        <w:ind w:firstLine="0"/>
        <w:jc w:val="left"/>
        <w:outlineLvl w:val="1"/>
      </w:pPr>
    </w:p>
    <w:p>
      <w:pPr>
        <w:ind w:firstLine="0"/>
        <w:jc w:val="left"/>
        <w:outlineLvl w:val="1"/>
      </w:pPr>
    </w:p>
    <w:p>
      <w:pPr>
        <w:ind w:firstLine="0"/>
        <w:jc w:val="left"/>
        <w:outlineLvl w:val="1"/>
      </w:pPr>
    </w:p>
    <w:p>
      <w:pPr>
        <w:ind w:firstLine="0"/>
        <w:jc w:val="left"/>
        <w:outlineLvl w:val="1"/>
        <w:rPr>
          <w:rFonts w:ascii="Times New Roman" w:hAnsi="Times New Roman" w:eastAsia="仿宋_GB2312" w:cs="Times New Roman"/>
          <w:sz w:val="28"/>
        </w:rPr>
      </w:pPr>
      <w:r>
        <w:rPr>
          <w:sz w:val="28"/>
          <w:szCs w:val="28"/>
        </w:rPr>
        <w:t>6.</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年）停车场租赁服务项目资金(办案支出)</w:t>
      </w:r>
      <w:r>
        <w:rPr>
          <w:rFonts w:ascii="Times New Roman" w:hAnsi="Times New Roman" w:eastAsia="仿宋_GB2312" w:cs="Times New Roman"/>
          <w:sz w:val="28"/>
        </w:rPr>
        <w:t>绩效目标表</w:t>
      </w:r>
    </w:p>
    <w:tbl>
      <w:tblPr>
        <w:tblStyle w:val="8"/>
        <w:tblW w:w="1464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2415"/>
        <w:gridCol w:w="2237"/>
        <w:gridCol w:w="1304"/>
        <w:gridCol w:w="1079"/>
        <w:gridCol w:w="2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color w:val="000000"/>
                <w:kern w:val="0"/>
                <w:sz w:val="18"/>
                <w:szCs w:val="18"/>
              </w:rPr>
              <w:t>促进经济、社会的发展，保障道路交通安全，促进提高机动车驾驶人安全文明驾驶素质，全力预防和重特大道路交通事故。</w:t>
            </w:r>
            <w:r>
              <w:rPr>
                <w:rFonts w:hint="eastAsia" w:ascii="宋体" w:cs="宋体"/>
                <w:color w:val="000000"/>
                <w:kern w:val="0"/>
                <w:sz w:val="18"/>
                <w:szCs w:val="18"/>
              </w:rPr>
              <w:tab/>
            </w:r>
            <w:r>
              <w:rPr>
                <w:rFonts w:hint="eastAsia" w:ascii="宋体" w:cs="宋体"/>
                <w:color w:val="000000"/>
                <w:kern w:val="0"/>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一年服务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160</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事故当事人的权益</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保障事故当事人的合法权益</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节省资源</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提高事故处理办案率</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提高事故处理办案率维护当事人合法权益</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《道路交通事故处理程序规定》的规定</w:t>
            </w:r>
          </w:p>
        </w:tc>
      </w:tr>
    </w:tbl>
    <w:p>
      <w:pPr>
        <w:ind w:left="560"/>
        <w:jc w:val="left"/>
        <w:outlineLvl w:val="1"/>
        <w:rPr>
          <w:rFonts w:ascii="Times New Roman" w:hAnsi="Times New Roman" w:eastAsia="仿宋_GB2312" w:cs="Times New Roman"/>
          <w:sz w:val="28"/>
        </w:rPr>
      </w:pPr>
    </w:p>
    <w:p>
      <w:pPr>
        <w:ind w:left="560"/>
        <w:jc w:val="left"/>
        <w:outlineLvl w:val="1"/>
        <w:rPr>
          <w:rFonts w:ascii="Times New Roman" w:hAnsi="Times New Roman" w:eastAsia="仿宋_GB2312" w:cs="Times New Roman"/>
          <w:sz w:val="28"/>
        </w:rPr>
      </w:pPr>
    </w:p>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年)年度交通事故拖车费、施救费专项资金（办案支出）</w:t>
      </w:r>
      <w:r>
        <w:rPr>
          <w:rFonts w:ascii="Times New Roman" w:hAnsi="Times New Roman" w:eastAsia="仿宋_GB2312" w:cs="Times New Roman"/>
          <w:sz w:val="28"/>
        </w:rPr>
        <w:tab/>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杜绝违纪现象的产生，保障交通事故当事人的合法权益。</w:t>
            </w:r>
            <w:r>
              <w:rPr>
                <w:rFonts w:hint="eastAsia" w:ascii="宋体" w:cs="宋体"/>
                <w:color w:val="000000"/>
                <w:kern w:val="0"/>
                <w:sz w:val="18"/>
                <w:szCs w:val="18"/>
              </w:rPr>
              <w:tab/>
            </w:r>
            <w:r>
              <w:rPr>
                <w:rFonts w:hint="eastAsia" w:ascii="宋体" w:cs="宋体"/>
                <w:color w:val="000000"/>
                <w:kern w:val="0"/>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一年服务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220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事故当事人的权益</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保障事故当事人的合法权益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加强对道路车辆救援服务收费的管理</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加强对道路车辆救援服务收费的管理，维护当事人合法权益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大公交请字【2019】第14号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年)智慧交管工程项目资金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智慧交通工程建设，坚持了人防物防相结合，全面提高了交管工作的质量，使主干道路实现了红外线视频监控的全覆盖，确保道路交通安全工作、安全形势持续稳定。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交通信号控制系统数量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完成交通信号控制系统数量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年)道路交通标线、标牌资金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236"/>
        <w:gridCol w:w="1890"/>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7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r>
              <w:rPr>
                <w:rFonts w:hint="eastAsia" w:ascii="宋体" w:cs="宋体"/>
                <w:sz w:val="18"/>
                <w:szCs w:val="18"/>
              </w:rPr>
              <w:t>维护道路交通秩序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标线39200平方米</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完成标线数量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39200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平方米</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实施政策</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170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加强道路管理，便于交通宣传工作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加强道路管理，便于交通宣传工作</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维护道路交通，打击违法犯罪，减少安全隐患</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维护道路交通，打击违法犯罪，减少安全隐患廊交支（2020）49号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廊交支（2020）49号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年）移动警务终端专项资金（办案支出）</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提升民警执法执勤效率</w:t>
            </w:r>
            <w:r>
              <w:rPr>
                <w:rFonts w:hint="eastAsia" w:ascii="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年服务费</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ascii="宋体" w:cs="宋体"/>
                <w:sz w:val="18"/>
                <w:szCs w:val="18"/>
              </w:rPr>
              <w:t>1</w:t>
            </w:r>
            <w:r>
              <w:rPr>
                <w:rFonts w:hint="eastAsia" w:ascii="宋体" w:cs="宋体"/>
                <w:sz w:val="18"/>
                <w:szCs w:val="18"/>
              </w:rPr>
              <w:t>年服务费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9.26</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保障交管工作顺利进行</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保障交管工作顺利进行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信息精准化</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保障交管工作顺利进行</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实现警务工作移动化、信息化</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维护全县良好的交通秩序，缓解城市交通拥堵，提高道路通行能力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执法民警满意度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努力实现事故少、秩序好、道路畅通、群众满意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大公交请字（2018）第19号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11.</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年）建设交管指挥中心、城区智慧交通工程、省县乡道路路防工程资金（办案支出）</w:t>
      </w:r>
      <w:r>
        <w:rPr>
          <w:rFonts w:ascii="Times New Roman" w:hAnsi="Times New Roman" w:eastAsia="仿宋_GB2312" w:cs="Times New Roman"/>
          <w:sz w:val="28"/>
        </w:rPr>
        <w:tab/>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解决我县目前实际存在的交通秩序混乱、科技管理含量较低，做实做好双创双服二十项民心工程“交通秩序整治工程”的实际需要。2022年底之前完成总项目的100%。</w:t>
            </w:r>
            <w:r>
              <w:rPr>
                <w:rFonts w:hint="eastAsia" w:ascii="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交通信号控制系统数量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完成交通信号控制系统数量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年完成总项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7</w:t>
            </w:r>
            <w:r>
              <w:rPr>
                <w:rFonts w:hint="eastAsia" w:ascii="宋体" w:cs="宋体"/>
                <w:sz w:val="18"/>
                <w:szCs w:val="18"/>
              </w:rPr>
              <w:t>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大公交请字【2018】37号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12.</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年)大城县公安交通警察大队设立大型货车尾气排放监测点项目经费</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目标内容1加强道路交通安全管理和大气污染防治工作，全面减少因大货车大量通行引发的交通事故及超标排放造成的大气污染</w:t>
            </w:r>
            <w:r>
              <w:rPr>
                <w:rFonts w:hint="eastAsia" w:ascii="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Calibri" w:hAnsi="Calibri" w:eastAsia="宋体" w:cs="宋体"/>
                <w:sz w:val="22"/>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尾气排放检测点</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4个尾气排放检测点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个</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全面减少大气污染</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促进经济社会的发展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提高人民的出行率</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促进经济社会的发展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减少大气污染</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维护全县良好的交通秩序，缓解城市交通拥堵，提高道路通行能力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大公交请字（2019）第22号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13.</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年)尾气监测站租赁费</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657"/>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cs="宋体"/>
                <w:color w:val="000000"/>
                <w:kern w:val="0"/>
                <w:sz w:val="18"/>
                <w:szCs w:val="18"/>
              </w:rPr>
            </w:pPr>
            <w:r>
              <w:rPr>
                <w:rFonts w:hint="eastAsia" w:ascii="宋体" w:cs="宋体"/>
                <w:sz w:val="18"/>
                <w:szCs w:val="18"/>
              </w:rPr>
              <w:t>加强道路交通安全管理和大气污染防治工作，全面减少因大货车大量通行引发的交通事故及超标排放造成的大气污染</w:t>
            </w:r>
            <w:r>
              <w:rPr>
                <w:rFonts w:hint="eastAsia" w:ascii="宋体" w:cs="宋体"/>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尾气排放检测点</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4个尾气排放检测点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21</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全面减少大气污染</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促进经济社会的发展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提高人民的出行率</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促进经济社会的发展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生态效益指标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减少大气污染</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维护全县良好的交通秩序，缓解城市交通拥堵，提高道路通行能力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大公交请字（2019）第22号</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14.</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年)津石高速东、西连接线交通安全隐患治理专项资金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color w:val="000000"/>
                <w:kern w:val="0"/>
                <w:sz w:val="18"/>
                <w:szCs w:val="18"/>
              </w:rPr>
            </w:pPr>
            <w:r>
              <w:rPr>
                <w:rFonts w:hint="eastAsia" w:ascii="宋体" w:cs="宋体"/>
                <w:sz w:val="18"/>
                <w:szCs w:val="18"/>
              </w:rPr>
              <w:t>解决道路交通安全隐患减少交通事故的发生，通过安装交通信号灯、电子警察、测速设备等电子交通设施，安装及施划交通标牌和交通标线等项工作，解决道路交通安全隐患，减少交通事故的发生。</w:t>
            </w:r>
            <w:r>
              <w:rPr>
                <w:rFonts w:hint="eastAsia" w:ascii="宋体" w:cs="宋体"/>
                <w:sz w:val="18"/>
                <w:szCs w:val="18"/>
              </w:rPr>
              <w:tab/>
            </w:r>
            <w:r>
              <w:rPr>
                <w:rFonts w:hint="eastAsia" w:ascii="宋体" w:cs="宋体"/>
                <w:color w:val="000000"/>
                <w:kern w:val="0"/>
                <w:sz w:val="18"/>
                <w:szCs w:val="18"/>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标志标牌数量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完成安装标志标牌数量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396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184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大公交请字（2020）第19号</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15.</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年)永定大街西通工程交通安全设施资金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解决道路交通安全隐患减少交通事故的发生，通过安装交通信号灯、电子警察、测速设备等电子交通设施，安装及施划交通标牌和交通标线等项工作，解决道路交通安全隐患，减少交通事故的发生。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标志标牌数量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完成安装标志标牌数量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98.15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bl>
    <w:p>
      <w:pPr>
        <w:spacing w:before="240"/>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16.(</w:t>
      </w:r>
      <w:r>
        <w:rPr>
          <w:rFonts w:hint="eastAsia" w:ascii="Times New Roman" w:hAnsi="Times New Roman" w:eastAsia="仿宋_GB2312" w:cs="Times New Roman"/>
          <w:sz w:val="28"/>
        </w:rPr>
        <w:t>2022年</w:t>
      </w:r>
      <w:r>
        <w:rPr>
          <w:rFonts w:ascii="Times New Roman" w:hAnsi="Times New Roman" w:eastAsia="仿宋_GB2312" w:cs="Times New Roman"/>
          <w:sz w:val="28"/>
        </w:rPr>
        <w:t>)</w:t>
      </w:r>
      <w:r>
        <w:rPr>
          <w:rFonts w:hint="eastAsia" w:ascii="Times New Roman" w:hAnsi="Times New Roman" w:eastAsia="仿宋_GB2312" w:cs="Times New Roman"/>
          <w:sz w:val="28"/>
        </w:rPr>
        <w:t>电动车牌制作资金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提高事故办案效率，保障交通事故当事人的合法权益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一年服务</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1</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年</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p>
            <w:pPr>
              <w:jc w:val="center"/>
              <w:rPr>
                <w:rFonts w:hint="eastAsia" w:asci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160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事故当事人的权益</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保障事故当事人的合法权益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提高事故办案效率，保障交通事故当事人的合法权益</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维护当事人合法权益</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人民群众和大队工作人员满意度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《河北省电动自行车管理条例》</w:t>
            </w:r>
          </w:p>
        </w:tc>
      </w:tr>
    </w:tbl>
    <w:p>
      <w:pPr>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17.</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年)永定大街</w:t>
      </w:r>
      <w:r>
        <w:rPr>
          <w:rFonts w:ascii="Times New Roman" w:hAnsi="Times New Roman" w:eastAsia="仿宋_GB2312" w:cs="Times New Roman"/>
          <w:sz w:val="28"/>
        </w:rPr>
        <w:t>东</w:t>
      </w:r>
      <w:r>
        <w:rPr>
          <w:rFonts w:hint="eastAsia" w:ascii="Times New Roman" w:hAnsi="Times New Roman" w:eastAsia="仿宋_GB2312" w:cs="Times New Roman"/>
          <w:sz w:val="28"/>
        </w:rPr>
        <w:t>通</w:t>
      </w:r>
      <w:r>
        <w:rPr>
          <w:rFonts w:ascii="Times New Roman" w:hAnsi="Times New Roman" w:eastAsia="仿宋_GB2312" w:cs="Times New Roman"/>
          <w:sz w:val="28"/>
        </w:rPr>
        <w:t>信号灯、电子警察安装项目</w:t>
      </w:r>
      <w:r>
        <w:rPr>
          <w:rFonts w:hint="eastAsia" w:ascii="Times New Roman" w:hAnsi="Times New Roman" w:eastAsia="仿宋_GB2312" w:cs="Times New Roman"/>
          <w:sz w:val="28"/>
        </w:rPr>
        <w:t>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解决道路交通安全隐患减少交通事故的发生，通过安装交通信号灯、电子警察、测速设备等电子交通设施，安装及施划交通标牌和交通标线等项工作，解决道路交通安全隐患，减少交通事故的发生。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标志标牌数量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完成安装标志标牌数量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5</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ascii="宋体" w:cs="宋体"/>
                <w:sz w:val="18"/>
                <w:szCs w:val="18"/>
              </w:rPr>
              <w:t>41.38</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维护交通秩序效果</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达到维护交通秩序程度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减少交通事故发生率，节省社会资源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长期使用性</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能够长期维护交通秩序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人民群众和大队人员满意度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大公交请字（2021）第13号</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18.</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年)关于提前下达202</w:t>
      </w:r>
      <w:r>
        <w:rPr>
          <w:rFonts w:ascii="Times New Roman" w:hAnsi="Times New Roman" w:eastAsia="仿宋_GB2312" w:cs="Times New Roman"/>
          <w:sz w:val="28"/>
        </w:rPr>
        <w:t>3</w:t>
      </w:r>
      <w:r>
        <w:rPr>
          <w:rFonts w:hint="eastAsia" w:ascii="Times New Roman" w:hAnsi="Times New Roman" w:eastAsia="仿宋_GB2312" w:cs="Times New Roman"/>
          <w:sz w:val="28"/>
        </w:rPr>
        <w:t>年中央政法纪检监察转移支付资金的通知</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hint="eastAsia" w:ascii="宋体" w:cs="宋体"/>
                <w:sz w:val="18"/>
                <w:szCs w:val="18"/>
              </w:rPr>
              <w:t>严格执行现行国家规定的办案经费开支范围，确保专款专用。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办案业务费业务装备经费</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办案业务费业务装备经费</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实施正常</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202</w:t>
            </w:r>
            <w:r>
              <w:rPr>
                <w:rFonts w:ascii="宋体" w:cs="宋体"/>
                <w:sz w:val="18"/>
                <w:szCs w:val="18"/>
              </w:rPr>
              <w:t>3</w:t>
            </w:r>
            <w:r>
              <w:rPr>
                <w:rFonts w:hint="eastAsia" w:ascii="宋体" w:cs="宋体"/>
                <w:sz w:val="18"/>
                <w:szCs w:val="18"/>
              </w:rPr>
              <w:t>年12月之前完成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74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提高通行率</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及时调度指挥事故处理单位到达现场的情况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保护人民财产安全</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为全县的经济发展提供良好的道路交通环境</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减少交通事故</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维护全县良好的交通秩序，缓解城市交通拥堵，提高道路通行能力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人民群众满意度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努力实现事故少、秩序好、道路畅通、群众满意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s="宋体"/>
                <w:sz w:val="18"/>
                <w:szCs w:val="18"/>
              </w:rPr>
            </w:pPr>
            <w:r>
              <w:rPr>
                <w:rFonts w:hint="eastAsia" w:ascii="宋体" w:cs="宋体"/>
                <w:sz w:val="18"/>
                <w:szCs w:val="18"/>
              </w:rPr>
              <w:t>冀财政法（2021）62号</w:t>
            </w:r>
          </w:p>
        </w:tc>
      </w:tr>
    </w:tbl>
    <w:p>
      <w:pPr>
        <w:spacing w:before="240"/>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19.</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年)辅警人员工资及保险资金</w:t>
      </w:r>
      <w:r>
        <w:rPr>
          <w:rFonts w:ascii="Times New Roman" w:hAnsi="Times New Roman" w:eastAsia="仿宋_GB2312" w:cs="Times New Roman"/>
          <w:sz w:val="28"/>
        </w:rPr>
        <w:t>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保障辅警人员工资及保险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374</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p>
            <w:pPr>
              <w:keepNext w:val="0"/>
              <w:keepLines w:val="0"/>
              <w:widowControl/>
              <w:suppressLineNumbers w:val="0"/>
              <w:jc w:val="center"/>
              <w:textAlignment w:val="center"/>
              <w:rPr>
                <w:rFonts w:hint="eastAsia" w:ascii="宋体" w:cs="宋体"/>
                <w:sz w:val="18"/>
                <w:szCs w:val="18"/>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2021年12月底之前完成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2188</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加强道路管理,维护交通秩序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减少交通事故发生率,节省社会资源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保护公民合法权益,促进经济社会发展,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打击违法犯罪,建造良好治安</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bl>
    <w:p>
      <w:pPr>
        <w:spacing w:before="240"/>
        <w:ind w:left="560"/>
        <w:jc w:val="left"/>
        <w:outlineLvl w:val="1"/>
        <w:rPr>
          <w:rFonts w:ascii="Times New Roman" w:hAnsi="Times New Roman" w:eastAsia="仿宋_GB2312" w:cs="Times New Roman"/>
          <w:sz w:val="28"/>
        </w:rPr>
      </w:pPr>
      <w:r>
        <w:rPr>
          <w:rFonts w:ascii="Times New Roman" w:hAnsi="Times New Roman" w:eastAsia="仿宋_GB2312" w:cs="Times New Roman"/>
          <w:sz w:val="28"/>
        </w:rPr>
        <w:t>20.</w:t>
      </w:r>
      <w:r>
        <w:rPr>
          <w:rFonts w:hint="eastAsia" w:ascii="Times New Roman" w:hAnsi="Times New Roman" w:eastAsia="仿宋_GB2312" w:cs="Times New Roman"/>
          <w:sz w:val="28"/>
        </w:rPr>
        <w:t>(202</w:t>
      </w:r>
      <w:r>
        <w:rPr>
          <w:rFonts w:ascii="Times New Roman" w:hAnsi="Times New Roman" w:eastAsia="仿宋_GB2312" w:cs="Times New Roman"/>
          <w:sz w:val="28"/>
        </w:rPr>
        <w:t>3</w:t>
      </w:r>
      <w:r>
        <w:rPr>
          <w:rFonts w:hint="eastAsia" w:ascii="Times New Roman" w:hAnsi="Times New Roman" w:eastAsia="仿宋_GB2312" w:cs="Times New Roman"/>
          <w:sz w:val="28"/>
        </w:rPr>
        <w:t>年)</w:t>
      </w:r>
      <w:r>
        <w:rPr>
          <w:rFonts w:ascii="Times New Roman" w:hAnsi="Times New Roman" w:eastAsia="仿宋_GB2312" w:cs="Times New Roman"/>
          <w:sz w:val="28"/>
        </w:rPr>
        <w:t>劳务派遣人员经费绩效目标表</w:t>
      </w:r>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6"/>
        <w:gridCol w:w="1131"/>
        <w:gridCol w:w="1995"/>
        <w:gridCol w:w="3348"/>
        <w:gridCol w:w="1304"/>
        <w:gridCol w:w="1304"/>
        <w:gridCol w:w="1394"/>
        <w:gridCol w:w="2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cs="宋体"/>
                <w:sz w:val="18"/>
                <w:szCs w:val="18"/>
              </w:rPr>
            </w:pPr>
            <w:r>
              <w:rPr>
                <w:rFonts w:ascii="宋体" w:cs="宋体"/>
                <w:sz w:val="18"/>
                <w:szCs w:val="18"/>
              </w:rPr>
              <w:t>保障劳务派遣人员工资及保险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3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辅警人员数量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60</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人</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项目实施情况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实施正常</w:t>
            </w:r>
          </w:p>
          <w:p>
            <w:pPr>
              <w:keepNext w:val="0"/>
              <w:keepLines w:val="0"/>
              <w:widowControl/>
              <w:suppressLineNumbers w:val="0"/>
              <w:jc w:val="center"/>
              <w:textAlignment w:val="center"/>
              <w:rPr>
                <w:rFonts w:hint="eastAsia" w:ascii="宋体" w:cs="宋体"/>
                <w:sz w:val="18"/>
                <w:szCs w:val="18"/>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及时完成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2021年12月底之前完成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及时</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成本控制在预算额度内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ascii="宋体" w:cs="宋体"/>
                <w:sz w:val="18"/>
                <w:szCs w:val="18"/>
              </w:rPr>
              <w:t>356</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万元</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加强道路管理,维护交通秩序</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经济效益指标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减少交通事故发生率,节省社会资源</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保护公民合法权益,促进经济社会发展,</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打击违法犯罪,建造良好治安</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维护道路交通,打击违法犯罪,减少安全隐患</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显著</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bCs/>
                <w:sz w:val="18"/>
                <w:szCs w:val="18"/>
              </w:rPr>
            </w:pPr>
            <w:r>
              <w:rPr>
                <w:rFonts w:hint="eastAsia" w:ascii="宋体" w:cs="宋体"/>
                <w:b/>
                <w:bCs/>
                <w:color w:val="000000"/>
                <w:kern w:val="0"/>
                <w:sz w:val="18"/>
                <w:szCs w:val="18"/>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辅警人员满意度</w:t>
            </w:r>
          </w:p>
        </w:tc>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辅警人员满意度</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满意</w:t>
            </w:r>
          </w:p>
        </w:tc>
        <w:tc>
          <w:tcPr>
            <w:tcW w:w="2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sz w:val="18"/>
                <w:szCs w:val="18"/>
              </w:rPr>
            </w:pPr>
            <w:r>
              <w:rPr>
                <w:rFonts w:hint="eastAsia" w:ascii="宋体" w:cs="宋体"/>
                <w:sz w:val="18"/>
                <w:szCs w:val="18"/>
              </w:rPr>
              <w:t>根据大公交请字（2020）第13号请示</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年，我部门安排政府采购预算441.38万元。具体内容见下表。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84" w:lineRule="exact"/>
        <w:outlineLvl w:val="1"/>
        <w:rPr>
          <w:rFonts w:ascii="方正小标宋_GBK" w:eastAsia="方正小标宋_GBK" w:cs="Times New Roman"/>
          <w:sz w:val="32"/>
        </w:rPr>
      </w:pPr>
      <w:r>
        <w:rPr>
          <w:rFonts w:hint="eastAsia"/>
          <w:lang w:eastAsia="zh-CN"/>
        </w:rPr>
        <w:t>大城县公安交通警察大队</w:t>
      </w:r>
      <w:r>
        <w:t xml:space="preserve">                                                                                                     </w:t>
      </w:r>
      <w:bookmarkStart w:id="3" w:name="_GoBack"/>
      <w:bookmarkEnd w:id="3"/>
      <w:r>
        <w:t>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3"/>
              <w:spacing w:line="584" w:lineRule="exact"/>
            </w:pPr>
            <w:r>
              <w:t>政府采购项目来源</w:t>
            </w:r>
          </w:p>
        </w:tc>
        <w:tc>
          <w:tcPr>
            <w:tcW w:w="1134" w:type="dxa"/>
            <w:vMerge w:val="restart"/>
            <w:vAlign w:val="center"/>
          </w:tcPr>
          <w:p>
            <w:pPr>
              <w:pStyle w:val="13"/>
              <w:spacing w:line="584" w:lineRule="exact"/>
            </w:pPr>
            <w:r>
              <w:t>采购物品名称</w:t>
            </w:r>
          </w:p>
        </w:tc>
        <w:tc>
          <w:tcPr>
            <w:tcW w:w="1134" w:type="dxa"/>
            <w:vMerge w:val="restart"/>
            <w:vAlign w:val="center"/>
          </w:tcPr>
          <w:p>
            <w:pPr>
              <w:pStyle w:val="13"/>
              <w:spacing w:line="584" w:lineRule="exact"/>
            </w:pPr>
            <w:r>
              <w:t>政府采购目录序号</w:t>
            </w:r>
          </w:p>
        </w:tc>
        <w:tc>
          <w:tcPr>
            <w:tcW w:w="709" w:type="dxa"/>
            <w:vMerge w:val="restart"/>
            <w:vAlign w:val="center"/>
          </w:tcPr>
          <w:p>
            <w:pPr>
              <w:pStyle w:val="13"/>
              <w:spacing w:line="584" w:lineRule="exact"/>
            </w:pPr>
            <w:r>
              <w:t>计量  单位</w:t>
            </w:r>
          </w:p>
        </w:tc>
        <w:tc>
          <w:tcPr>
            <w:tcW w:w="850" w:type="dxa"/>
            <w:vMerge w:val="restart"/>
            <w:vAlign w:val="center"/>
          </w:tcPr>
          <w:p>
            <w:pPr>
              <w:pStyle w:val="13"/>
              <w:spacing w:line="584" w:lineRule="exact"/>
            </w:pPr>
            <w:r>
              <w:t>数量</w:t>
            </w:r>
          </w:p>
        </w:tc>
        <w:tc>
          <w:tcPr>
            <w:tcW w:w="850" w:type="dxa"/>
            <w:vMerge w:val="restart"/>
            <w:vAlign w:val="center"/>
          </w:tcPr>
          <w:p>
            <w:pPr>
              <w:pStyle w:val="13"/>
              <w:spacing w:line="584" w:lineRule="exact"/>
            </w:pPr>
            <w:r>
              <w:t>单价</w:t>
            </w:r>
          </w:p>
        </w:tc>
        <w:tc>
          <w:tcPr>
            <w:tcW w:w="7712" w:type="dxa"/>
            <w:gridSpan w:val="8"/>
            <w:vAlign w:val="center"/>
          </w:tcPr>
          <w:p>
            <w:pPr>
              <w:pStyle w:val="13"/>
              <w:spacing w:line="584" w:lineRule="exact"/>
            </w:pPr>
            <w:r>
              <w:t>政府采购金额（当年部门预算安排资金）</w:t>
            </w:r>
          </w:p>
        </w:tc>
        <w:tc>
          <w:tcPr>
            <w:tcW w:w="964" w:type="dxa"/>
            <w:vMerge w:val="restart"/>
            <w:vAlign w:val="center"/>
          </w:tcPr>
          <w:p>
            <w:pPr>
              <w:pStyle w:val="13"/>
              <w:spacing w:line="584" w:lineRule="exact"/>
            </w:pPr>
            <w:r>
              <w:t>202</w:t>
            </w:r>
            <w:r>
              <w:rPr>
                <w:rFonts w:hint="eastAsia" w:eastAsia="宋体"/>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3"/>
              <w:spacing w:line="584" w:lineRule="exact"/>
            </w:pPr>
            <w:r>
              <w:t>项目名称</w:t>
            </w:r>
          </w:p>
        </w:tc>
        <w:tc>
          <w:tcPr>
            <w:tcW w:w="964" w:type="dxa"/>
            <w:vAlign w:val="center"/>
          </w:tcPr>
          <w:p>
            <w:pPr>
              <w:pStyle w:val="13"/>
              <w:spacing w:line="584" w:lineRule="exact"/>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spacing w:line="584" w:lineRule="exact"/>
            </w:pPr>
            <w:r>
              <w:t>合计</w:t>
            </w:r>
          </w:p>
        </w:tc>
        <w:tc>
          <w:tcPr>
            <w:tcW w:w="964" w:type="dxa"/>
            <w:vAlign w:val="center"/>
          </w:tcPr>
          <w:p>
            <w:pPr>
              <w:pStyle w:val="13"/>
              <w:spacing w:line="584" w:lineRule="exact"/>
            </w:pPr>
            <w:r>
              <w:t>一般公共预算拨款</w:t>
            </w:r>
          </w:p>
        </w:tc>
        <w:tc>
          <w:tcPr>
            <w:tcW w:w="964" w:type="dxa"/>
            <w:vAlign w:val="center"/>
          </w:tcPr>
          <w:p>
            <w:pPr>
              <w:pStyle w:val="13"/>
              <w:spacing w:line="584" w:lineRule="exact"/>
            </w:pPr>
            <w:r>
              <w:t>基金预算拨款</w:t>
            </w:r>
          </w:p>
        </w:tc>
        <w:tc>
          <w:tcPr>
            <w:tcW w:w="964" w:type="dxa"/>
            <w:vAlign w:val="center"/>
          </w:tcPr>
          <w:p>
            <w:pPr>
              <w:pStyle w:val="13"/>
              <w:spacing w:line="584" w:lineRule="exact"/>
            </w:pPr>
            <w:r>
              <w:t>国有资本经营预算拨款</w:t>
            </w:r>
          </w:p>
        </w:tc>
        <w:tc>
          <w:tcPr>
            <w:tcW w:w="964" w:type="dxa"/>
            <w:vAlign w:val="center"/>
          </w:tcPr>
          <w:p>
            <w:pPr>
              <w:pStyle w:val="13"/>
              <w:spacing w:line="584" w:lineRule="exact"/>
            </w:pPr>
            <w:r>
              <w:t>财政专户核拨</w:t>
            </w:r>
          </w:p>
        </w:tc>
        <w:tc>
          <w:tcPr>
            <w:tcW w:w="964" w:type="dxa"/>
            <w:vAlign w:val="center"/>
          </w:tcPr>
          <w:p>
            <w:pPr>
              <w:pStyle w:val="13"/>
              <w:spacing w:line="584" w:lineRule="exact"/>
            </w:pPr>
            <w:r>
              <w:t>单位    资金</w:t>
            </w:r>
          </w:p>
        </w:tc>
        <w:tc>
          <w:tcPr>
            <w:tcW w:w="964" w:type="dxa"/>
            <w:vAlign w:val="center"/>
          </w:tcPr>
          <w:p>
            <w:pPr>
              <w:pStyle w:val="13"/>
              <w:spacing w:line="584" w:lineRule="exact"/>
            </w:pPr>
            <w:r>
              <w:t>财政拨    款结转</w:t>
            </w:r>
          </w:p>
        </w:tc>
        <w:tc>
          <w:tcPr>
            <w:tcW w:w="964" w:type="dxa"/>
            <w:vAlign w:val="center"/>
          </w:tcPr>
          <w:p>
            <w:pPr>
              <w:pStyle w:val="13"/>
              <w:spacing w:line="584" w:lineRule="exact"/>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spacing w:line="584" w:lineRule="exact"/>
            </w:pPr>
            <w:r>
              <w:t>合  计</w:t>
            </w:r>
          </w:p>
        </w:tc>
        <w:tc>
          <w:tcPr>
            <w:tcW w:w="964" w:type="dxa"/>
            <w:vAlign w:val="center"/>
          </w:tcPr>
          <w:p>
            <w:pPr>
              <w:pStyle w:val="18"/>
              <w:spacing w:line="584" w:lineRule="exact"/>
            </w:pPr>
            <w:r>
              <w:t>441.38</w:t>
            </w: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17"/>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spacing w:line="300" w:lineRule="exact"/>
              <w:jc w:val="left"/>
              <w:rPr>
                <w:rFonts w:ascii="方正书宋_GBK" w:eastAsia="方正书宋_GBK" w:cs="Times New Roman"/>
              </w:rPr>
            </w:pPr>
            <w:r>
              <w:rPr>
                <w:rFonts w:hint="eastAsia" w:ascii="方正书宋_GBK" w:eastAsia="方正书宋_GBK" w:cs="Times New Roman"/>
              </w:rPr>
              <w:t>(202</w:t>
            </w:r>
            <w:r>
              <w:rPr>
                <w:rFonts w:ascii="方正书宋_GBK" w:eastAsia="方正书宋_GBK" w:cs="Times New Roman"/>
              </w:rPr>
              <w:t>3</w:t>
            </w:r>
            <w:r>
              <w:rPr>
                <w:rFonts w:hint="eastAsia" w:ascii="方正书宋_GBK" w:eastAsia="方正书宋_GBK" w:cs="Times New Roman"/>
              </w:rPr>
              <w:t>年)交通事故处理检验鉴定项目资金（办案支出）</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委托业务费</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[C99]其他服务</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年</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spacing w:line="300" w:lineRule="exact"/>
              <w:jc w:val="left"/>
              <w:rPr>
                <w:rFonts w:ascii="方正书宋_GBK" w:eastAsia="方正书宋_GBK" w:cs="Times New Roman"/>
              </w:rPr>
            </w:pPr>
            <w:r>
              <w:rPr>
                <w:rFonts w:ascii="方正书宋_GBK" w:eastAsia="方正书宋_GBK" w:cs="Times New Roman"/>
              </w:rPr>
              <w:t>210.00</w:t>
            </w: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spacing w:line="584" w:lineRule="exact"/>
            </w:pPr>
            <w:r>
              <w:rPr>
                <w:rFonts w:hint="eastAsia" w:ascii="方正书宋_GBK" w:eastAsia="方正书宋_GBK" w:cs="Times New Roman"/>
              </w:rPr>
              <w:t>(202</w:t>
            </w:r>
            <w:r>
              <w:rPr>
                <w:rFonts w:ascii="方正书宋_GBK" w:eastAsia="方正书宋_GBK" w:cs="Times New Roman"/>
              </w:rPr>
              <w:t>3</w:t>
            </w:r>
            <w:r>
              <w:rPr>
                <w:rFonts w:hint="eastAsia" w:ascii="方正书宋_GBK" w:eastAsia="方正书宋_GBK" w:cs="Times New Roman"/>
              </w:rPr>
              <w:t>年)</w:t>
            </w:r>
            <w:r>
              <w:rPr>
                <w:rFonts w:ascii="方正书宋_GBK" w:eastAsia="方正书宋_GBK" w:cs="Times New Roman"/>
              </w:rPr>
              <w:t>智慧交管工程项目资金</w:t>
            </w:r>
            <w:r>
              <w:rPr>
                <w:rFonts w:hint="eastAsia" w:ascii="方正书宋_GBK" w:eastAsia="方正书宋_GBK" w:cs="Times New Roman"/>
              </w:rPr>
              <w:t>（办案支出）</w:t>
            </w:r>
          </w:p>
        </w:tc>
        <w:tc>
          <w:tcPr>
            <w:tcW w:w="964" w:type="dxa"/>
            <w:vAlign w:val="center"/>
          </w:tcPr>
          <w:p>
            <w:pPr>
              <w:pStyle w:val="14"/>
              <w:spacing w:line="584" w:lineRule="exact"/>
            </w:pPr>
            <w:r>
              <w:t>200</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专用设备</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[A032502]交通管理设备</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批</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pStyle w:val="14"/>
              <w:spacing w:line="584" w:lineRule="exact"/>
            </w:pPr>
            <w:r>
              <w:t>200</w:t>
            </w:r>
          </w:p>
        </w:tc>
        <w:tc>
          <w:tcPr>
            <w:tcW w:w="964" w:type="dxa"/>
            <w:vAlign w:val="center"/>
          </w:tcPr>
          <w:p>
            <w:pPr>
              <w:pStyle w:val="14"/>
              <w:spacing w:line="584" w:lineRule="exact"/>
            </w:pPr>
            <w:r>
              <w:t>200</w:t>
            </w:r>
          </w:p>
        </w:tc>
        <w:tc>
          <w:tcPr>
            <w:tcW w:w="964" w:type="dxa"/>
            <w:vAlign w:val="center"/>
          </w:tcPr>
          <w:p>
            <w:pPr>
              <w:pStyle w:val="14"/>
              <w:spacing w:line="584" w:lineRule="exact"/>
            </w:pPr>
            <w:r>
              <w:t>200</w:t>
            </w: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97" w:type="dxa"/>
            <w:vAlign w:val="center"/>
          </w:tcPr>
          <w:p>
            <w:pPr>
              <w:pStyle w:val="15"/>
              <w:spacing w:line="584" w:lineRule="exact"/>
            </w:pPr>
            <w:r>
              <w:rPr>
                <w:rFonts w:hint="eastAsia" w:ascii="方正书宋_GBK" w:eastAsia="方正书宋_GBK" w:cs="Times New Roman"/>
              </w:rPr>
              <w:t>(202</w:t>
            </w:r>
            <w:r>
              <w:rPr>
                <w:rFonts w:ascii="方正书宋_GBK" w:eastAsia="方正书宋_GBK" w:cs="Times New Roman"/>
              </w:rPr>
              <w:t>3</w:t>
            </w:r>
            <w:r>
              <w:rPr>
                <w:rFonts w:hint="eastAsia" w:ascii="方正书宋_GBK" w:eastAsia="方正书宋_GBK" w:cs="Times New Roman"/>
              </w:rPr>
              <w:t>年)</w:t>
            </w:r>
            <w:r>
              <w:rPr>
                <w:rFonts w:ascii="方正书宋_GBK" w:eastAsia="方正书宋_GBK" w:cs="Times New Roman"/>
              </w:rPr>
              <w:t>永定大街东通信号灯、电子警察安装项目资金</w:t>
            </w:r>
            <w:r>
              <w:rPr>
                <w:rFonts w:hint="eastAsia" w:ascii="方正书宋_GBK" w:eastAsia="方正书宋_GBK" w:cs="Times New Roman"/>
              </w:rPr>
              <w:t>（办案支出）</w:t>
            </w:r>
          </w:p>
        </w:tc>
        <w:tc>
          <w:tcPr>
            <w:tcW w:w="964" w:type="dxa"/>
            <w:vAlign w:val="center"/>
          </w:tcPr>
          <w:p>
            <w:pPr>
              <w:pStyle w:val="14"/>
              <w:spacing w:line="584" w:lineRule="exact"/>
            </w:pPr>
            <w:r>
              <w:t>41.38</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专用设备</w:t>
            </w:r>
          </w:p>
        </w:tc>
        <w:tc>
          <w:tcPr>
            <w:tcW w:w="1134" w:type="dxa"/>
            <w:vAlign w:val="center"/>
          </w:tcPr>
          <w:p>
            <w:pPr>
              <w:spacing w:line="300" w:lineRule="exact"/>
              <w:jc w:val="left"/>
              <w:rPr>
                <w:rFonts w:ascii="方正书宋_GBK" w:eastAsia="方正书宋_GBK" w:cs="Times New Roman"/>
              </w:rPr>
            </w:pPr>
            <w:r>
              <w:rPr>
                <w:rFonts w:ascii="方正书宋_GBK" w:eastAsia="方正书宋_GBK" w:cs="Times New Roman"/>
              </w:rPr>
              <w:t>[A032502]交通管理设备</w:t>
            </w:r>
          </w:p>
        </w:tc>
        <w:tc>
          <w:tcPr>
            <w:tcW w:w="709" w:type="dxa"/>
            <w:vAlign w:val="center"/>
          </w:tcPr>
          <w:p>
            <w:pPr>
              <w:spacing w:line="300" w:lineRule="exact"/>
              <w:jc w:val="left"/>
              <w:rPr>
                <w:rFonts w:ascii="方正书宋_GBK" w:eastAsia="方正书宋_GBK" w:cs="Times New Roman"/>
              </w:rPr>
            </w:pPr>
            <w:r>
              <w:rPr>
                <w:rFonts w:ascii="方正书宋_GBK" w:eastAsia="方正书宋_GBK" w:cs="Times New Roman"/>
              </w:rPr>
              <w:t>批</w:t>
            </w:r>
          </w:p>
        </w:tc>
        <w:tc>
          <w:tcPr>
            <w:tcW w:w="850" w:type="dxa"/>
            <w:vAlign w:val="center"/>
          </w:tcPr>
          <w:p>
            <w:pPr>
              <w:spacing w:line="300" w:lineRule="exact"/>
              <w:jc w:val="left"/>
              <w:rPr>
                <w:rFonts w:ascii="方正书宋_GBK" w:eastAsia="方正书宋_GBK" w:cs="Times New Roman"/>
              </w:rPr>
            </w:pPr>
            <w:r>
              <w:rPr>
                <w:rFonts w:ascii="方正书宋_GBK" w:eastAsia="方正书宋_GBK" w:cs="Times New Roman"/>
              </w:rPr>
              <w:t>1</w:t>
            </w:r>
          </w:p>
        </w:tc>
        <w:tc>
          <w:tcPr>
            <w:tcW w:w="850" w:type="dxa"/>
            <w:vAlign w:val="center"/>
          </w:tcPr>
          <w:p>
            <w:pPr>
              <w:pStyle w:val="14"/>
              <w:spacing w:line="584" w:lineRule="exact"/>
            </w:pPr>
            <w:r>
              <w:t>41.38</w:t>
            </w:r>
          </w:p>
        </w:tc>
        <w:tc>
          <w:tcPr>
            <w:tcW w:w="964" w:type="dxa"/>
            <w:vAlign w:val="center"/>
          </w:tcPr>
          <w:p>
            <w:pPr>
              <w:pStyle w:val="14"/>
              <w:spacing w:line="584" w:lineRule="exact"/>
            </w:pPr>
            <w:r>
              <w:t>41.38</w:t>
            </w:r>
          </w:p>
        </w:tc>
        <w:tc>
          <w:tcPr>
            <w:tcW w:w="964" w:type="dxa"/>
            <w:vAlign w:val="center"/>
          </w:tcPr>
          <w:p>
            <w:pPr>
              <w:pStyle w:val="14"/>
              <w:spacing w:line="584" w:lineRule="exact"/>
            </w:pPr>
            <w:r>
              <w:t>41.38</w:t>
            </w: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c>
          <w:tcPr>
            <w:tcW w:w="964" w:type="dxa"/>
            <w:vAlign w:val="center"/>
          </w:tcPr>
          <w:p>
            <w:pPr>
              <w:pStyle w:val="14"/>
              <w:spacing w:line="584" w:lineRule="exact"/>
            </w:pPr>
          </w:p>
        </w:tc>
      </w:tr>
    </w:tbl>
    <w:p>
      <w:pPr>
        <w:spacing w:line="584" w:lineRule="exact"/>
        <w:ind w:firstLine="420"/>
        <w:rPr>
          <w:rFonts w:ascii="Times New Roman" w:hAnsi="Times New Roman"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ascii="Times New Roman" w:hAnsi="Times New Roman" w:eastAsia="仿宋_GB2312" w:cs="Times New Roman"/>
          <w:sz w:val="32"/>
          <w:szCs w:val="32"/>
        </w:rPr>
        <w:t>公安交通警察大队上年末固定资产金额为2977.33万元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241.38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主要为计算机设备、交通控制系统设备等，已列入政府采购预算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ascii="Times New Roman" w:hAnsi="Times New Roman" w:eastAsia="仿宋_GB2312" w:cs="Times New Roman"/>
                <w:kern w:val="0"/>
                <w:sz w:val="22"/>
              </w:rPr>
              <w:t>公安交通警察大队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2977.33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6123.3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639.45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3241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491.12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3795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1995.84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5"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ZWE1NTgzM2YwMDBiMDE5ZWJmNjg3NThhOTE4MWFhOWYifQ=="/>
  </w:docVars>
  <w:rsids>
    <w:rsidRoot w:val="00000000"/>
    <w:rsid w:val="0B832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0"/>
    <w:pPr>
      <w:ind w:left="200" w:leftChars="200"/>
    </w:pPr>
    <w:rPr>
      <w:rFonts w:ascii="Times New Roman" w:hAnsi="Times New Roman" w:eastAsia="宋体" w:cs="Times New Roman"/>
      <w:szCs w:val="24"/>
    </w:rPr>
  </w:style>
  <w:style w:type="character" w:styleId="10">
    <w:name w:val="page number"/>
    <w:qFormat/>
    <w:uiPriority w:val="0"/>
  </w:style>
  <w:style w:type="character" w:styleId="11">
    <w:name w:val="footnote reference"/>
    <w:qFormat/>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单元格样式1"/>
    <w:basedOn w:val="1"/>
    <w:qFormat/>
    <w:uiPriority w:val="0"/>
    <w:pPr>
      <w:widowControl/>
      <w:jc w:val="center"/>
    </w:pPr>
    <w:rPr>
      <w:rFonts w:asci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eastAsia="方正书宋_GBK" w:cs="方正书宋_GBK"/>
      <w:kern w:val="0"/>
      <w:szCs w:val="24"/>
      <w:lang w:eastAsia="uk-UA"/>
    </w:rPr>
  </w:style>
  <w:style w:type="paragraph" w:customStyle="1" w:styleId="15">
    <w:name w:val="单元格样式2"/>
    <w:basedOn w:val="1"/>
    <w:uiPriority w:val="0"/>
    <w:pPr>
      <w:widowControl/>
      <w:jc w:val="left"/>
    </w:pPr>
    <w:rPr>
      <w:rFonts w:asci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eastAsia="方正书宋_GBK" w:cs="方正书宋_GBK"/>
      <w:b/>
      <w:kern w:val="0"/>
      <w:szCs w:val="24"/>
      <w:lang w:eastAsia="uk-UA"/>
    </w:rPr>
  </w:style>
  <w:style w:type="paragraph" w:customStyle="1" w:styleId="18">
    <w:name w:val="单元格样式7"/>
    <w:basedOn w:val="1"/>
    <w:uiPriority w:val="0"/>
    <w:pPr>
      <w:widowControl/>
      <w:jc w:val="right"/>
    </w:pPr>
    <w:rPr>
      <w:rFonts w:asci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32</Pages>
  <Words>13390</Words>
  <Characters>14432</Characters>
  <Lines>2026</Lines>
  <Paragraphs>1498</Paragraphs>
  <TotalTime>75</TotalTime>
  <ScaleCrop>false</ScaleCrop>
  <LinksUpToDate>false</LinksUpToDate>
  <CharactersWithSpaces>14601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2023-03-27T06:04:40Z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