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大城县大城县</w:t>
      </w:r>
      <w:r>
        <w:rPr>
          <w:rFonts w:hint="eastAsia" w:ascii="Times New Roman" w:hAnsi="Times New Roman" w:eastAsia="方正小标宋简体" w:cs="Times New Roman"/>
          <w:sz w:val="44"/>
          <w:szCs w:val="44"/>
          <w:lang w:val="en-US" w:eastAsia="zh-CN"/>
        </w:rPr>
        <w:t>应急管理局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大城县大城县</w:t>
      </w:r>
      <w:r>
        <w:rPr>
          <w:rFonts w:hint="eastAsia" w:ascii="Times New Roman" w:hAnsi="Times New Roman" w:eastAsia="仿宋_GB2312" w:cs="Times New Roman"/>
          <w:sz w:val="32"/>
          <w:szCs w:val="32"/>
          <w:lang w:val="en-US" w:eastAsia="zh-CN"/>
        </w:rPr>
        <w:t>应急管理局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承担县安全生产委员会的日常工作。具体职责是：组织实施国家和省、市有关安全生产的法律、法规和重大重大方针政策，落实县安委会有关抓好安全生产的各项措施；监督检查、指导协调县政府有关部门和各乡镇（区）人民政府（管委会）的安全生产工作；组织政府安全生产大检查和专项督查；参与研究有关部门在产业政策、资金投入、科技发展等工作中涉及安全生产的相关工作；负责组织县政府重大事故调查处理和办理结案工作；组织协调重特大事故应急救援工作；指导协调全县安全生产行政执法工作；承办县安委会召开的会议和重要活动，督促、检查安委会会议决定事项的贯彻落实情况；承办县安委会交办的其他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综合管理全县安全生产工作。组织起草贯彻执行国家、省、市安全生产方面法律法规的地方性文件，研究拟订安全生产工作方针政策的实施办法，组织实施工矿商贸行业安全生产标准及有关综合性安全生产规章规程。</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3、依法行使县安全生产综合监督管理职权，指导、协调和监督有关部门安全生产监督管理工作；制定全县安全生产发展规划；定期分析和预测全县安全生产形势，研究、协调和解决安全生产中的重大问题。</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负责发布全县安全生产信息，综合管理全县生产安全伤亡事故调度统计和安全生产行政执法分析工作；已发组织、协调重大事故的调差处理工作，参与特大事故的调查处理工作，并监督事故查处的落实情况；组织、指挥和协调安全生产应急救援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5、负责综合监督管理危险化学品和非煤矿山安全生产工作。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指导、协调全县安全生产检测检验工作；组织实施对工矿商贸企业安全生产条件和有关设备（特种设备除外，特种设备包括锅炉、压力容器、压力管道、电梯、游乐设施、客运索道等，下同）进行检测检验、安全评价、安全培训、安全咨询等社会中介组织的资质管理工作，并进行监督检查。</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组织、指导全县安全生产宣传教育工作，负责安全生产监督管理人员的培训、考核工作，依法组织、指导并监督特种作业人员（特种设备作业人员除外）的考核工作和生产经营单位主要经营管理者、安全管理人员的安全资格考核工作；监督检查生产经营单位安全培训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8、负责监督管理县管理的工矿商贸企业安全生产工作，依法监督工矿商贸企业贯彻执行安全生产法律、法规情况及其安全生产条件和有关设备（特种设备除外）、材料、劳动防护用品的安全管理工作。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依法监督检查新建、改建、扩建工程项目的安全设施与主体工程同时设计、同时施工、同时投产与使用情况；依法监督检查生产经营单位作业城所职业卫生情况和重大危险源监控、重大事故隐患的整改工作，依法查处不具备安全生产条件的生产经营单位。</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10、拟订安全生产科技规划，组织、指导安全生产重大科学技术研究和技术示范工作。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11、组织实施注册安全工程师执业资格制度，监督和指导注册安全工程师执业资格考试和注册工作。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12、组织开展安全生产方面的交流与合作。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13、承办县政府交办的其他事项</w:t>
      </w:r>
    </w:p>
    <w:p>
      <w:pPr>
        <w:spacing w:line="584" w:lineRule="exact"/>
        <w:ind w:firstLine="66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大城县应急管理局</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财政拨款</w:t>
            </w: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应急管理局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年预算收入1176.29万元，其中：一般公共预算收入1176.29万元，基金预算收入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年支出预算1176.29万元，其中基本支出1037.34万元，包括人员类项目经费979.02</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公用项目经费58.33</w:t>
      </w:r>
      <w:r>
        <w:rPr>
          <w:rFonts w:ascii="Times New Roman" w:hAnsi="Times New Roman" w:eastAsia="仿宋_GB2312" w:cs="Times New Roman"/>
          <w:sz w:val="32"/>
          <w:szCs w:val="32"/>
        </w:rPr>
        <w:t>万元；运转类其他及特定目标类项目支出138.95</w:t>
      </w:r>
      <w:r>
        <w:rPr>
          <w:rFonts w:ascii="Times New Roman" w:hAnsi="Times New Roman" w:eastAsia="仿宋_GB2312" w:cs="Times New Roman"/>
          <w:sz w:val="32"/>
          <w:szCs w:val="32"/>
        </w:rPr>
        <w:t>万元，主要为2023年关于提前下达2023年自然灾害救助专项资金预算指标的通知</w:t>
      </w:r>
      <w:r>
        <w:rPr>
          <w:rFonts w:ascii="Times New Roman" w:hAnsi="Times New Roman" w:eastAsia="仿宋_GB2312" w:cs="Times New Roman"/>
          <w:sz w:val="32"/>
          <w:szCs w:val="32"/>
        </w:rPr>
        <w:t>、2023年建档立卡脱贫户生产生活补助金</w:t>
      </w:r>
      <w:r>
        <w:rPr>
          <w:rFonts w:ascii="Times New Roman" w:hAnsi="Times New Roman" w:eastAsia="仿宋_GB2312" w:cs="Times New Roman"/>
          <w:sz w:val="32"/>
          <w:szCs w:val="32"/>
        </w:rPr>
        <w:t>、劳务派遣人员经费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年预算收支安排1176.29万元，较20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lang w:val="en-US" w:eastAsia="zh-CN"/>
        </w:rPr>
        <w:t>4.8095</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234.579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人员工资及保险</w:t>
      </w:r>
      <w:r>
        <w:rPr>
          <w:rFonts w:ascii="Times New Roman" w:hAnsi="Times New Roman" w:eastAsia="仿宋_GB2312" w:cs="Times New Roman"/>
          <w:sz w:val="32"/>
          <w:szCs w:val="32"/>
        </w:rPr>
        <w:t>支出；项目支出减少</w:t>
      </w:r>
      <w:r>
        <w:rPr>
          <w:rFonts w:hint="eastAsia" w:ascii="Times New Roman" w:hAnsi="Times New Roman" w:eastAsia="仿宋_GB2312" w:cs="Times New Roman"/>
          <w:sz w:val="32"/>
          <w:szCs w:val="32"/>
          <w:lang w:val="en-US" w:eastAsia="zh-CN"/>
        </w:rPr>
        <w:t>239.3885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减少</w:t>
      </w:r>
      <w:r>
        <w:rPr>
          <w:rFonts w:hint="default" w:ascii="Times New Roman" w:hAnsi="Times New Roman" w:eastAsia="仿宋_GB2312" w:cs="Times New Roman"/>
          <w:sz w:val="32"/>
          <w:szCs w:val="32"/>
          <w:lang w:val="en-US" w:eastAsia="zh-CN"/>
        </w:rPr>
        <w:t>应急管理信息化基</w:t>
      </w:r>
      <w:r>
        <w:rPr>
          <w:rFonts w:hint="default" w:ascii="Times New Roman" w:hAnsi="Times New Roman" w:eastAsia="仿宋_GB2312" w:cs="Times New Roman"/>
          <w:sz w:val="28"/>
          <w:lang w:val="en-US" w:eastAsia="zh-CN"/>
        </w:rPr>
        <w:t>础</w:t>
      </w:r>
      <w:r>
        <w:rPr>
          <w:rFonts w:hint="eastAsia" w:ascii="Times New Roman" w:hAnsi="Times New Roman" w:eastAsia="仿宋_GB2312" w:cs="Times New Roman"/>
          <w:sz w:val="32"/>
          <w:szCs w:val="32"/>
          <w:lang w:eastAsia="zh-CN"/>
        </w:rPr>
        <w:t>建设资金、</w:t>
      </w:r>
      <w:r>
        <w:rPr>
          <w:rFonts w:hint="default" w:ascii="Times New Roman" w:hAnsi="Times New Roman" w:eastAsia="仿宋_GB2312" w:cs="Times New Roman"/>
          <w:sz w:val="32"/>
          <w:szCs w:val="32"/>
          <w:lang w:val="en-US" w:eastAsia="zh-CN"/>
        </w:rPr>
        <w:t>组织应急预案编制及应急演练资金</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58.33</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增加0</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val="en-US" w:eastAsia="zh-CN"/>
        </w:rPr>
        <w:t>增加0万元</w:t>
      </w:r>
      <w:r>
        <w:rPr>
          <w:rFonts w:ascii="Times New Roman" w:hAnsi="Times New Roman" w:eastAsia="仿宋_GB2312" w:cs="Times New Roman"/>
          <w:sz w:val="32"/>
          <w:szCs w:val="32"/>
        </w:rPr>
        <w:t>，公务用车运维费增</w:t>
      </w:r>
      <w:r>
        <w:rPr>
          <w:rFonts w:hint="eastAsia" w:ascii="Times New Roman" w:hAnsi="Times New Roman" w:eastAsia="仿宋_GB2312" w:cs="Times New Roman"/>
          <w:sz w:val="32"/>
          <w:szCs w:val="32"/>
        </w:rPr>
        <w:t>加</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万元增</w:t>
      </w:r>
      <w:r>
        <w:rPr>
          <w:rFonts w:hint="eastAsia" w:ascii="Times New Roman" w:hAnsi="Times New Roman" w:eastAsia="仿宋_GB2312" w:cs="Times New Roman"/>
          <w:sz w:val="32"/>
          <w:szCs w:val="32"/>
        </w:rPr>
        <w:t>加</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年相比持平，无增减变化。</w:t>
      </w:r>
    </w:p>
    <w:p>
      <w:pPr>
        <w:numPr>
          <w:ilvl w:val="0"/>
          <w:numId w:val="1"/>
        </w:num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预算绩效信息</w:t>
      </w:r>
    </w:p>
    <w:p>
      <w:pPr>
        <w:numPr>
          <w:numId w:val="0"/>
        </w:num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通过督导检查全县安全生产，最大限度地发现、纠正、督促企业消除各类隐患，预防和减少事故的发生，确保全县安全生产形势持续稳定好转。科学准确进行重大危险源等级界定；有效开展监测数据的综合分析、数据发布工作；督促企业切实加强危险源监控，有效治理隐患，落实监管责任。基本建成全县安全生产隐患排查治理体系，提高生产经营单位建设标准，规范安全生产操作规程，提升特种作业人员安全操作能力和执法监察能力和水平，加大安全生产宣传和信息公开力度，提高全社会安全生产意识，提高事故调查工作的准确性、真实性和可靠性，组织完成安全生产责任目标考核，推进企业诚信和承诺制相关工作制度化、信息化。完成科技成果奖励和推广应用工作。加强高危行业安全生产事故排查和事故隐患治理力度。理顺应急救援工作机制，推动应急救援指挥中心和应急平台建设，提高突发事件的应急救援能力，保证政府及时采取应对措施，避免或降低事故及其危害程度。增强组织协调能力，提高应急救援效果。指导系统业务活动，依法开展网上行政服务，保障各项业务工作畅通。加强资产管理、完善机关基础建设，保障机关各项工作高效运转。加强预防及演练。</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3"/>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（一）通过日常安全生产监督，进一步完善监管体系</w:t>
      </w:r>
    </w:p>
    <w:p>
      <w:pPr>
        <w:pStyle w:val="23"/>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绩效目标：组织全县安全生产综合监督管理</w:t>
      </w:r>
    </w:p>
    <w:p>
      <w:pPr>
        <w:pStyle w:val="23"/>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绩效指标：构建和完善安全生产监管体系</w:t>
      </w:r>
    </w:p>
    <w:p>
      <w:pPr>
        <w:pStyle w:val="23"/>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（二）对重点行业安全加强监督管理，减少事故发生</w:t>
      </w:r>
    </w:p>
    <w:p>
      <w:pPr>
        <w:pStyle w:val="23"/>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绩效目标：重点行业安全生产监管</w:t>
      </w:r>
    </w:p>
    <w:p>
      <w:pPr>
        <w:pStyle w:val="23"/>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绩效指标：加强高危重点行业、商贸及金属非金属矿山安全生产监管</w:t>
      </w:r>
    </w:p>
    <w:p>
      <w:pPr>
        <w:pStyle w:val="23"/>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（三）编制应急预案及演练，提高灾害应急能力</w:t>
      </w:r>
    </w:p>
    <w:p>
      <w:pPr>
        <w:pStyle w:val="23"/>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绩效目标：组织指挥和协调全县安全生产应急救援</w:t>
      </w:r>
    </w:p>
    <w:p>
      <w:pPr>
        <w:pStyle w:val="23"/>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绩效指标：组织应急预案编制及应急演练，加强应急救援体系建设</w:t>
      </w:r>
    </w:p>
    <w:p>
      <w:pPr>
        <w:pStyle w:val="23"/>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（四）通过督导检查全县安全生产，确保全县安全生产形势持续稳定</w:t>
      </w:r>
    </w:p>
    <w:p>
      <w:pPr>
        <w:pStyle w:val="23"/>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绩效目标：安全生产政务管理</w:t>
      </w:r>
    </w:p>
    <w:p>
      <w:pPr>
        <w:pStyle w:val="23"/>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绩效指标：综合事务管理，保障日常工作有序进行。</w:t>
      </w:r>
    </w:p>
    <w:p>
      <w:pPr>
        <w:pStyle w:val="23"/>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（五）做好自然灾害防治工作，提高灾害防护意识</w:t>
      </w:r>
    </w:p>
    <w:p>
      <w:pPr>
        <w:pStyle w:val="23"/>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绩效目标：自然灾害防治</w:t>
      </w:r>
    </w:p>
    <w:p>
      <w:pPr>
        <w:pStyle w:val="23"/>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绩效指标：森林草原防火，防汛抗旱，地质灾害防治防御，提高应对能力</w:t>
      </w:r>
    </w:p>
    <w:p>
      <w:pPr>
        <w:spacing w:line="584" w:lineRule="exact"/>
        <w:ind w:firstLine="643" w:firstLineChars="200"/>
        <w:rPr>
          <w:rFonts w:hint="eastAsia" w:ascii="楷体_GB2312" w:eastAsia="楷体_GB2312" w:cs="Times New Roman"/>
          <w:b/>
          <w:sz w:val="32"/>
          <w:szCs w:val="32"/>
          <w:lang w:val="en-US" w:eastAsia="zh-CN"/>
        </w:rPr>
      </w:pPr>
      <w:r>
        <w:rPr>
          <w:rFonts w:hint="eastAsia" w:ascii="楷体_GB2312" w:eastAsia="楷体_GB2312" w:cs="Times New Roman"/>
          <w:b/>
          <w:sz w:val="32"/>
          <w:szCs w:val="32"/>
          <w:lang w:val="en-US" w:eastAsia="zh-CN"/>
        </w:rPr>
        <w:t>（三）工作保障措施</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（一）加强安全生产执法监察检查、加强重大危险源安全管理、构建和完善安全生产监管体系、促进安全生产科学技术研究与推广应用。</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（二）加强高危重点行业、商贸及金属非金属矿山安全生产监管。</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（三）组织应急预案编制及应急演练，加强应急救援体系建设，组织实施应急处置与救援。</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完善预算绩效管理制度、资金管理办法、工作保障制度，做好会议组织管理、信息化建设与维护、机关财务和资产管理、标准化建设、基建及维修、大型设备购置、人事管理、党务管理、老干部工作等。负责直属企事业单位管理工作。</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（五）要求开展绩效运行监控，发现问题及时采取措施，确保绩效目标如期保质实现。要求开展上年度部门预算绩效自评和重点评价工作，对评价中发现的问题及时整改，调整优化支出结构， 提高财政资金使用效益。完善财务管理制度，严格审批程序加强固定资产登记、使用和报废处置管理，做到支出合理，物尽其用。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（六）加强人员培训，提高本部门职工业务素质；加强调研，提出优化财政资金配置、提高资金使用效益的意见；加大宣传力度，强化预算绩效管理意识，促进预算绩 效管理水平进一步提升。</w:t>
      </w:r>
    </w:p>
    <w:p>
      <w:pPr>
        <w:overflowPunct w:val="0"/>
        <w:adjustRightInd w:val="0"/>
        <w:snapToGrid w:val="0"/>
        <w:spacing w:afterLines="50" w:line="584" w:lineRule="exact"/>
        <w:ind w:firstLine="627" w:firstLineChars="196"/>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（七）做好全县地质灾害防治、森林草原防火和防汛抗旱等工作。</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spacing w:line="584" w:lineRule="exact"/>
            </w:pPr>
          </w:p>
        </w:tc>
        <w:tc>
          <w:tcPr>
            <w:tcW w:w="897" w:type="dxa"/>
            <w:vMerge w:val="continue"/>
            <w:tcBorders>
              <w:tl2br w:val="nil"/>
              <w:tr2bl w:val="nil"/>
            </w:tcBorders>
            <w:vAlign w:val="center"/>
          </w:tcPr>
          <w:p>
            <w:pPr>
              <w:spacing w:line="584" w:lineRule="exact"/>
            </w:pPr>
          </w:p>
        </w:tc>
        <w:tc>
          <w:tcPr>
            <w:tcW w:w="2172"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lang w:eastAsia="zh-CN"/>
              </w:rPr>
              <w:t>实施项目数量</w:t>
            </w:r>
          </w:p>
        </w:tc>
        <w:tc>
          <w:tcPr>
            <w:tcW w:w="2172"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lang w:eastAsia="zh-CN"/>
              </w:rPr>
              <w:t>实施项目数量</w:t>
            </w:r>
          </w:p>
        </w:tc>
        <w:tc>
          <w:tcPr>
            <w:tcW w:w="1483"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lang w:eastAsia="zh-CN"/>
              </w:rPr>
              <w:t>实施项目数量情况</w:t>
            </w:r>
          </w:p>
        </w:tc>
        <w:tc>
          <w:tcPr>
            <w:tcW w:w="543"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3</w:t>
            </w:r>
          </w:p>
        </w:tc>
        <w:tc>
          <w:tcPr>
            <w:tcW w:w="573"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个</w:t>
            </w:r>
          </w:p>
        </w:tc>
        <w:tc>
          <w:tcPr>
            <w:tcW w:w="1277"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质量达标率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质量达标程度</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质量达标情况</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质量达标率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完成及时性</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完成效率</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及时程度</w:t>
            </w: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及时</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完成及时性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成本控制率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成本控制</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成本控制在预算内</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rPr>
            </w:pPr>
            <w:r>
              <w:rPr>
                <w:rFonts w:hint="eastAsia" w:ascii="方正书宋_GBK" w:eastAsia="方正书宋_GBK"/>
                <w:lang w:val="en-US" w:eastAsia="zh-CN"/>
              </w:rPr>
              <w:t>138.95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万元</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成本控制率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维持社会稳定</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维稳程度</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降低安全生产隐患</w:t>
            </w: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显著</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维持社会稳定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经济</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生态</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lang w:eastAsia="zh-CN"/>
              </w:rPr>
              <w:t>项目持续发挥作用期限</w:t>
            </w:r>
          </w:p>
        </w:tc>
        <w:tc>
          <w:tcPr>
            <w:tcW w:w="2172"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lang w:eastAsia="zh-CN"/>
              </w:rPr>
              <w:t>影响时效</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lang w:eastAsia="zh-CN"/>
              </w:rPr>
              <w:t>项目可持续影响</w:t>
            </w: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可以</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项目持续发挥作用期限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服务群众满意度</w:t>
            </w:r>
          </w:p>
        </w:tc>
        <w:tc>
          <w:tcPr>
            <w:tcW w:w="2172" w:type="dxa"/>
            <w:tcBorders>
              <w:tl2br w:val="nil"/>
              <w:tr2bl w:val="nil"/>
            </w:tcBorders>
            <w:noWrap/>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满意程度</w:t>
            </w:r>
          </w:p>
        </w:tc>
        <w:tc>
          <w:tcPr>
            <w:tcW w:w="1483" w:type="dxa"/>
            <w:tcBorders>
              <w:tl2br w:val="nil"/>
              <w:tr2bl w:val="nil"/>
            </w:tcBorders>
            <w:noWrap/>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服务群众满意度</w:t>
            </w:r>
          </w:p>
        </w:tc>
        <w:tc>
          <w:tcPr>
            <w:tcW w:w="54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服务群众满意度</w:t>
            </w:r>
          </w:p>
        </w:tc>
      </w:tr>
    </w:tbl>
    <w:p>
      <w:pPr>
        <w:spacing w:line="584" w:lineRule="exact"/>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before="0" w:after="0"/>
        <w:ind w:firstLine="560"/>
        <w:jc w:val="left"/>
        <w:outlineLvl w:val="3"/>
        <w:rPr>
          <w:rFonts w:ascii="Times New Roman" w:hAnsi="Times New Roman" w:eastAsia="仿宋_GB2312" w:cs="Times New Roman"/>
        </w:rPr>
      </w:pPr>
      <w:r>
        <w:rPr>
          <w:rFonts w:ascii="Times New Roman" w:hAnsi="Times New Roman" w:eastAsia="仿宋_GB2312" w:cs="Times New Roman"/>
          <w:sz w:val="28"/>
        </w:rPr>
        <w:t>1.2023年关于提前下达2023年自然灾害救助专项资金预算指标的通知绩效目标表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before="0" w:after="0"/>
              <w:ind w:firstLine="560"/>
              <w:jc w:val="left"/>
              <w:outlineLvl w:val="3"/>
              <w:rPr>
                <w:rFonts w:ascii="Times New Roman" w:hAnsi="Times New Roman" w:eastAsia="仿宋_GB2312" w:cs="Times New Roman"/>
                <w:sz w:val="28"/>
              </w:rPr>
            </w:pPr>
            <w:r>
              <w:rPr>
                <w:rFonts w:ascii="Times New Roman" w:hAnsi="Times New Roman" w:eastAsia="仿宋_GB2312" w:cs="Times New Roman"/>
                <w:sz w:val="28"/>
              </w:rPr>
              <w:t>1.目标内容1确保农村住房保险在我县全面开展，实现全覆盖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before="0" w:after="0"/>
              <w:ind w:firstLine="560"/>
              <w:jc w:val="left"/>
              <w:outlineLvl w:val="3"/>
              <w:rPr>
                <w:rFonts w:ascii="Times New Roman" w:hAnsi="Times New Roman" w:eastAsia="仿宋_GB2312" w:cs="Times New Roman"/>
                <w:sz w:val="28"/>
              </w:rPr>
            </w:pPr>
            <w:r>
              <w:rPr>
                <w:rFonts w:ascii="Times New Roman" w:hAnsi="Times New Roman" w:eastAsia="仿宋_GB2312" w:cs="Times New Roman"/>
                <w:sz w:val="28"/>
              </w:rPr>
              <w:t>二级指标</w:t>
            </w:r>
          </w:p>
        </w:tc>
        <w:tc>
          <w:tcPr>
            <w:tcW w:w="1985" w:type="dxa"/>
            <w:shd w:val="clear" w:color="auto" w:fill="auto"/>
            <w:vAlign w:val="center"/>
          </w:tcPr>
          <w:p>
            <w:pPr>
              <w:spacing w:before="0" w:after="0"/>
              <w:ind w:firstLine="560"/>
              <w:jc w:val="left"/>
              <w:outlineLvl w:val="3"/>
              <w:rPr>
                <w:rFonts w:ascii="Times New Roman" w:hAnsi="Times New Roman" w:eastAsia="仿宋_GB2312" w:cs="Times New Roman"/>
                <w:sz w:val="28"/>
              </w:rPr>
            </w:pPr>
            <w:r>
              <w:rPr>
                <w:rFonts w:ascii="Times New Roman" w:hAnsi="Times New Roman" w:eastAsia="仿宋_GB2312" w:cs="Times New Roman"/>
                <w:sz w:val="28"/>
              </w:rPr>
              <w:t>三级指标</w:t>
            </w:r>
          </w:p>
        </w:tc>
        <w:tc>
          <w:tcPr>
            <w:tcW w:w="3402" w:type="dxa"/>
            <w:shd w:val="clear" w:color="auto" w:fill="auto"/>
            <w:vAlign w:val="center"/>
          </w:tcPr>
          <w:p>
            <w:pPr>
              <w:spacing w:before="0" w:after="0"/>
              <w:ind w:firstLine="560"/>
              <w:jc w:val="left"/>
              <w:outlineLvl w:val="3"/>
              <w:rPr>
                <w:rFonts w:ascii="Times New Roman" w:hAnsi="Times New Roman" w:eastAsia="仿宋_GB2312" w:cs="Times New Roman"/>
                <w:sz w:val="28"/>
              </w:rPr>
            </w:pPr>
            <w:r>
              <w:rPr>
                <w:rFonts w:ascii="Times New Roman" w:hAnsi="Times New Roman" w:eastAsia="仿宋_GB2312" w:cs="Times New Roman"/>
                <w:sz w:val="28"/>
              </w:rPr>
              <w:t>绩效指标描述</w:t>
            </w:r>
          </w:p>
        </w:tc>
        <w:tc>
          <w:tcPr>
            <w:tcW w:w="1843" w:type="dxa"/>
            <w:shd w:val="clear" w:color="auto" w:fill="auto"/>
            <w:vAlign w:val="center"/>
          </w:tcPr>
          <w:p>
            <w:pPr>
              <w:spacing w:before="0" w:after="0"/>
              <w:ind w:firstLine="560"/>
              <w:jc w:val="left"/>
              <w:outlineLvl w:val="3"/>
              <w:rPr>
                <w:rFonts w:ascii="Times New Roman" w:hAnsi="Times New Roman" w:eastAsia="仿宋_GB2312" w:cs="Times New Roman"/>
                <w:sz w:val="28"/>
              </w:rPr>
            </w:pPr>
            <w:r>
              <w:rPr>
                <w:rFonts w:ascii="Times New Roman" w:hAnsi="Times New Roman" w:eastAsia="仿宋_GB2312" w:cs="Times New Roman"/>
                <w:sz w:val="28"/>
              </w:rPr>
              <w:t>指标值</w:t>
            </w:r>
          </w:p>
        </w:tc>
        <w:tc>
          <w:tcPr>
            <w:tcW w:w="2155" w:type="dxa"/>
            <w:shd w:val="clear" w:color="auto" w:fill="auto"/>
            <w:vAlign w:val="center"/>
          </w:tcPr>
          <w:p>
            <w:pPr>
              <w:spacing w:before="0" w:after="0"/>
              <w:ind w:firstLine="560"/>
              <w:jc w:val="left"/>
              <w:outlineLvl w:val="3"/>
              <w:rPr>
                <w:rFonts w:ascii="Times New Roman" w:hAnsi="Times New Roman" w:eastAsia="仿宋_GB2312" w:cs="Times New Roman"/>
                <w:sz w:val="28"/>
              </w:rPr>
            </w:pPr>
            <w:r>
              <w:rPr>
                <w:rFonts w:ascii="Times New Roman" w:hAnsi="Times New Roman" w:eastAsia="仿宋_GB2312" w:cs="Times New Roman"/>
                <w:sz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数量指标</w:t>
            </w:r>
          </w:p>
        </w:tc>
        <w:tc>
          <w:tcPr>
            <w:tcW w:w="1985" w:type="dxa"/>
            <w:shd w:val="clear" w:color="auto" w:fill="auto"/>
            <w:vAlign w:val="center"/>
          </w:tcPr>
          <w:p>
            <w:pPr>
              <w:pStyle w:val="18"/>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参保率</w:t>
            </w:r>
          </w:p>
        </w:tc>
        <w:tc>
          <w:tcPr>
            <w:tcW w:w="3402" w:type="dxa"/>
            <w:shd w:val="clear" w:color="auto" w:fill="auto"/>
            <w:vAlign w:val="center"/>
          </w:tcPr>
          <w:p>
            <w:pPr>
              <w:pStyle w:val="18"/>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农村保险覆盖情况</w:t>
            </w:r>
          </w:p>
        </w:tc>
        <w:tc>
          <w:tcPr>
            <w:tcW w:w="1843" w:type="dxa"/>
            <w:shd w:val="clear" w:color="auto" w:fill="auto"/>
            <w:vAlign w:val="center"/>
          </w:tcPr>
          <w:p>
            <w:pPr>
              <w:pStyle w:val="18"/>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100%</w:t>
            </w:r>
          </w:p>
        </w:tc>
        <w:tc>
          <w:tcPr>
            <w:tcW w:w="2155" w:type="dxa"/>
            <w:shd w:val="clear" w:color="auto" w:fill="auto"/>
            <w:vAlign w:val="center"/>
          </w:tcPr>
          <w:p>
            <w:pPr>
              <w:spacing w:line="584" w:lineRule="exact"/>
              <w:jc w:val="left"/>
              <w:rPr>
                <w:rFonts w:ascii="Times New Roman" w:hAnsi="Times New Roman" w:eastAsia="仿宋_GB2312" w:cs="Times New Roman"/>
                <w:kern w:val="2"/>
                <w:sz w:val="28"/>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质量指标</w:t>
            </w:r>
          </w:p>
        </w:tc>
        <w:tc>
          <w:tcPr>
            <w:tcW w:w="1985" w:type="dxa"/>
            <w:shd w:val="clear" w:color="auto" w:fill="auto"/>
            <w:vAlign w:val="center"/>
          </w:tcPr>
          <w:p>
            <w:pPr>
              <w:pStyle w:val="18"/>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质量达标率</w:t>
            </w:r>
          </w:p>
        </w:tc>
        <w:tc>
          <w:tcPr>
            <w:tcW w:w="3402" w:type="dxa"/>
            <w:shd w:val="clear" w:color="auto" w:fill="auto"/>
            <w:vAlign w:val="center"/>
          </w:tcPr>
          <w:p>
            <w:pPr>
              <w:pStyle w:val="18"/>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质量达标程度</w:t>
            </w:r>
          </w:p>
        </w:tc>
        <w:tc>
          <w:tcPr>
            <w:tcW w:w="1843" w:type="dxa"/>
            <w:shd w:val="clear" w:color="auto" w:fill="auto"/>
            <w:vAlign w:val="center"/>
          </w:tcPr>
          <w:p>
            <w:pPr>
              <w:pStyle w:val="18"/>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≥90%</w:t>
            </w:r>
          </w:p>
        </w:tc>
        <w:tc>
          <w:tcPr>
            <w:tcW w:w="2155" w:type="dxa"/>
            <w:shd w:val="clear" w:color="auto" w:fill="auto"/>
            <w:vAlign w:val="center"/>
          </w:tcPr>
          <w:p>
            <w:pPr>
              <w:spacing w:line="584" w:lineRule="exact"/>
              <w:jc w:val="left"/>
              <w:rPr>
                <w:rFonts w:ascii="Times New Roman" w:hAnsi="Times New Roman" w:eastAsia="仿宋_GB2312" w:cs="Times New Roman"/>
                <w:kern w:val="2"/>
                <w:sz w:val="28"/>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时效指标</w:t>
            </w:r>
          </w:p>
        </w:tc>
        <w:tc>
          <w:tcPr>
            <w:tcW w:w="1985" w:type="dxa"/>
            <w:shd w:val="clear" w:color="auto" w:fill="auto"/>
            <w:vAlign w:val="center"/>
          </w:tcPr>
          <w:p>
            <w:pPr>
              <w:pStyle w:val="18"/>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完成及时性</w:t>
            </w:r>
          </w:p>
        </w:tc>
        <w:tc>
          <w:tcPr>
            <w:tcW w:w="3402" w:type="dxa"/>
            <w:shd w:val="clear" w:color="auto" w:fill="auto"/>
            <w:vAlign w:val="center"/>
          </w:tcPr>
          <w:p>
            <w:pPr>
              <w:pStyle w:val="18"/>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及时程度</w:t>
            </w:r>
          </w:p>
        </w:tc>
        <w:tc>
          <w:tcPr>
            <w:tcW w:w="1843" w:type="dxa"/>
            <w:shd w:val="clear" w:color="auto" w:fill="auto"/>
            <w:vAlign w:val="center"/>
          </w:tcPr>
          <w:p>
            <w:pPr>
              <w:pStyle w:val="18"/>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≥90%</w:t>
            </w:r>
          </w:p>
        </w:tc>
        <w:tc>
          <w:tcPr>
            <w:tcW w:w="2155" w:type="dxa"/>
            <w:shd w:val="clear" w:color="auto" w:fill="auto"/>
            <w:vAlign w:val="center"/>
          </w:tcPr>
          <w:p>
            <w:pPr>
              <w:spacing w:line="584" w:lineRule="exact"/>
              <w:jc w:val="left"/>
              <w:rPr>
                <w:rFonts w:ascii="Times New Roman" w:hAnsi="Times New Roman" w:eastAsia="仿宋_GB2312" w:cs="Times New Roman"/>
                <w:kern w:val="2"/>
                <w:sz w:val="28"/>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成本指标</w:t>
            </w:r>
          </w:p>
        </w:tc>
        <w:tc>
          <w:tcPr>
            <w:tcW w:w="1985" w:type="dxa"/>
            <w:shd w:val="clear" w:color="auto" w:fill="auto"/>
            <w:vAlign w:val="center"/>
          </w:tcPr>
          <w:p>
            <w:pPr>
              <w:pStyle w:val="18"/>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成本控制率</w:t>
            </w:r>
          </w:p>
        </w:tc>
        <w:tc>
          <w:tcPr>
            <w:tcW w:w="3402" w:type="dxa"/>
            <w:shd w:val="clear" w:color="auto" w:fill="auto"/>
            <w:vAlign w:val="center"/>
          </w:tcPr>
          <w:p>
            <w:pPr>
              <w:pStyle w:val="18"/>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成本控制在预算额度内</w:t>
            </w:r>
          </w:p>
        </w:tc>
        <w:tc>
          <w:tcPr>
            <w:tcW w:w="1843" w:type="dxa"/>
            <w:shd w:val="clear" w:color="auto" w:fill="auto"/>
            <w:vAlign w:val="center"/>
          </w:tcPr>
          <w:p>
            <w:pPr>
              <w:pStyle w:val="18"/>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≤60.5万元</w:t>
            </w:r>
          </w:p>
        </w:tc>
        <w:tc>
          <w:tcPr>
            <w:tcW w:w="2155" w:type="dxa"/>
            <w:shd w:val="clear" w:color="auto" w:fill="auto"/>
            <w:vAlign w:val="center"/>
          </w:tcPr>
          <w:p>
            <w:pPr>
              <w:spacing w:line="584" w:lineRule="exact"/>
              <w:jc w:val="left"/>
              <w:rPr>
                <w:rFonts w:ascii="Times New Roman" w:hAnsi="Times New Roman" w:eastAsia="仿宋_GB2312" w:cs="Times New Roman"/>
                <w:kern w:val="2"/>
                <w:sz w:val="28"/>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社会效益指标</w:t>
            </w:r>
          </w:p>
        </w:tc>
        <w:tc>
          <w:tcPr>
            <w:tcW w:w="1985" w:type="dxa"/>
            <w:shd w:val="clear" w:color="auto" w:fill="auto"/>
            <w:vAlign w:val="center"/>
          </w:tcPr>
          <w:p>
            <w:pPr>
              <w:pStyle w:val="18"/>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维稳程度</w:t>
            </w:r>
          </w:p>
        </w:tc>
        <w:tc>
          <w:tcPr>
            <w:tcW w:w="3402" w:type="dxa"/>
            <w:shd w:val="clear" w:color="auto" w:fill="auto"/>
            <w:vAlign w:val="center"/>
          </w:tcPr>
          <w:p>
            <w:pPr>
              <w:pStyle w:val="18"/>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保障人民群众基本生活</w:t>
            </w:r>
          </w:p>
        </w:tc>
        <w:tc>
          <w:tcPr>
            <w:tcW w:w="1843" w:type="dxa"/>
            <w:shd w:val="clear" w:color="auto" w:fill="auto"/>
            <w:vAlign w:val="center"/>
          </w:tcPr>
          <w:p>
            <w:pPr>
              <w:pStyle w:val="18"/>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≥90%</w:t>
            </w:r>
          </w:p>
        </w:tc>
        <w:tc>
          <w:tcPr>
            <w:tcW w:w="2155" w:type="dxa"/>
            <w:shd w:val="clear" w:color="auto" w:fill="auto"/>
            <w:vAlign w:val="center"/>
          </w:tcPr>
          <w:p>
            <w:pPr>
              <w:spacing w:line="584" w:lineRule="exact"/>
              <w:jc w:val="left"/>
              <w:rPr>
                <w:rFonts w:ascii="Times New Roman" w:hAnsi="Times New Roman" w:eastAsia="仿宋_GB2312" w:cs="Times New Roman"/>
                <w:kern w:val="2"/>
                <w:sz w:val="28"/>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可持续影响指标</w:t>
            </w:r>
          </w:p>
        </w:tc>
        <w:tc>
          <w:tcPr>
            <w:tcW w:w="1985"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可持续影响</w:t>
            </w:r>
          </w:p>
        </w:tc>
        <w:tc>
          <w:tcPr>
            <w:tcW w:w="3402"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可持续影响</w:t>
            </w:r>
          </w:p>
        </w:tc>
        <w:tc>
          <w:tcPr>
            <w:tcW w:w="1843"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≥90%</w:t>
            </w:r>
          </w:p>
        </w:tc>
        <w:tc>
          <w:tcPr>
            <w:tcW w:w="2155" w:type="dxa"/>
            <w:shd w:val="clear" w:color="auto" w:fill="auto"/>
            <w:vAlign w:val="center"/>
          </w:tcPr>
          <w:p>
            <w:pPr>
              <w:spacing w:line="584" w:lineRule="exact"/>
              <w:jc w:val="left"/>
              <w:rPr>
                <w:rFonts w:ascii="Times New Roman" w:hAnsi="Times New Roman" w:eastAsia="仿宋_GB2312" w:cs="Times New Roman"/>
                <w:kern w:val="2"/>
                <w:sz w:val="28"/>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服务对象满意度指标</w:t>
            </w:r>
          </w:p>
        </w:tc>
        <w:tc>
          <w:tcPr>
            <w:tcW w:w="1985"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服务对象满意度</w:t>
            </w:r>
          </w:p>
        </w:tc>
        <w:tc>
          <w:tcPr>
            <w:tcW w:w="3402"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服务对象满意度</w:t>
            </w:r>
          </w:p>
        </w:tc>
        <w:tc>
          <w:tcPr>
            <w:tcW w:w="1843"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≥90%</w:t>
            </w:r>
          </w:p>
        </w:tc>
        <w:tc>
          <w:tcPr>
            <w:tcW w:w="2155" w:type="dxa"/>
            <w:shd w:val="clear" w:color="auto" w:fill="auto"/>
            <w:vAlign w:val="center"/>
          </w:tcPr>
          <w:p>
            <w:pPr>
              <w:spacing w:line="584" w:lineRule="exact"/>
              <w:jc w:val="left"/>
              <w:rPr>
                <w:rFonts w:ascii="Times New Roman" w:hAnsi="Times New Roman" w:eastAsia="仿宋_GB2312" w:cs="Times New Roman"/>
                <w:kern w:val="2"/>
                <w:sz w:val="28"/>
                <w:szCs w:val="22"/>
                <w:lang w:val="en-US" w:eastAsia="zh-CN" w:bidi="ar-SA"/>
              </w:rPr>
            </w:pPr>
          </w:p>
        </w:tc>
      </w:tr>
    </w:tbl>
    <w:p>
      <w:pPr>
        <w:spacing w:line="584" w:lineRule="exact"/>
        <w:ind w:firstLine="560" w:firstLineChars="200"/>
        <w:jc w:val="left"/>
        <w:outlineLvl w:val="1"/>
        <w:rPr>
          <w:rFonts w:ascii="Times New Roman" w:hAnsi="Times New Roman" w:eastAsia="仿宋_GB2312" w:cs="Times New Roman"/>
          <w:sz w:val="28"/>
        </w:rPr>
      </w:pPr>
    </w:p>
    <w:p>
      <w:pPr>
        <w:spacing w:before="0" w:after="0"/>
        <w:ind w:firstLine="560"/>
        <w:jc w:val="left"/>
        <w:outlineLvl w:val="3"/>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2.2023年建档立卡脱贫户生产生活补助金绩效目标表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1.2023年建档立卡脱贫户生产生活补助金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指标值</w:t>
            </w:r>
          </w:p>
        </w:tc>
        <w:tc>
          <w:tcPr>
            <w:tcW w:w="2155" w:type="dxa"/>
            <w:shd w:val="clear" w:color="auto" w:fill="auto"/>
            <w:vAlign w:val="center"/>
          </w:tcPr>
          <w:p>
            <w:pPr>
              <w:spacing w:line="584" w:lineRule="exact"/>
              <w:jc w:val="center"/>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产出指标</w:t>
            </w:r>
          </w:p>
        </w:tc>
        <w:tc>
          <w:tcPr>
            <w:tcW w:w="2268"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数量指标</w:t>
            </w:r>
          </w:p>
        </w:tc>
        <w:tc>
          <w:tcPr>
            <w:tcW w:w="1985"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帮扶人数3人</w:t>
            </w:r>
          </w:p>
        </w:tc>
        <w:tc>
          <w:tcPr>
            <w:tcW w:w="3402"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帮扶人数3人</w:t>
            </w:r>
          </w:p>
        </w:tc>
        <w:tc>
          <w:tcPr>
            <w:tcW w:w="1843"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3人</w:t>
            </w:r>
          </w:p>
        </w:tc>
        <w:tc>
          <w:tcPr>
            <w:tcW w:w="2155"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kern w:val="2"/>
                <w:sz w:val="28"/>
                <w:szCs w:val="22"/>
                <w:lang w:val="en-US" w:eastAsia="zh-CN" w:bidi="ar-SA"/>
              </w:rPr>
            </w:pPr>
          </w:p>
        </w:tc>
        <w:tc>
          <w:tcPr>
            <w:tcW w:w="2268"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质量指标</w:t>
            </w:r>
          </w:p>
        </w:tc>
        <w:tc>
          <w:tcPr>
            <w:tcW w:w="1985"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质量达标率</w:t>
            </w:r>
          </w:p>
        </w:tc>
        <w:tc>
          <w:tcPr>
            <w:tcW w:w="3402"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质量达标程度</w:t>
            </w:r>
          </w:p>
        </w:tc>
        <w:tc>
          <w:tcPr>
            <w:tcW w:w="1843"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≥90%</w:t>
            </w:r>
          </w:p>
        </w:tc>
        <w:tc>
          <w:tcPr>
            <w:tcW w:w="2155"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kern w:val="2"/>
                <w:sz w:val="28"/>
                <w:szCs w:val="22"/>
                <w:lang w:val="en-US" w:eastAsia="zh-CN" w:bidi="ar-SA"/>
              </w:rPr>
            </w:pPr>
          </w:p>
        </w:tc>
        <w:tc>
          <w:tcPr>
            <w:tcW w:w="2268"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时效指标</w:t>
            </w:r>
          </w:p>
        </w:tc>
        <w:tc>
          <w:tcPr>
            <w:tcW w:w="1985"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完成及时性</w:t>
            </w:r>
          </w:p>
        </w:tc>
        <w:tc>
          <w:tcPr>
            <w:tcW w:w="3402"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及时程度</w:t>
            </w:r>
          </w:p>
        </w:tc>
        <w:tc>
          <w:tcPr>
            <w:tcW w:w="1843"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≥90%</w:t>
            </w:r>
          </w:p>
        </w:tc>
        <w:tc>
          <w:tcPr>
            <w:tcW w:w="2155"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kern w:val="2"/>
                <w:sz w:val="28"/>
                <w:szCs w:val="22"/>
                <w:lang w:val="en-US" w:eastAsia="zh-CN" w:bidi="ar-SA"/>
              </w:rPr>
            </w:pPr>
          </w:p>
        </w:tc>
        <w:tc>
          <w:tcPr>
            <w:tcW w:w="2268"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成本指标</w:t>
            </w:r>
          </w:p>
        </w:tc>
        <w:tc>
          <w:tcPr>
            <w:tcW w:w="1985"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成本控制率</w:t>
            </w:r>
          </w:p>
        </w:tc>
        <w:tc>
          <w:tcPr>
            <w:tcW w:w="3402"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成本控制在预算额度内</w:t>
            </w:r>
          </w:p>
        </w:tc>
        <w:tc>
          <w:tcPr>
            <w:tcW w:w="1843"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≤0.6万元</w:t>
            </w:r>
          </w:p>
        </w:tc>
        <w:tc>
          <w:tcPr>
            <w:tcW w:w="2155"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效果指标</w:t>
            </w:r>
          </w:p>
        </w:tc>
        <w:tc>
          <w:tcPr>
            <w:tcW w:w="2268"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经济效益指标</w:t>
            </w:r>
          </w:p>
        </w:tc>
        <w:tc>
          <w:tcPr>
            <w:tcW w:w="1985"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帮扶3人</w:t>
            </w:r>
          </w:p>
        </w:tc>
        <w:tc>
          <w:tcPr>
            <w:tcW w:w="3402"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帮扶3人</w:t>
            </w:r>
          </w:p>
        </w:tc>
        <w:tc>
          <w:tcPr>
            <w:tcW w:w="1843"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3人</w:t>
            </w:r>
          </w:p>
        </w:tc>
        <w:tc>
          <w:tcPr>
            <w:tcW w:w="2155"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kern w:val="2"/>
                <w:sz w:val="28"/>
                <w:szCs w:val="22"/>
                <w:lang w:val="en-US" w:eastAsia="zh-CN" w:bidi="ar-SA"/>
              </w:rPr>
            </w:pPr>
          </w:p>
        </w:tc>
        <w:tc>
          <w:tcPr>
            <w:tcW w:w="2268" w:type="dxa"/>
            <w:shd w:val="clear" w:color="auto" w:fill="auto"/>
            <w:vAlign w:val="center"/>
          </w:tcPr>
          <w:p>
            <w:pPr>
              <w:pStyle w:val="18"/>
              <w:rPr>
                <w:rFonts w:ascii="Times New Roman" w:hAnsi="Times New Roman" w:eastAsia="仿宋_GB2312" w:cs="Times New Roman"/>
                <w:kern w:val="2"/>
                <w:sz w:val="28"/>
                <w:szCs w:val="22"/>
                <w:lang w:val="en-US" w:eastAsia="uk-UA" w:bidi="ar-SA"/>
              </w:rPr>
            </w:pPr>
          </w:p>
        </w:tc>
        <w:tc>
          <w:tcPr>
            <w:tcW w:w="1985" w:type="dxa"/>
            <w:shd w:val="clear" w:color="auto" w:fill="auto"/>
            <w:vAlign w:val="center"/>
          </w:tcPr>
          <w:p>
            <w:pPr>
              <w:pStyle w:val="18"/>
              <w:rPr>
                <w:rFonts w:ascii="Times New Roman" w:hAnsi="Times New Roman" w:eastAsia="仿宋_GB2312" w:cs="Times New Roman"/>
                <w:kern w:val="2"/>
                <w:sz w:val="28"/>
                <w:szCs w:val="22"/>
                <w:lang w:val="en-US" w:eastAsia="uk-UA" w:bidi="ar-SA"/>
              </w:rPr>
            </w:pPr>
          </w:p>
        </w:tc>
        <w:tc>
          <w:tcPr>
            <w:tcW w:w="3402" w:type="dxa"/>
            <w:shd w:val="clear" w:color="auto" w:fill="auto"/>
            <w:vAlign w:val="center"/>
          </w:tcPr>
          <w:p>
            <w:pPr>
              <w:pStyle w:val="18"/>
              <w:rPr>
                <w:rFonts w:ascii="Times New Roman" w:hAnsi="Times New Roman" w:eastAsia="仿宋_GB2312" w:cs="Times New Roman"/>
                <w:kern w:val="2"/>
                <w:sz w:val="28"/>
                <w:szCs w:val="22"/>
                <w:lang w:val="en-US" w:eastAsia="uk-UA" w:bidi="ar-SA"/>
              </w:rPr>
            </w:pPr>
          </w:p>
        </w:tc>
        <w:tc>
          <w:tcPr>
            <w:tcW w:w="1843" w:type="dxa"/>
            <w:shd w:val="clear" w:color="auto" w:fill="auto"/>
            <w:vAlign w:val="center"/>
          </w:tcPr>
          <w:p>
            <w:pPr>
              <w:pStyle w:val="18"/>
              <w:rPr>
                <w:rFonts w:ascii="Times New Roman" w:hAnsi="Times New Roman" w:eastAsia="仿宋_GB2312" w:cs="Times New Roman"/>
                <w:kern w:val="2"/>
                <w:sz w:val="28"/>
                <w:szCs w:val="22"/>
                <w:lang w:val="en-US" w:eastAsia="uk-UA" w:bidi="ar-SA"/>
              </w:rPr>
            </w:pPr>
          </w:p>
        </w:tc>
        <w:tc>
          <w:tcPr>
            <w:tcW w:w="2155" w:type="dxa"/>
            <w:shd w:val="clear" w:color="auto" w:fill="auto"/>
            <w:vAlign w:val="center"/>
          </w:tcPr>
          <w:p>
            <w:pPr>
              <w:pStyle w:val="18"/>
              <w:rPr>
                <w:rFonts w:ascii="Times New Roman" w:hAnsi="Times New Roman" w:eastAsia="仿宋_GB2312" w:cs="Times New Roman"/>
                <w:kern w:val="2"/>
                <w:sz w:val="28"/>
                <w:szCs w:val="22"/>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满意度指标</w:t>
            </w:r>
          </w:p>
        </w:tc>
        <w:tc>
          <w:tcPr>
            <w:tcW w:w="2268"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服务对象满意度指标</w:t>
            </w:r>
          </w:p>
        </w:tc>
        <w:tc>
          <w:tcPr>
            <w:tcW w:w="1985"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服务对象满意度</w:t>
            </w:r>
          </w:p>
        </w:tc>
        <w:tc>
          <w:tcPr>
            <w:tcW w:w="3402"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服务对象满意度</w:t>
            </w:r>
          </w:p>
        </w:tc>
        <w:tc>
          <w:tcPr>
            <w:tcW w:w="1843"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≥90%</w:t>
            </w:r>
          </w:p>
        </w:tc>
        <w:tc>
          <w:tcPr>
            <w:tcW w:w="2155"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工作计划</w:t>
            </w:r>
          </w:p>
        </w:tc>
      </w:tr>
    </w:tbl>
    <w:p>
      <w:pPr>
        <w:spacing w:before="0" w:after="0"/>
        <w:ind w:firstLine="560"/>
        <w:jc w:val="left"/>
        <w:outlineLvl w:val="3"/>
        <w:rPr>
          <w:rFonts w:ascii="Times New Roman" w:hAnsi="Times New Roman" w:eastAsia="仿宋_GB2312" w:cs="Times New Roman"/>
          <w:kern w:val="2"/>
          <w:sz w:val="28"/>
          <w:szCs w:val="22"/>
          <w:lang w:val="en-US" w:eastAsia="zh-CN" w:bidi="ar-SA"/>
        </w:rPr>
      </w:pPr>
      <w:bookmarkStart w:id="0" w:name="_Toc_4_4_0000000006"/>
      <w:r>
        <w:rPr>
          <w:rFonts w:ascii="Times New Roman" w:hAnsi="Times New Roman" w:eastAsia="仿宋_GB2312" w:cs="Times New Roman"/>
          <w:kern w:val="2"/>
          <w:sz w:val="28"/>
          <w:szCs w:val="22"/>
          <w:lang w:val="en-US" w:eastAsia="zh-CN" w:bidi="ar-SA"/>
        </w:rPr>
        <w:t>3.劳务派遣人员经费绩效目标表</w:t>
      </w:r>
      <w:bookmarkEnd w:id="0"/>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1.劳务派遣人员工资及保险保障经费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指标值</w:t>
            </w:r>
          </w:p>
        </w:tc>
        <w:tc>
          <w:tcPr>
            <w:tcW w:w="2155" w:type="dxa"/>
            <w:shd w:val="clear" w:color="auto" w:fill="auto"/>
            <w:vAlign w:val="center"/>
          </w:tcPr>
          <w:p>
            <w:pPr>
              <w:spacing w:line="584" w:lineRule="exact"/>
              <w:jc w:val="center"/>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产出指标</w:t>
            </w:r>
          </w:p>
        </w:tc>
        <w:tc>
          <w:tcPr>
            <w:tcW w:w="2268"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数量指标</w:t>
            </w:r>
          </w:p>
        </w:tc>
        <w:tc>
          <w:tcPr>
            <w:tcW w:w="1985"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保障人数</w:t>
            </w:r>
          </w:p>
        </w:tc>
        <w:tc>
          <w:tcPr>
            <w:tcW w:w="3402"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保障人数</w:t>
            </w:r>
          </w:p>
        </w:tc>
        <w:tc>
          <w:tcPr>
            <w:tcW w:w="1843"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20人</w:t>
            </w:r>
          </w:p>
        </w:tc>
        <w:tc>
          <w:tcPr>
            <w:tcW w:w="2155" w:type="dxa"/>
            <w:shd w:val="clear" w:color="auto" w:fill="auto"/>
            <w:vAlign w:val="center"/>
          </w:tcPr>
          <w:p>
            <w:pPr>
              <w:pStyle w:val="18"/>
              <w:rPr>
                <w:rFonts w:ascii="Times New Roman" w:hAnsi="Times New Roman" w:eastAsia="仿宋_GB2312" w:cs="Times New Roman"/>
                <w:kern w:val="2"/>
                <w:sz w:val="28"/>
                <w:szCs w:val="22"/>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kern w:val="2"/>
                <w:sz w:val="28"/>
                <w:szCs w:val="22"/>
                <w:lang w:val="en-US" w:eastAsia="zh-CN" w:bidi="ar-SA"/>
              </w:rPr>
            </w:pPr>
          </w:p>
        </w:tc>
        <w:tc>
          <w:tcPr>
            <w:tcW w:w="2268"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质量指标</w:t>
            </w:r>
          </w:p>
        </w:tc>
        <w:tc>
          <w:tcPr>
            <w:tcW w:w="1985"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工资福利等发放精准</w:t>
            </w:r>
          </w:p>
        </w:tc>
        <w:tc>
          <w:tcPr>
            <w:tcW w:w="3402"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工资福利等发放精准</w:t>
            </w:r>
          </w:p>
        </w:tc>
        <w:tc>
          <w:tcPr>
            <w:tcW w:w="1843" w:type="dxa"/>
            <w:shd w:val="clear" w:color="auto" w:fill="auto"/>
            <w:vAlign w:val="center"/>
          </w:tcPr>
          <w:p>
            <w:pPr>
              <w:pStyle w:val="18"/>
              <w:rPr>
                <w:rFonts w:hint="default"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100</w:t>
            </w:r>
            <w:r>
              <w:rPr>
                <w:rFonts w:hint="eastAsia" w:ascii="Times New Roman" w:hAnsi="Times New Roman" w:eastAsia="仿宋_GB2312" w:cs="Times New Roman"/>
                <w:kern w:val="2"/>
                <w:sz w:val="28"/>
                <w:szCs w:val="22"/>
                <w:lang w:val="en-US" w:eastAsia="zh-CN" w:bidi="ar-SA"/>
              </w:rPr>
              <w:t>%</w:t>
            </w:r>
          </w:p>
        </w:tc>
        <w:tc>
          <w:tcPr>
            <w:tcW w:w="2155" w:type="dxa"/>
            <w:shd w:val="clear" w:color="auto" w:fill="auto"/>
            <w:vAlign w:val="center"/>
          </w:tcPr>
          <w:p>
            <w:pPr>
              <w:pStyle w:val="18"/>
              <w:rPr>
                <w:rFonts w:ascii="Times New Roman" w:hAnsi="Times New Roman" w:eastAsia="仿宋_GB2312" w:cs="Times New Roman"/>
                <w:kern w:val="2"/>
                <w:sz w:val="28"/>
                <w:szCs w:val="22"/>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kern w:val="2"/>
                <w:sz w:val="28"/>
                <w:szCs w:val="22"/>
                <w:lang w:val="en-US" w:eastAsia="zh-CN" w:bidi="ar-SA"/>
              </w:rPr>
            </w:pPr>
          </w:p>
        </w:tc>
        <w:tc>
          <w:tcPr>
            <w:tcW w:w="2268"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时效指标</w:t>
            </w:r>
          </w:p>
        </w:tc>
        <w:tc>
          <w:tcPr>
            <w:tcW w:w="1985"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工资福利等发放及时性</w:t>
            </w:r>
          </w:p>
        </w:tc>
        <w:tc>
          <w:tcPr>
            <w:tcW w:w="3402"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工资福利等发放及时性</w:t>
            </w:r>
          </w:p>
        </w:tc>
        <w:tc>
          <w:tcPr>
            <w:tcW w:w="1843"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及时</w:t>
            </w:r>
          </w:p>
        </w:tc>
        <w:tc>
          <w:tcPr>
            <w:tcW w:w="2155" w:type="dxa"/>
            <w:shd w:val="clear" w:color="auto" w:fill="auto"/>
            <w:vAlign w:val="center"/>
          </w:tcPr>
          <w:p>
            <w:pPr>
              <w:pStyle w:val="18"/>
              <w:rPr>
                <w:rFonts w:ascii="Times New Roman" w:hAnsi="Times New Roman" w:eastAsia="仿宋_GB2312" w:cs="Times New Roman"/>
                <w:kern w:val="2"/>
                <w:sz w:val="28"/>
                <w:szCs w:val="22"/>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3"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kern w:val="2"/>
                <w:sz w:val="28"/>
                <w:szCs w:val="22"/>
                <w:lang w:val="en-US" w:eastAsia="zh-CN" w:bidi="ar-SA"/>
              </w:rPr>
            </w:pPr>
          </w:p>
        </w:tc>
        <w:tc>
          <w:tcPr>
            <w:tcW w:w="2268"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成本指标</w:t>
            </w:r>
          </w:p>
        </w:tc>
        <w:tc>
          <w:tcPr>
            <w:tcW w:w="1985"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工资福利等发放标准</w:t>
            </w:r>
          </w:p>
        </w:tc>
        <w:tc>
          <w:tcPr>
            <w:tcW w:w="3402"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工资福利等发放标准</w:t>
            </w:r>
          </w:p>
        </w:tc>
        <w:tc>
          <w:tcPr>
            <w:tcW w:w="1843"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标准</w:t>
            </w:r>
          </w:p>
        </w:tc>
        <w:tc>
          <w:tcPr>
            <w:tcW w:w="2155" w:type="dxa"/>
            <w:shd w:val="clear" w:color="auto" w:fill="auto"/>
            <w:vAlign w:val="center"/>
          </w:tcPr>
          <w:p>
            <w:pPr>
              <w:pStyle w:val="18"/>
              <w:rPr>
                <w:rFonts w:ascii="Times New Roman" w:hAnsi="Times New Roman" w:eastAsia="仿宋_GB2312" w:cs="Times New Roman"/>
                <w:kern w:val="2"/>
                <w:sz w:val="28"/>
                <w:szCs w:val="22"/>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效果指标</w:t>
            </w:r>
          </w:p>
        </w:tc>
        <w:tc>
          <w:tcPr>
            <w:tcW w:w="2268"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经济效益指标</w:t>
            </w:r>
          </w:p>
        </w:tc>
        <w:tc>
          <w:tcPr>
            <w:tcW w:w="1985"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加强工作人员归属感</w:t>
            </w:r>
          </w:p>
        </w:tc>
        <w:tc>
          <w:tcPr>
            <w:tcW w:w="3402"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加强工作人员归属感</w:t>
            </w:r>
          </w:p>
        </w:tc>
        <w:tc>
          <w:tcPr>
            <w:tcW w:w="1843"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加强</w:t>
            </w:r>
          </w:p>
        </w:tc>
        <w:tc>
          <w:tcPr>
            <w:tcW w:w="2155" w:type="dxa"/>
            <w:shd w:val="clear" w:color="auto" w:fill="auto"/>
            <w:vAlign w:val="center"/>
          </w:tcPr>
          <w:p>
            <w:pPr>
              <w:pStyle w:val="18"/>
              <w:rPr>
                <w:rFonts w:ascii="Times New Roman" w:hAnsi="Times New Roman" w:eastAsia="仿宋_GB2312" w:cs="Times New Roman"/>
                <w:kern w:val="2"/>
                <w:sz w:val="28"/>
                <w:szCs w:val="22"/>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kern w:val="2"/>
                <w:sz w:val="28"/>
                <w:szCs w:val="22"/>
                <w:lang w:val="en-US" w:eastAsia="zh-CN" w:bidi="ar-SA"/>
              </w:rPr>
            </w:pPr>
            <w:r>
              <w:rPr>
                <w:rFonts w:ascii="Times New Roman" w:hAnsi="Times New Roman" w:eastAsia="仿宋_GB2312" w:cs="Times New Roman"/>
                <w:kern w:val="2"/>
                <w:sz w:val="28"/>
                <w:szCs w:val="22"/>
                <w:lang w:val="en-US" w:eastAsia="zh-CN" w:bidi="ar-SA"/>
              </w:rPr>
              <w:t>满意度指标</w:t>
            </w:r>
          </w:p>
        </w:tc>
        <w:tc>
          <w:tcPr>
            <w:tcW w:w="2268"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服务对象满意度指标</w:t>
            </w:r>
          </w:p>
        </w:tc>
        <w:tc>
          <w:tcPr>
            <w:tcW w:w="1985"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单位人员满意度</w:t>
            </w:r>
          </w:p>
        </w:tc>
        <w:tc>
          <w:tcPr>
            <w:tcW w:w="3402" w:type="dxa"/>
            <w:shd w:val="clear" w:color="auto" w:fill="auto"/>
            <w:vAlign w:val="center"/>
          </w:tcPr>
          <w:p>
            <w:pPr>
              <w:pStyle w:val="18"/>
              <w:rPr>
                <w:rFonts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单位人员满意程度</w:t>
            </w:r>
          </w:p>
        </w:tc>
        <w:tc>
          <w:tcPr>
            <w:tcW w:w="1843" w:type="dxa"/>
            <w:shd w:val="clear" w:color="auto" w:fill="auto"/>
            <w:vAlign w:val="center"/>
          </w:tcPr>
          <w:p>
            <w:pPr>
              <w:pStyle w:val="18"/>
              <w:rPr>
                <w:rFonts w:hint="default" w:ascii="Times New Roman" w:hAnsi="Times New Roman" w:eastAsia="仿宋_GB2312" w:cs="Times New Roman"/>
                <w:kern w:val="2"/>
                <w:sz w:val="28"/>
                <w:szCs w:val="22"/>
                <w:lang w:val="en-US" w:eastAsia="uk-UA" w:bidi="ar-SA"/>
              </w:rPr>
            </w:pPr>
            <w:r>
              <w:rPr>
                <w:rFonts w:ascii="Times New Roman" w:hAnsi="Times New Roman" w:eastAsia="仿宋_GB2312" w:cs="Times New Roman"/>
                <w:kern w:val="2"/>
                <w:sz w:val="28"/>
                <w:szCs w:val="22"/>
                <w:lang w:val="en-US" w:eastAsia="zh-CN" w:bidi="ar-SA"/>
              </w:rPr>
              <w:t>100</w:t>
            </w:r>
            <w:r>
              <w:rPr>
                <w:rFonts w:hint="eastAsia" w:ascii="Times New Roman" w:hAnsi="Times New Roman" w:eastAsia="仿宋_GB2312" w:cs="Times New Roman"/>
                <w:kern w:val="2"/>
                <w:sz w:val="28"/>
                <w:szCs w:val="22"/>
                <w:lang w:val="en-US" w:eastAsia="zh-CN" w:bidi="ar-SA"/>
              </w:rPr>
              <w:t>%</w:t>
            </w:r>
          </w:p>
        </w:tc>
        <w:tc>
          <w:tcPr>
            <w:tcW w:w="2155" w:type="dxa"/>
            <w:shd w:val="clear" w:color="auto" w:fill="auto"/>
            <w:vAlign w:val="center"/>
          </w:tcPr>
          <w:p>
            <w:pPr>
              <w:pStyle w:val="18"/>
              <w:rPr>
                <w:rFonts w:ascii="Times New Roman" w:hAnsi="Times New Roman" w:eastAsia="仿宋_GB2312" w:cs="Times New Roman"/>
                <w:kern w:val="2"/>
                <w:sz w:val="28"/>
                <w:szCs w:val="22"/>
                <w:lang w:val="en-US" w:eastAsia="uk-UA" w:bidi="ar-SA"/>
              </w:rPr>
            </w:pPr>
          </w:p>
        </w:tc>
      </w:tr>
    </w:tbl>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60.51</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rPr>
        <w:t>部门政府采购预算</w:t>
      </w:r>
      <w:bookmarkEnd w:id="2"/>
    </w:p>
    <w:p>
      <w:pPr>
        <w:spacing w:line="584" w:lineRule="exact"/>
        <w:outlineLvl w:val="1"/>
        <w:rPr>
          <w:rFonts w:ascii="方正小标宋_GBK" w:eastAsia="方正小标宋_GBK" w:cs="Times New Roman"/>
          <w:sz w:val="32"/>
        </w:rPr>
      </w:pPr>
      <w:r>
        <w:rPr>
          <w:rFonts w:hint="eastAsia"/>
          <w:lang w:eastAsia="zh-CN"/>
        </w:rPr>
        <w:t>大城县</w:t>
      </w:r>
      <w:r>
        <w:rPr>
          <w:rFonts w:hint="eastAsia"/>
          <w:lang w:val="en-US" w:eastAsia="zh-CN"/>
        </w:rPr>
        <w:t>应急管理局</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政府采购金额（当年部门预算安排资金）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rPr>
                <w:rFonts w:hint="default" w:eastAsia="方正书宋_GBK"/>
                <w:lang w:val="en-US" w:eastAsia="zh-CN"/>
              </w:rPr>
            </w:pPr>
            <w:r>
              <w:rPr>
                <w:rFonts w:hint="eastAsia"/>
                <w:lang w:val="en-US" w:eastAsia="zh-CN"/>
              </w:rPr>
              <w:t>60.51</w:t>
            </w: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rPr>
                <w:rFonts w:ascii="Times New Roman" w:hAnsi="Times New Roman" w:eastAsia="仿宋_GB2312" w:cs="Times New Roman"/>
                <w:sz w:val="28"/>
              </w:rPr>
              <w:t>2023年自然灾害救助专项资金预算指标的通知</w:t>
            </w:r>
          </w:p>
        </w:tc>
        <w:tc>
          <w:tcPr>
            <w:tcW w:w="964" w:type="dxa"/>
            <w:vAlign w:val="center"/>
          </w:tcPr>
          <w:p>
            <w:pPr>
              <w:pStyle w:val="21"/>
              <w:spacing w:line="584" w:lineRule="exact"/>
              <w:rPr>
                <w:rFonts w:hint="default" w:eastAsia="方正书宋_GBK"/>
                <w:lang w:val="en-US" w:eastAsia="zh-CN"/>
              </w:rPr>
            </w:pPr>
            <w:r>
              <w:rPr>
                <w:rFonts w:hint="eastAsia"/>
                <w:lang w:val="en-US" w:eastAsia="zh-CN"/>
              </w:rPr>
              <w:t>60.51</w:t>
            </w:r>
          </w:p>
        </w:tc>
        <w:tc>
          <w:tcPr>
            <w:tcW w:w="1134" w:type="dxa"/>
            <w:vAlign w:val="center"/>
          </w:tcPr>
          <w:p>
            <w:pPr>
              <w:pStyle w:val="22"/>
              <w:spacing w:line="584" w:lineRule="exact"/>
            </w:pPr>
            <w:r>
              <w:rPr>
                <w:rFonts w:hint="eastAsia" w:ascii="方正书宋_GBK" w:eastAsia="方正书宋_GBK" w:cs="Times New Roman"/>
                <w:b/>
              </w:rPr>
              <w:t>其他财产保险服务</w:t>
            </w:r>
          </w:p>
        </w:tc>
        <w:tc>
          <w:tcPr>
            <w:tcW w:w="1134" w:type="dxa"/>
            <w:vAlign w:val="center"/>
          </w:tcPr>
          <w:p>
            <w:pPr>
              <w:pStyle w:val="22"/>
              <w:spacing w:line="584" w:lineRule="exact"/>
            </w:pPr>
            <w:r>
              <w:rPr>
                <w:rFonts w:hint="eastAsia" w:ascii="方正书宋_GBK" w:eastAsia="方正书宋_GBK" w:cs="Times New Roman"/>
                <w:b/>
              </w:rPr>
              <w:t>C15040299</w:t>
            </w:r>
          </w:p>
        </w:tc>
        <w:tc>
          <w:tcPr>
            <w:tcW w:w="709" w:type="dxa"/>
            <w:vAlign w:val="center"/>
          </w:tcPr>
          <w:p>
            <w:pPr>
              <w:pStyle w:val="20"/>
              <w:spacing w:line="584" w:lineRule="exact"/>
              <w:rPr>
                <w:rFonts w:hint="eastAsia" w:eastAsia="方正书宋_GBK"/>
                <w:lang w:val="en-US" w:eastAsia="zh-CN"/>
              </w:rPr>
            </w:pPr>
            <w:r>
              <w:rPr>
                <w:rFonts w:hint="eastAsia"/>
                <w:lang w:val="en-US" w:eastAsia="zh-CN"/>
              </w:rPr>
              <w:t>万元</w:t>
            </w:r>
          </w:p>
        </w:tc>
        <w:tc>
          <w:tcPr>
            <w:tcW w:w="850" w:type="dxa"/>
            <w:vAlign w:val="center"/>
          </w:tcPr>
          <w:p>
            <w:pPr>
              <w:pStyle w:val="21"/>
              <w:spacing w:line="584" w:lineRule="exact"/>
              <w:rPr>
                <w:rFonts w:hint="eastAsia" w:eastAsia="方正书宋_GBK"/>
                <w:lang w:val="en-US" w:eastAsia="zh-CN"/>
              </w:rPr>
            </w:pPr>
            <w:r>
              <w:rPr>
                <w:rFonts w:hint="eastAsia"/>
                <w:lang w:val="en-US" w:eastAsia="zh-CN"/>
              </w:rPr>
              <w:t>1</w:t>
            </w:r>
          </w:p>
        </w:tc>
        <w:tc>
          <w:tcPr>
            <w:tcW w:w="850" w:type="dxa"/>
            <w:vAlign w:val="center"/>
          </w:tcPr>
          <w:p>
            <w:pPr>
              <w:pStyle w:val="21"/>
              <w:spacing w:line="584" w:lineRule="exact"/>
              <w:rPr>
                <w:rFonts w:hint="default" w:eastAsia="方正书宋_GBK"/>
                <w:lang w:val="en-US" w:eastAsia="zh-CN"/>
              </w:rPr>
            </w:pPr>
            <w:r>
              <w:rPr>
                <w:rFonts w:hint="eastAsia"/>
                <w:lang w:val="en-US" w:eastAsia="zh-CN"/>
              </w:rPr>
              <w:t>60.51</w:t>
            </w:r>
          </w:p>
        </w:tc>
        <w:tc>
          <w:tcPr>
            <w:tcW w:w="964" w:type="dxa"/>
            <w:vAlign w:val="center"/>
          </w:tcPr>
          <w:p>
            <w:pPr>
              <w:pStyle w:val="21"/>
              <w:spacing w:line="584" w:lineRule="exact"/>
              <w:rPr>
                <w:rFonts w:hint="default" w:eastAsia="方正书宋_GBK"/>
                <w:lang w:val="en-US" w:eastAsia="zh-CN"/>
              </w:rPr>
            </w:pPr>
            <w:r>
              <w:rPr>
                <w:rFonts w:hint="eastAsia"/>
                <w:lang w:val="en-US" w:eastAsia="zh-CN"/>
              </w:rPr>
              <w:t>60.51</w:t>
            </w:r>
          </w:p>
        </w:tc>
        <w:tc>
          <w:tcPr>
            <w:tcW w:w="964" w:type="dxa"/>
            <w:vAlign w:val="center"/>
          </w:tcPr>
          <w:p>
            <w:pPr>
              <w:pStyle w:val="21"/>
              <w:spacing w:line="584" w:lineRule="exact"/>
              <w:rPr>
                <w:rFonts w:hint="default" w:eastAsia="方正书宋_GBK"/>
                <w:lang w:val="en-US" w:eastAsia="zh-CN"/>
              </w:rPr>
            </w:pPr>
            <w:r>
              <w:rPr>
                <w:rFonts w:hint="eastAsia"/>
                <w:lang w:val="en-US" w:eastAsia="zh-CN"/>
              </w:rPr>
              <w:t>60.51</w:t>
            </w: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应急管理局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565.60165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 xml:space="preserve"> 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 xml:space="preserve"> 大城县应急管理局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565.60165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2500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300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650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53.6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689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212.00165</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bookmarkStart w:id="3" w:name="_GoBack"/>
      <w:bookmarkEnd w:id="3"/>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方正仿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9FF58"/>
    <w:multiLevelType w:val="singleLevel"/>
    <w:tmpl w:val="3EB9FF58"/>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35F6820"/>
    <w:rsid w:val="095A6AE5"/>
    <w:rsid w:val="13E306DA"/>
    <w:rsid w:val="1C502F39"/>
    <w:rsid w:val="2BFA3B76"/>
    <w:rsid w:val="35007C13"/>
    <w:rsid w:val="3E8B454E"/>
    <w:rsid w:val="3F655022"/>
    <w:rsid w:val="57A9756A"/>
    <w:rsid w:val="57E040E2"/>
    <w:rsid w:val="5E3E0DA2"/>
    <w:rsid w:val="687D1153"/>
    <w:rsid w:val="6B1D22BB"/>
    <w:rsid w:val="6F7B4485"/>
    <w:rsid w:val="71E7368C"/>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757</Words>
  <Characters>4318</Characters>
  <Lines>35</Lines>
  <Paragraphs>10</Paragraphs>
  <TotalTime>4</TotalTime>
  <ScaleCrop>false</ScaleCrop>
  <LinksUpToDate>false</LinksUpToDate>
  <CharactersWithSpaces>5065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2023-03-22T06:51:35Z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E0DCD2FAFD4C4EC78104898D7A030BBD</vt:lpwstr>
  </property>
</Properties>
</file>