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大城县城市管理综合行政执法局本级</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大城县城市管理综合行政执法局本级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r>
        <w:rPr>
          <w:rFonts w:hint="eastAsia" w:ascii="Times New Roman" w:hAnsi="Times New Roman" w:eastAsia="仿宋_GB2312" w:cs="Times New Roman"/>
          <w:sz w:val="32"/>
          <w:szCs w:val="32"/>
        </w:rPr>
        <w:t>根据《中共廊坊市委办公室廊坊市人民政府办公室关于印发&lt;大城县机构改革方案&gt;的通知》（廊办字〔2018〕74号）。2019年3月22日在大城县城市管理行政执法局基础上成立大城县城市管理综合行政执法局（简称县城管行政执法局）为县政府工作，机构规格正科级。 主要职责是：</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（一）贯彻落实国家、省和市关于城市管理综合行政执法工作的法律、法规、规章及相关政策；统筹全县城市管理综合行政执法的改革与发展。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（二）行使市容环境卫生管理方面法律、法规、规章规定的部分行政处罚权；履行市容环境卫生管理方面法律、法规、规章规定的有关职责。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（三）行使城区规划管理方面法律、法规规定的行政处罚权。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（四）行使城市园林绿化管理方面法律、法规、规章规定的部分行政处罚权。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（五）行使市场监督管理方面法律、法规、规章规定的对户外小食品摊点备案卡的行政处罚权。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（六）行使公安交通管理方面法律、法规、规章规定的对侵占城市道路人行道、公共场地等行为的行政处罚权。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（七）行使市政、公用设施管理方面法律、法规、规章规定的部分行政处罚权。负责临时占用城市道路审批并依法收取占用费。</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（八）负责编制城区户外广告、招牌设置规划和技术规范；负责城区户外广告、张贴张挂宣传品的监督和管理工作。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（九）行使大气污染防治方面的法律、法规、规章规定的部分行政处罚权。查处运输渣土、砂石、建筑垃圾等车辆未采取密闭或其他防护措施造成扬尘污染的行为。    </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 十 )负责数字化城市管理信息平台的建设、管理工作。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（十一）负责受理上级批转的信访案件和群众举报案件及办理县人大、政协建议、提案工作。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（十二）负责干部职工思想政治教育及业务培训工作，局内党（团）员的发展、教育、管理工作，工青妇及安全生产保卫工作。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（十三）完成县委、县政府交办的其他任务。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szCs w:val="24"/>
                <w:lang w:val="en-US" w:eastAsia="zh-CN"/>
              </w:rPr>
            </w:pPr>
            <w:r>
              <w:rPr>
                <w:rFonts w:hint="eastAsia" w:ascii="Times New Roman" w:hAnsi="Times New Roman" w:eastAsia="仿宋_GB2312" w:cs="Times New Roman"/>
                <w:b/>
                <w:szCs w:val="24"/>
              </w:rPr>
              <w:t>大城县城市管理综合行政执法局</w:t>
            </w:r>
            <w:r>
              <w:rPr>
                <w:rFonts w:hint="eastAsia" w:ascii="Times New Roman" w:hAnsi="Times New Roman" w:eastAsia="仿宋_GB2312" w:cs="Times New Roman"/>
                <w:b/>
                <w:szCs w:val="24"/>
                <w:lang w:eastAsia="zh-CN"/>
              </w:rPr>
              <w:t>本级</w:t>
            </w:r>
          </w:p>
        </w:tc>
        <w:tc>
          <w:tcPr>
            <w:tcW w:w="1134" w:type="dxa"/>
            <w:shd w:val="clear" w:color="auto" w:fill="auto"/>
            <w:vAlign w:val="center"/>
          </w:tcPr>
          <w:p>
            <w:pPr>
              <w:spacing w:line="584" w:lineRule="exact"/>
              <w:jc w:val="center"/>
              <w:rPr>
                <w:rFonts w:ascii="Times New Roman" w:hAnsi="Times New Roman" w:eastAsia="仿宋_GB2312" w:cs="Times New Roman"/>
                <w:b/>
                <w:szCs w:val="24"/>
                <w:lang w:val="en-US" w:eastAsia="zh-CN"/>
              </w:rPr>
            </w:pPr>
            <w:r>
              <w:rPr>
                <w:rFonts w:hint="eastAsia" w:ascii="Times New Roman" w:hAnsi="Times New Roman" w:eastAsia="仿宋_GB2312" w:cs="Times New Roman"/>
                <w:b/>
                <w:szCs w:val="24"/>
              </w:rPr>
              <w:t>行政</w:t>
            </w:r>
          </w:p>
        </w:tc>
        <w:tc>
          <w:tcPr>
            <w:tcW w:w="1276" w:type="dxa"/>
            <w:shd w:val="clear" w:color="auto" w:fill="auto"/>
            <w:vAlign w:val="center"/>
          </w:tcPr>
          <w:p>
            <w:pPr>
              <w:spacing w:line="584" w:lineRule="exact"/>
              <w:jc w:val="center"/>
              <w:rPr>
                <w:rFonts w:ascii="Times New Roman" w:hAnsi="Times New Roman" w:eastAsia="仿宋_GB2312" w:cs="Times New Roman"/>
                <w:b/>
                <w:szCs w:val="24"/>
                <w:lang w:val="en-US" w:eastAsia="zh-CN"/>
              </w:rPr>
            </w:pPr>
            <w:r>
              <w:rPr>
                <w:rFonts w:hint="eastAsia" w:ascii="Times New Roman" w:hAnsi="Times New Roman" w:eastAsia="仿宋_GB2312" w:cs="Times New Roman"/>
                <w:b/>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szCs w:val="24"/>
                <w:lang w:val="en-US" w:eastAsia="zh-CN"/>
              </w:rPr>
            </w:pPr>
            <w:r>
              <w:rPr>
                <w:rFonts w:ascii="Times New Roman" w:hAnsi="Times New Roman" w:eastAsia="仿宋_GB2312" w:cs="Times New Roman"/>
                <w:b/>
                <w:szCs w:val="24"/>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12963.25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2040.75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10922.50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12963.25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1764.24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1668.19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96.05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11199.01</w:t>
      </w:r>
      <w:r>
        <w:rPr>
          <w:rFonts w:ascii="Times New Roman" w:hAnsi="Times New Roman" w:eastAsia="仿宋_GB2312" w:cs="Times New Roman"/>
          <w:sz w:val="32"/>
          <w:szCs w:val="32"/>
        </w:rPr>
        <w:t>万元，主要为</w:t>
      </w:r>
      <w:r>
        <w:rPr>
          <w:rFonts w:hint="eastAsia" w:ascii="仿宋_GB2312" w:hAnsi="仿宋" w:eastAsia="仿宋_GB2312" w:cs="仿宋_GB2312"/>
          <w:sz w:val="32"/>
          <w:szCs w:val="32"/>
        </w:rPr>
        <w:t>市容市貌监察、城区规划管理、户外广告、大气污染防治、数字化城管系统项目</w:t>
      </w:r>
      <w:r>
        <w:rPr>
          <w:rFonts w:hint="eastAsia" w:ascii="仿宋" w:hAnsi="仿宋" w:eastAsia="仿宋" w:cs="仿宋_GB2312"/>
          <w:sz w:val="32"/>
          <w:szCs w:val="32"/>
        </w:rPr>
        <w:t>、</w:t>
      </w:r>
      <w:r>
        <w:rPr>
          <w:rFonts w:hint="eastAsia" w:ascii="仿宋_GB2312" w:eastAsia="仿宋_GB2312"/>
          <w:sz w:val="32"/>
          <w:szCs w:val="32"/>
        </w:rPr>
        <w:t>城管政务管理</w:t>
      </w:r>
      <w:r>
        <w:rPr>
          <w:rFonts w:hint="eastAsia" w:ascii="仿宋_GB2312" w:eastAsia="仿宋_GB2312"/>
          <w:sz w:val="32"/>
          <w:szCs w:val="32"/>
          <w:lang w:eastAsia="zh-CN"/>
        </w:rPr>
        <w:t>、</w:t>
      </w:r>
      <w:r>
        <w:rPr>
          <w:rFonts w:hint="eastAsia" w:ascii="仿宋_GB2312" w:eastAsia="仿宋_GB2312"/>
          <w:sz w:val="32"/>
          <w:szCs w:val="32"/>
        </w:rPr>
        <w:t>环卫事务管理</w:t>
      </w:r>
      <w:r>
        <w:rPr>
          <w:rFonts w:hint="eastAsia" w:ascii="仿宋_GB2312" w:eastAsia="仿宋_GB2312"/>
          <w:sz w:val="32"/>
          <w:szCs w:val="32"/>
          <w:lang w:eastAsia="zh-CN"/>
        </w:rPr>
        <w:t>、</w:t>
      </w:r>
      <w:r>
        <w:rPr>
          <w:rFonts w:hint="eastAsia" w:ascii="仿宋_GB2312" w:eastAsia="仿宋_GB2312"/>
          <w:sz w:val="32"/>
          <w:szCs w:val="32"/>
        </w:rPr>
        <w:t>“城市家具”管理</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12963.25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10918.89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405.02</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人员经费支出较去年增加</w:t>
      </w:r>
      <w:r>
        <w:rPr>
          <w:rFonts w:hint="eastAsia" w:ascii="仿宋_GB2312" w:hAnsi="仿宋_GB2312" w:eastAsia="仿宋_GB2312" w:cs="仿宋_GB2312"/>
          <w:sz w:val="32"/>
          <w:szCs w:val="32"/>
          <w:lang w:val="en-US" w:eastAsia="zh-CN"/>
        </w:rPr>
        <w:t>402.99</w:t>
      </w:r>
      <w:r>
        <w:rPr>
          <w:rFonts w:hint="eastAsia" w:ascii="仿宋_GB2312" w:hAnsi="仿宋_GB2312" w:eastAsia="仿宋_GB2312" w:cs="仿宋_GB2312"/>
          <w:sz w:val="32"/>
          <w:szCs w:val="32"/>
        </w:rPr>
        <w:t>万元，日常公用</w:t>
      </w:r>
      <w:r>
        <w:rPr>
          <w:rFonts w:ascii="Times New Roman" w:hAnsi="Times New Roman" w:eastAsia="仿宋_GB2312" w:cs="Times New Roman"/>
          <w:sz w:val="32"/>
          <w:szCs w:val="32"/>
        </w:rPr>
        <w:t>支出</w:t>
      </w:r>
      <w:r>
        <w:rPr>
          <w:rFonts w:hint="eastAsia" w:ascii="仿宋_GB2312" w:hAnsi="仿宋_GB2312" w:eastAsia="仿宋_GB2312" w:cs="仿宋_GB2312"/>
          <w:sz w:val="32"/>
          <w:szCs w:val="32"/>
        </w:rPr>
        <w:t>较去年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highlight w:val="none"/>
          <w:lang w:val="en-US" w:eastAsia="zh-CN"/>
        </w:rPr>
        <w:t>10513.87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增加农村环卫保洁</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和城区环卫保洁项目支出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96.05</w:t>
      </w:r>
      <w:r>
        <w:rPr>
          <w:rFonts w:ascii="Times New Roman" w:hAnsi="Times New Roman" w:eastAsia="仿宋_GB2312" w:cs="Times New Roman"/>
          <w:sz w:val="32"/>
          <w:szCs w:val="32"/>
        </w:rPr>
        <w:t>万元，主要用于办公区的日常维修、办公用房水电费、办公用房取暖费、</w:t>
      </w:r>
      <w:r>
        <w:rPr>
          <w:rFonts w:hint="eastAsia" w:ascii="Times New Roman" w:hAnsi="Times New Roman" w:eastAsia="仿宋_GB2312" w:cs="Times New Roman"/>
          <w:sz w:val="32"/>
          <w:szCs w:val="32"/>
        </w:rPr>
        <w:t>公务用车运行维护费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万元（其中：公务用车</w:t>
      </w:r>
      <w:bookmarkStart w:id="2" w:name="_GoBack"/>
      <w:bookmarkEnd w:id="2"/>
      <w:r>
        <w:rPr>
          <w:rFonts w:ascii="Times New Roman" w:hAnsi="Times New Roman" w:eastAsia="仿宋_GB2312" w:cs="Times New Roman"/>
          <w:sz w:val="32"/>
          <w:szCs w:val="32"/>
        </w:rPr>
        <w:t>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color w:val="000000"/>
          <w:sz w:val="32"/>
          <w:szCs w:val="32"/>
        </w:rPr>
      </w:pPr>
      <w:r>
        <w:rPr>
          <w:rFonts w:hint="eastAsia" w:ascii="Times New Roman" w:hAnsi="Times New Roman" w:eastAsia="仿宋_GB2312" w:cs="Times New Roman"/>
          <w:sz w:val="32"/>
          <w:szCs w:val="32"/>
        </w:rPr>
        <w:t>通过市容市貌监察，将进一步加大执法力度，保障群众出行、正常车辆停放秩序和部分环境卫生；通过城区规划管理，坚决遏制违法行为零容忍查处；园林绿化，保证城区园林景观优美秀丽，绿化覆盖率广，保护城市生态环境；市政公用设施，保证城市地下管网全覆盖及正常使用，城镇排水污水问题得到妥善解决，市政公共设施的抗灾性及城市道路、基础设施管理；城区户外广告、招牌设置规划和技术规范化，对未按许可设置及提供虚假材料、骗取许可证的行使行政处罚权；大气污染防治，减少运输渣土、砂石、建筑垃圾扬尘污染；数字化城管系统，确保数字化城管系统正式运行；通过城管政务管理，加强全县城管执法人才队伍建设，提高人才业务素质，提高行业水平,提升机关及行业信息化水平，保障各类业务系统安全稳定运行,规范审批行为，推进政务公开，增加服务意识，提高工作效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1、市场监督管理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对户外小食品摊点备案卡进行规范管理。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绩效指标：城区小食品摊点规范整洁率。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2、市容市貌监察管理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绩效目标：减少餐厨垃圾，保证环境卫生。</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绩效指标：市容环境卫生整洁率。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3、公安交通管理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绩效目标：保障群众出行，正常车辆停放秩序。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绩效指标：交通停放秩序。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4、违法建筑规范整治</w:t>
      </w:r>
    </w:p>
    <w:p>
      <w:pPr>
        <w:widowControl/>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绩效目标：坚决遏制违法建设行为零容忍查处。</w:t>
      </w:r>
    </w:p>
    <w:p>
      <w:pPr>
        <w:widowControl/>
        <w:ind w:firstLine="160" w:firstLineChars="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绩效指标：违法建筑发生率。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5、园林绿化管理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绩效目标：保证城区园林景观优美秀丽，绿化覆盖率广，保护城市生态环境。</w:t>
      </w:r>
    </w:p>
    <w:p>
      <w:pPr>
        <w:widowControl/>
        <w:ind w:firstLine="160" w:firstLineChars="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绩效指标：园林绿化监督率。</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6、市政公用设施管理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保证城市地下管网全覆盖及正常使用，城镇排水污水问题得到妥善解决，市政公共设施的抗灾性及城市道路、基础设施管理。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 建设、改造、修缮工程量</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7、户外广告管理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绩效目标：城区户外广告、招牌设置规划和技术规范化，对未按许可设置及提供虚假材料、骗取许可证的行使行政处罚权。</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绩效指标：城区街道整洁率。</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8、大气污染治理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绩效目标：减少运输渣土、砂石、建筑垃圾扬尘污染。 </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绩效指标：污染物排放降低率。</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9、数字化城管系统运行</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绩效目标：保证数字化城管的正常运行，实现精确、敏捷、高效、全时段、全方位覆盖的城市管理模式。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绩效指标：数字化城管中心运行效率。</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10、综合业务管理</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绩效目标：加强管理，圆满完成县委、县政府交办任务。</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绩效指标：综合业务管理工作完成率。</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11、综合事务管理</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绩效目标：加强机关事务性管理，提高机关自身工作能力。</w:t>
      </w:r>
      <w:r>
        <w:rPr>
          <w:rFonts w:ascii="Times New Roman" w:hAnsi="Times New Roman" w:eastAsia="仿宋_GB2312" w:cs="Times New Roman"/>
          <w:sz w:val="32"/>
          <w:szCs w:val="32"/>
        </w:rPr>
        <w:t> </w:t>
      </w:r>
    </w:p>
    <w:p>
      <w:pPr>
        <w:widowControl/>
        <w:ind w:firstLine="640" w:firstLineChars="200"/>
        <w:jc w:val="left"/>
        <w:rPr>
          <w:rFonts w:cs="Calibri"/>
          <w:color w:val="000000"/>
          <w:kern w:val="0"/>
          <w:sz w:val="22"/>
        </w:rPr>
      </w:pPr>
      <w:r>
        <w:rPr>
          <w:rFonts w:hint="eastAsia" w:ascii="Times New Roman" w:hAnsi="Times New Roman" w:eastAsia="仿宋_GB2312" w:cs="Times New Roman"/>
          <w:sz w:val="32"/>
          <w:szCs w:val="32"/>
        </w:rPr>
        <w:t>绩效指标：综合事务管理工作完成率。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增强预算绩效管理理念，多管齐下宣讲预算绩效管理相关政策，重视财政绩效预算管理工作，建立预算绩效管理的氛围文化。领导要带头重视，相关单位协调参与，引入预算绩效管理服务中介机构积极参加;加大预算绩效管理的宣传力度，增强广大职工和领导的绩效管理意识。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深入研究预算绩效管理相关文件，合理制定绩效管理相关制度。财政部的最新文件指出，全面预算绩效管理是现在预算关键的核心。制度是上层建筑，只有先定了制度，才能保证工作的顺利开展。同时，预算绩效管理工作要深入细化，只有将举措细分开来，才能切实深入贯彻落实全面预算绩效管理工作。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扩大绩效管理的领域，实现全面覆盖绩效管理。预算绩效管理的范围不仅包括一般公共预算支出预算，还包括政府性基金预算等。还需要通过优化支出结构、编细编实预算、加快履行政府采购手续、尽快启动项目、及时支付资金、6月底前细化代编预算、按规定及时下达资金等多种措施，确保支出进度达标。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转变以往只注重形式的预算绩效管理工作理念，各个单位不止要做好报表的工作，还要结合如何做好预算的思想观念融入到实践的资金管理中去，真正做到的“花钱必问效，无效必问责。”完善财务管理制度，严格审批程序，加强固定资产登记、使用和报废处置管理，做到支出合理，物尽其用。</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5、加强绩效资金管理的督查检查，强化责任落实。近年来，地方政府都出台了预算绩效管理办法和实施准则，这些办法和准则都在一定范围内得到了实施。各相关单位都在建立完善的制度，建立预算绩效管理保障体系。制度和体系的建立离不开财政、审计和监察单位的配合，这些单位要对预算项目实施严密的事前监督、事中监督和事后监督，一旦发现违反法律法规的行为，一定要严厉追究相关人员的责任。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6、建立一支综合素质高、业务能力强的专业团队。财政预算绩效管理工作队伍需要一批业务骨干，这些业务骨干保证工作的进行。我们通过聘请中介机构绩效管理专家开培训会、办培训班等多种手段对我预算单位负责预算绩效管理的骨干人员进行专业化的预算绩效管理培训，以提升相关管理人员的业务素质。同时，我们要加强单位与单位之间的交流，学习先进单位的预算绩效管理经验，参加对标学习，把优秀的管理经验为我所用。 </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通过对上年度单位预算绩效自评和重点工作评价，及时发现问题并整改，调整优化指出结构，提高财政资金的使用效益。实施预算绩效评价结果的信息公开。其一，经常开展绩效评价可以督促预算单位合理使用资金，提高资金使用效率，并将这些绩效评价结果整理成报告进行反馈;其二，如果评价结果能够得到公开，那么更便于社会公众的监督，我们在政府网站上公开，以此不断提高绩效管理水平。</w:t>
      </w:r>
    </w:p>
    <w:p>
      <w:pPr>
        <w:widowControl/>
        <w:ind w:firstLine="640" w:firstLineChars="200"/>
        <w:jc w:val="left"/>
        <w:rPr>
          <w:rFonts w:hint="eastAsia" w:ascii="Times New Roman" w:hAnsi="Times New Roman" w:eastAsia="仿宋_GB2312" w:cs="Times New Roman"/>
          <w:sz w:val="32"/>
          <w:szCs w:val="32"/>
        </w:rPr>
      </w:pPr>
    </w:p>
    <w:p>
      <w:pPr>
        <w:widowControl/>
        <w:ind w:firstLine="640" w:firstLineChars="200"/>
        <w:jc w:val="left"/>
        <w:rPr>
          <w:rFonts w:hint="eastAsia" w:ascii="Times New Roman" w:hAnsi="Times New Roman" w:eastAsia="仿宋_GB2312" w:cs="Times New Roman"/>
          <w:sz w:val="32"/>
          <w:szCs w:val="32"/>
        </w:rPr>
      </w:pPr>
    </w:p>
    <w:p>
      <w:pPr>
        <w:widowControl/>
        <w:ind w:firstLine="640" w:firstLineChars="200"/>
        <w:jc w:val="left"/>
        <w:rPr>
          <w:rFonts w:hint="eastAsia" w:ascii="Times New Roman" w:hAnsi="Times New Roman" w:eastAsia="仿宋_GB2312" w:cs="Times New Roman"/>
          <w:sz w:val="32"/>
          <w:szCs w:val="32"/>
        </w:rPr>
      </w:pPr>
    </w:p>
    <w:p>
      <w:pPr>
        <w:widowControl/>
        <w:ind w:firstLine="640" w:firstLineChars="200"/>
        <w:jc w:val="left"/>
        <w:rPr>
          <w:rFonts w:hint="eastAsia" w:ascii="Times New Roman" w:hAnsi="Times New Roman" w:eastAsia="仿宋_GB2312" w:cs="Times New Roman"/>
          <w:sz w:val="32"/>
          <w:szCs w:val="32"/>
        </w:rPr>
      </w:pPr>
    </w:p>
    <w:p>
      <w:pPr>
        <w:widowControl/>
        <w:ind w:firstLine="640" w:firstLineChars="200"/>
        <w:jc w:val="left"/>
        <w:rPr>
          <w:rFonts w:hint="eastAsia" w:ascii="Times New Roman" w:hAnsi="Times New Roman" w:eastAsia="仿宋_GB2312" w:cs="Times New Roman"/>
          <w:sz w:val="32"/>
          <w:szCs w:val="32"/>
        </w:rPr>
      </w:pPr>
    </w:p>
    <w:p>
      <w:pPr>
        <w:widowControl/>
        <w:ind w:firstLine="640" w:firstLineChars="200"/>
        <w:jc w:val="left"/>
        <w:rPr>
          <w:rFonts w:hint="eastAsia" w:ascii="Times New Roman" w:hAnsi="Times New Roman" w:eastAsia="仿宋_GB2312" w:cs="Times New Roman"/>
          <w:sz w:val="32"/>
          <w:szCs w:val="32"/>
        </w:rPr>
      </w:pPr>
    </w:p>
    <w:p>
      <w:pPr>
        <w:widowControl/>
        <w:ind w:firstLine="640" w:firstLineChars="200"/>
        <w:jc w:val="left"/>
        <w:rPr>
          <w:rFonts w:hint="eastAsia" w:ascii="Times New Roman" w:hAnsi="Times New Roman" w:eastAsia="仿宋_GB2312" w:cs="Times New Roman"/>
          <w:sz w:val="32"/>
          <w:szCs w:val="32"/>
        </w:rPr>
      </w:pPr>
    </w:p>
    <w:p>
      <w:pPr>
        <w:widowControl/>
        <w:ind w:firstLine="640" w:firstLineChars="200"/>
        <w:jc w:val="left"/>
        <w:rPr>
          <w:rFonts w:hint="eastAsia" w:ascii="Times New Roman" w:hAnsi="Times New Roman" w:eastAsia="仿宋_GB2312" w:cs="Times New Roman"/>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项目完成数量</w:t>
            </w:r>
          </w:p>
        </w:tc>
        <w:tc>
          <w:tcPr>
            <w:tcW w:w="2172" w:type="dxa"/>
            <w:tcBorders>
              <w:tl2br w:val="nil"/>
              <w:tr2bl w:val="nil"/>
            </w:tcBorders>
            <w:vAlign w:val="center"/>
          </w:tcPr>
          <w:p>
            <w:pPr>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jc w:val="center"/>
              <w:rPr>
                <w:rFonts w:ascii="方正书宋_GBK" w:eastAsia="方正书宋_GBK"/>
              </w:rPr>
            </w:pPr>
            <w:r>
              <w:rPr>
                <w:rFonts w:cs="Calibri"/>
                <w:color w:val="000000"/>
                <w:sz w:val="18"/>
                <w:szCs w:val="18"/>
              </w:rPr>
              <w:t>专项项目数量</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hint="eastAsia" w:ascii="方正书宋_GBK" w:eastAsia="方正书宋_GBK"/>
                <w:lang w:eastAsia="zh-CN"/>
              </w:rPr>
            </w:pPr>
            <w:r>
              <w:rPr>
                <w:rFonts w:hint="eastAsia" w:eastAsia="方正书宋_GBK" w:cs="Calibri"/>
                <w:color w:val="000000"/>
                <w:sz w:val="18"/>
                <w:szCs w:val="18"/>
                <w:lang w:val="en-US" w:eastAsia="zh-CN"/>
              </w:rPr>
              <w:t>4</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个</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质量达标</w:t>
            </w:r>
          </w:p>
        </w:tc>
        <w:tc>
          <w:tcPr>
            <w:tcW w:w="2172" w:type="dxa"/>
            <w:tcBorders>
              <w:tl2br w:val="nil"/>
              <w:tr2bl w:val="nil"/>
            </w:tcBorders>
            <w:vAlign w:val="center"/>
          </w:tcPr>
          <w:p>
            <w:pPr>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jc w:val="center"/>
              <w:rPr>
                <w:rFonts w:ascii="方正书宋_GBK" w:eastAsia="方正书宋_GBK"/>
              </w:rPr>
            </w:pPr>
            <w:r>
              <w:rPr>
                <w:rFonts w:cs="Calibri"/>
                <w:color w:val="000000"/>
                <w:sz w:val="18"/>
                <w:szCs w:val="18"/>
              </w:rPr>
              <w:t>质量达标</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100</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完成时间</w:t>
            </w:r>
          </w:p>
        </w:tc>
        <w:tc>
          <w:tcPr>
            <w:tcW w:w="2172" w:type="dxa"/>
            <w:tcBorders>
              <w:tl2br w:val="nil"/>
              <w:tr2bl w:val="nil"/>
            </w:tcBorders>
            <w:vAlign w:val="center"/>
          </w:tcPr>
          <w:p>
            <w:pPr>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jc w:val="center"/>
              <w:rPr>
                <w:rFonts w:ascii="方正书宋_GBK" w:eastAsia="方正书宋_GBK"/>
              </w:rPr>
            </w:pPr>
            <w:r>
              <w:rPr>
                <w:rFonts w:cs="Calibri"/>
                <w:color w:val="000000"/>
                <w:sz w:val="18"/>
                <w:szCs w:val="18"/>
              </w:rPr>
              <w:t>完成时间</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成本控制</w:t>
            </w:r>
          </w:p>
        </w:tc>
        <w:tc>
          <w:tcPr>
            <w:tcW w:w="2172" w:type="dxa"/>
            <w:tcBorders>
              <w:tl2br w:val="nil"/>
              <w:tr2bl w:val="nil"/>
            </w:tcBorders>
            <w:vAlign w:val="center"/>
          </w:tcPr>
          <w:p>
            <w:pPr>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jc w:val="center"/>
              <w:rPr>
                <w:rFonts w:ascii="方正书宋_GBK" w:eastAsia="方正书宋_GBK"/>
              </w:rPr>
            </w:pPr>
            <w:r>
              <w:rPr>
                <w:rFonts w:cs="Calibri"/>
                <w:color w:val="000000"/>
                <w:sz w:val="18"/>
                <w:szCs w:val="18"/>
              </w:rPr>
              <w:t>成本控制在预算额度内</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hint="default" w:ascii="方正书宋_GBK" w:eastAsia="方正书宋_GBK"/>
                <w:lang w:val="en-US" w:eastAsia="zh-CN"/>
              </w:rPr>
            </w:pPr>
            <w:r>
              <w:rPr>
                <w:rFonts w:hint="eastAsia" w:eastAsia="方正书宋_GBK" w:cs="Calibri"/>
                <w:color w:val="000000"/>
                <w:sz w:val="18"/>
                <w:szCs w:val="18"/>
                <w:lang w:val="en-US" w:eastAsia="zh-CN"/>
              </w:rPr>
              <w:t>11199.01</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万元</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8"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提升市民城市管理参与意识</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提升市民城市管理参与意识</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5"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长效管理机制健全性</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反映长效管理机制健全性情况</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居民满意度</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居民满意度</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jc w:val="center"/>
              <w:rPr>
                <w:rFonts w:ascii="方正书宋_GBK" w:eastAsia="方正书宋_GBK"/>
              </w:rPr>
            </w:pPr>
            <w:r>
              <w:rPr>
                <w:rFonts w:cs="Calibri"/>
                <w:color w:val="000000"/>
                <w:sz w:val="18"/>
                <w:szCs w:val="18"/>
              </w:rPr>
              <w:t>服务对象</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cs="Calibri"/>
                <w:color w:val="000000"/>
                <w:sz w:val="18"/>
                <w:szCs w:val="18"/>
              </w:rPr>
              <w:t>服务对象</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实施方案</w:t>
            </w:r>
          </w:p>
        </w:tc>
      </w:tr>
    </w:tbl>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2023年建档立卡脱贫户生产生活补助金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0" w:type="auto"/>
        <w:tblInd w:w="0" w:type="dxa"/>
        <w:tblLayout w:type="fixed"/>
        <w:tblCellMar>
          <w:top w:w="0" w:type="dxa"/>
          <w:left w:w="108" w:type="dxa"/>
          <w:bottom w:w="0" w:type="dxa"/>
          <w:right w:w="108" w:type="dxa"/>
        </w:tblCellMar>
      </w:tblPr>
      <w:tblGrid>
        <w:gridCol w:w="1129"/>
        <w:gridCol w:w="1831"/>
        <w:gridCol w:w="2716"/>
        <w:gridCol w:w="3424"/>
        <w:gridCol w:w="1123"/>
        <w:gridCol w:w="907"/>
        <w:gridCol w:w="1215"/>
        <w:gridCol w:w="1829"/>
      </w:tblGrid>
      <w:tr>
        <w:tblPrEx>
          <w:tblCellMar>
            <w:top w:w="0" w:type="dxa"/>
            <w:left w:w="108" w:type="dxa"/>
            <w:bottom w:w="0" w:type="dxa"/>
            <w:right w:w="108" w:type="dxa"/>
          </w:tblCellMar>
        </w:tblPrEx>
        <w:trPr>
          <w:trHeight w:val="300" w:hRule="atLeast"/>
        </w:trPr>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绩效目标</w:t>
            </w:r>
          </w:p>
        </w:tc>
        <w:tc>
          <w:tcPr>
            <w:tcW w:w="183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目标1</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通过项目的实施，解决贫困户日常生活的问题，保障贫困户能过个温暖的中秋和春节，同时表现出我局对扶贫项目的大力支持。</w:t>
            </w:r>
          </w:p>
        </w:tc>
      </w:tr>
      <w:tr>
        <w:tblPrEx>
          <w:tblCellMar>
            <w:top w:w="0" w:type="dxa"/>
            <w:left w:w="108" w:type="dxa"/>
            <w:bottom w:w="0" w:type="dxa"/>
            <w:right w:w="108" w:type="dxa"/>
          </w:tblCellMar>
        </w:tblPrEx>
        <w:trPr>
          <w:trHeight w:val="562" w:hRule="atLeast"/>
        </w:trPr>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目标2</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通过项目的实施，完成对6户贫困家庭发放补助，提高贫困户生活水平，增强贫困户幸福感。</w:t>
            </w:r>
          </w:p>
        </w:tc>
      </w:tr>
      <w:tr>
        <w:tblPrEx>
          <w:tblCellMar>
            <w:top w:w="0" w:type="dxa"/>
            <w:left w:w="108" w:type="dxa"/>
            <w:bottom w:w="0" w:type="dxa"/>
            <w:right w:w="108" w:type="dxa"/>
          </w:tblCellMar>
        </w:tblPrEx>
        <w:trPr>
          <w:trHeight w:val="375"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一级指标</w:t>
            </w:r>
          </w:p>
        </w:tc>
        <w:tc>
          <w:tcPr>
            <w:tcW w:w="18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二级指标</w:t>
            </w:r>
          </w:p>
        </w:tc>
        <w:tc>
          <w:tcPr>
            <w:tcW w:w="27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三级指标</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绩效指标描述</w:t>
            </w:r>
          </w:p>
        </w:tc>
        <w:tc>
          <w:tcPr>
            <w:tcW w:w="324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w:t>
            </w:r>
          </w:p>
        </w:tc>
        <w:tc>
          <w:tcPr>
            <w:tcW w:w="18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指标值确定依据</w:t>
            </w:r>
          </w:p>
        </w:tc>
      </w:tr>
      <w:tr>
        <w:tblPrEx>
          <w:tblCellMar>
            <w:top w:w="0" w:type="dxa"/>
            <w:left w:w="108" w:type="dxa"/>
            <w:bottom w:w="0" w:type="dxa"/>
            <w:right w:w="108" w:type="dxa"/>
          </w:tblCellMar>
        </w:tblPrEx>
        <w:trPr>
          <w:trHeight w:val="1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27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1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符号</w:t>
            </w:r>
          </w:p>
        </w:tc>
        <w:tc>
          <w:tcPr>
            <w:tcW w:w="90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值</w:t>
            </w:r>
          </w:p>
        </w:tc>
        <w:tc>
          <w:tcPr>
            <w:tcW w:w="121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单位（文字描述）</w:t>
            </w:r>
          </w:p>
        </w:tc>
        <w:tc>
          <w:tcPr>
            <w:tcW w:w="1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产出指标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数量指标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贫困户数</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考察贫困户的数量</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6</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户</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发放覆盖率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考察是否按计划人数进行发放</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39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发放标准</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考察每户贫困家庭的发放标注</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0.2</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477"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时效指标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完成及时性</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考察是否按计划及时发放</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文字描述</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及时</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成本指标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成本控制数</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每户每年0.2万元</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0.2</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万元/户</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项目实施</w:t>
            </w:r>
          </w:p>
        </w:tc>
      </w:tr>
      <w:tr>
        <w:tblPrEx>
          <w:tblCellMar>
            <w:top w:w="0" w:type="dxa"/>
            <w:left w:w="108" w:type="dxa"/>
            <w:bottom w:w="0" w:type="dxa"/>
            <w:right w:w="108" w:type="dxa"/>
          </w:tblCellMar>
        </w:tblPrEx>
        <w:trPr>
          <w:trHeight w:val="53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效果指标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提高贫困户生活水平</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提高贫困户生活水平</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文字描述</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较大提高</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增强贫困户幸福感</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考察是否增强了贫困户幸福感</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文字描述</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明显增强</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70" w:hRule="atLeast"/>
        </w:trPr>
        <w:tc>
          <w:tcPr>
            <w:tcW w:w="112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满意度指标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服务对象满意度指标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贫困户满意度</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考察贫困户的满意程度</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95</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bl>
    <w:p>
      <w:pPr>
        <w:spacing w:line="584" w:lineRule="exact"/>
        <w:ind w:firstLine="420" w:firstLineChars="200"/>
        <w:jc w:val="center"/>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2023年劳务派遣人员经费—人员专项项目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0" w:type="auto"/>
        <w:tblInd w:w="0" w:type="dxa"/>
        <w:tblLayout w:type="fixed"/>
        <w:tblCellMar>
          <w:top w:w="0" w:type="dxa"/>
          <w:left w:w="108" w:type="dxa"/>
          <w:bottom w:w="0" w:type="dxa"/>
          <w:right w:w="108" w:type="dxa"/>
        </w:tblCellMar>
      </w:tblPr>
      <w:tblGrid>
        <w:gridCol w:w="1129"/>
        <w:gridCol w:w="1831"/>
        <w:gridCol w:w="2716"/>
        <w:gridCol w:w="3424"/>
        <w:gridCol w:w="1123"/>
        <w:gridCol w:w="907"/>
        <w:gridCol w:w="1324"/>
        <w:gridCol w:w="1720"/>
      </w:tblGrid>
      <w:tr>
        <w:tblPrEx>
          <w:tblCellMar>
            <w:top w:w="0" w:type="dxa"/>
            <w:left w:w="108" w:type="dxa"/>
            <w:bottom w:w="0" w:type="dxa"/>
            <w:right w:w="108" w:type="dxa"/>
          </w:tblCellMar>
        </w:tblPrEx>
        <w:trPr>
          <w:trHeight w:val="708" w:hRule="atLeast"/>
        </w:trPr>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绩效目标</w:t>
            </w:r>
          </w:p>
        </w:tc>
        <w:tc>
          <w:tcPr>
            <w:tcW w:w="183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目标1</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通过项目的开展实现劳务派遣人员工资及相关保险待遇，保障劳务派遣人员各项待遇的实现。</w:t>
            </w:r>
          </w:p>
        </w:tc>
      </w:tr>
      <w:tr>
        <w:tblPrEx>
          <w:tblCellMar>
            <w:top w:w="0" w:type="dxa"/>
            <w:left w:w="108" w:type="dxa"/>
            <w:bottom w:w="0" w:type="dxa"/>
            <w:right w:w="108" w:type="dxa"/>
          </w:tblCellMar>
        </w:tblPrEx>
        <w:trPr>
          <w:trHeight w:val="375"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一级指标</w:t>
            </w:r>
          </w:p>
        </w:tc>
        <w:tc>
          <w:tcPr>
            <w:tcW w:w="18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二级指标</w:t>
            </w:r>
          </w:p>
        </w:tc>
        <w:tc>
          <w:tcPr>
            <w:tcW w:w="27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三级指标</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绩效指标描述</w:t>
            </w:r>
          </w:p>
        </w:tc>
        <w:tc>
          <w:tcPr>
            <w:tcW w:w="335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w:t>
            </w:r>
          </w:p>
        </w:tc>
        <w:tc>
          <w:tcPr>
            <w:tcW w:w="1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指标值确定依据</w:t>
            </w:r>
          </w:p>
        </w:tc>
      </w:tr>
      <w:tr>
        <w:tblPrEx>
          <w:tblCellMar>
            <w:top w:w="0" w:type="dxa"/>
            <w:left w:w="108" w:type="dxa"/>
            <w:bottom w:w="0" w:type="dxa"/>
            <w:right w:w="108" w:type="dxa"/>
          </w:tblCellMar>
        </w:tblPrEx>
        <w:trPr>
          <w:trHeight w:val="1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27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1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符号</w:t>
            </w:r>
          </w:p>
        </w:tc>
        <w:tc>
          <w:tcPr>
            <w:tcW w:w="90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值</w:t>
            </w:r>
          </w:p>
        </w:tc>
        <w:tc>
          <w:tcPr>
            <w:tcW w:w="13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单位（文字描述）</w:t>
            </w:r>
          </w:p>
        </w:tc>
        <w:tc>
          <w:tcPr>
            <w:tcW w:w="1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r>
      <w:tr>
        <w:tblPrEx>
          <w:tblCellMar>
            <w:top w:w="0" w:type="dxa"/>
            <w:left w:w="108" w:type="dxa"/>
            <w:bottom w:w="0" w:type="dxa"/>
            <w:right w:w="108" w:type="dxa"/>
          </w:tblCellMar>
        </w:tblPrEx>
        <w:trPr>
          <w:trHeight w:val="537"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产出指标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数量指标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工资待遇发放数量</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反映工资待遇发放数量情况</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69</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人</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工资待遇发放率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反映工资待遇发放率情况</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62"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时效指标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工资待遇发放及时率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每月10号前发放完成</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日</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成本指标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成本控制</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按固定工资待遇发放</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4.19</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人/年/万元</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效果指标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城区容貌改善</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反映城区容貌改善情况</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90</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4" w:hRule="atLeast"/>
        </w:trPr>
        <w:tc>
          <w:tcPr>
            <w:tcW w:w="1129"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生态效益指标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城区环境改善</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反映城区环境改善情况</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90</w:t>
            </w:r>
          </w:p>
        </w:tc>
        <w:tc>
          <w:tcPr>
            <w:tcW w:w="1324"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p>
        </w:tc>
      </w:tr>
      <w:tr>
        <w:tblPrEx>
          <w:tblCellMar>
            <w:top w:w="0" w:type="dxa"/>
            <w:left w:w="108" w:type="dxa"/>
            <w:bottom w:w="0" w:type="dxa"/>
            <w:right w:w="108" w:type="dxa"/>
          </w:tblCellMar>
        </w:tblPrEx>
        <w:trPr>
          <w:trHeight w:val="48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可持续影响指标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城市管理服务水平</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反映城市管理的能力和效果</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90</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满意度指标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服务对象满意度指标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群众满意度</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群众对当前城市管理满意度</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95</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2023年城区环卫保洁项目资金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0" w:type="auto"/>
        <w:tblInd w:w="0" w:type="dxa"/>
        <w:tblLayout w:type="fixed"/>
        <w:tblCellMar>
          <w:top w:w="0" w:type="dxa"/>
          <w:left w:w="108" w:type="dxa"/>
          <w:bottom w:w="0" w:type="dxa"/>
          <w:right w:w="108" w:type="dxa"/>
        </w:tblCellMar>
      </w:tblPr>
      <w:tblGrid>
        <w:gridCol w:w="1129"/>
        <w:gridCol w:w="1831"/>
        <w:gridCol w:w="2716"/>
        <w:gridCol w:w="3424"/>
        <w:gridCol w:w="1123"/>
        <w:gridCol w:w="907"/>
        <w:gridCol w:w="1215"/>
        <w:gridCol w:w="1829"/>
      </w:tblGrid>
      <w:tr>
        <w:tblPrEx>
          <w:tblCellMar>
            <w:top w:w="0" w:type="dxa"/>
            <w:left w:w="108" w:type="dxa"/>
            <w:bottom w:w="0" w:type="dxa"/>
            <w:right w:w="108" w:type="dxa"/>
          </w:tblCellMar>
        </w:tblPrEx>
        <w:trPr>
          <w:trHeight w:val="465" w:hRule="atLeast"/>
        </w:trPr>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绩效目标</w:t>
            </w:r>
          </w:p>
        </w:tc>
        <w:tc>
          <w:tcPr>
            <w:tcW w:w="183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目标1</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达到卫生县城，洁净城市标准。</w:t>
            </w:r>
          </w:p>
        </w:tc>
      </w:tr>
      <w:tr>
        <w:tblPrEx>
          <w:tblCellMar>
            <w:top w:w="0" w:type="dxa"/>
            <w:left w:w="108" w:type="dxa"/>
            <w:bottom w:w="0" w:type="dxa"/>
            <w:right w:w="108" w:type="dxa"/>
          </w:tblCellMar>
        </w:tblPrEx>
        <w:trPr>
          <w:trHeight w:val="562" w:hRule="atLeast"/>
        </w:trPr>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目标2</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提高县城区整体环境卫生标准，道路干净整洁达到相关标准要求。</w:t>
            </w:r>
          </w:p>
        </w:tc>
      </w:tr>
      <w:tr>
        <w:tblPrEx>
          <w:tblCellMar>
            <w:top w:w="0" w:type="dxa"/>
            <w:left w:w="108" w:type="dxa"/>
            <w:bottom w:w="0" w:type="dxa"/>
            <w:right w:w="108" w:type="dxa"/>
          </w:tblCellMar>
        </w:tblPrEx>
        <w:trPr>
          <w:trHeight w:val="375"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一级指标</w:t>
            </w:r>
          </w:p>
        </w:tc>
        <w:tc>
          <w:tcPr>
            <w:tcW w:w="18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二级指标</w:t>
            </w:r>
          </w:p>
        </w:tc>
        <w:tc>
          <w:tcPr>
            <w:tcW w:w="27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三级指标</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绩效指标描述</w:t>
            </w:r>
          </w:p>
        </w:tc>
        <w:tc>
          <w:tcPr>
            <w:tcW w:w="324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w:t>
            </w:r>
          </w:p>
        </w:tc>
        <w:tc>
          <w:tcPr>
            <w:tcW w:w="18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指标值确定依据</w:t>
            </w:r>
          </w:p>
        </w:tc>
      </w:tr>
      <w:tr>
        <w:tblPrEx>
          <w:tblCellMar>
            <w:top w:w="0" w:type="dxa"/>
            <w:left w:w="108" w:type="dxa"/>
            <w:bottom w:w="0" w:type="dxa"/>
            <w:right w:w="108" w:type="dxa"/>
          </w:tblCellMar>
        </w:tblPrEx>
        <w:trPr>
          <w:trHeight w:val="1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27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1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符号</w:t>
            </w:r>
          </w:p>
        </w:tc>
        <w:tc>
          <w:tcPr>
            <w:tcW w:w="90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值</w:t>
            </w:r>
          </w:p>
        </w:tc>
        <w:tc>
          <w:tcPr>
            <w:tcW w:w="121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单位（文字描述）</w:t>
            </w:r>
          </w:p>
        </w:tc>
        <w:tc>
          <w:tcPr>
            <w:tcW w:w="1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r>
      <w:tr>
        <w:tblPrEx>
          <w:tblCellMar>
            <w:top w:w="0" w:type="dxa"/>
            <w:left w:w="108" w:type="dxa"/>
            <w:bottom w:w="0" w:type="dxa"/>
            <w:right w:w="108" w:type="dxa"/>
          </w:tblCellMar>
        </w:tblPrEx>
        <w:trPr>
          <w:trHeight w:val="45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产出指标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数量指标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环境服务公司数量</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具有相关资质，符合法律规定</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个</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合法率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合同签订合法</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77"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时效指标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及时性</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保洁清扫及时</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成本指标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所需费用</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1个环境服务公司费用</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308.23</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效果指标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促进就业增长</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解决再就业</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296</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人</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经济效益指标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带动就业</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经济收入</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1.8</w:t>
            </w:r>
          </w:p>
        </w:tc>
        <w:tc>
          <w:tcPr>
            <w:tcW w:w="1215"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生态效益指标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环境整洁</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无污染</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3</w:t>
            </w:r>
          </w:p>
        </w:tc>
        <w:tc>
          <w:tcPr>
            <w:tcW w:w="1215"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可持续影响指标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卫生县城、洁净城市</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达到相关标准</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70" w:hRule="atLeast"/>
        </w:trPr>
        <w:tc>
          <w:tcPr>
            <w:tcW w:w="112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满意度指标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服务对象满意度指标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群众不满意度</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对卫生环境不满意率</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5</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2023年农村环卫保洁项目资金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0" w:type="auto"/>
        <w:tblInd w:w="0" w:type="dxa"/>
        <w:tblLayout w:type="fixed"/>
        <w:tblCellMar>
          <w:top w:w="0" w:type="dxa"/>
          <w:left w:w="108" w:type="dxa"/>
          <w:bottom w:w="0" w:type="dxa"/>
          <w:right w:w="108" w:type="dxa"/>
        </w:tblCellMar>
      </w:tblPr>
      <w:tblGrid>
        <w:gridCol w:w="1129"/>
        <w:gridCol w:w="1831"/>
        <w:gridCol w:w="2716"/>
        <w:gridCol w:w="3424"/>
        <w:gridCol w:w="1123"/>
        <w:gridCol w:w="907"/>
        <w:gridCol w:w="1215"/>
        <w:gridCol w:w="1829"/>
      </w:tblGrid>
      <w:tr>
        <w:tblPrEx>
          <w:tblCellMar>
            <w:top w:w="0" w:type="dxa"/>
            <w:left w:w="108" w:type="dxa"/>
            <w:bottom w:w="0" w:type="dxa"/>
            <w:right w:w="108" w:type="dxa"/>
          </w:tblCellMar>
        </w:tblPrEx>
        <w:trPr>
          <w:trHeight w:val="465" w:hRule="atLeast"/>
        </w:trPr>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绩效目标</w:t>
            </w:r>
          </w:p>
        </w:tc>
        <w:tc>
          <w:tcPr>
            <w:tcW w:w="183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目标1</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主要解决改善居民出行环境，为大家创造一个干净整洁的城市，提高人民幸福指数达到卫生县城，洁净城市标准。</w:t>
            </w:r>
          </w:p>
        </w:tc>
      </w:tr>
      <w:tr>
        <w:tblPrEx>
          <w:tblCellMar>
            <w:top w:w="0" w:type="dxa"/>
            <w:left w:w="108" w:type="dxa"/>
            <w:bottom w:w="0" w:type="dxa"/>
            <w:right w:w="108" w:type="dxa"/>
          </w:tblCellMar>
        </w:tblPrEx>
        <w:trPr>
          <w:trHeight w:val="562" w:hRule="atLeast"/>
        </w:trPr>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目标2</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解决垃圾围城、围村的现象，在全县打造容貌整洁、舒适宜人的城乡环境。</w:t>
            </w:r>
          </w:p>
        </w:tc>
      </w:tr>
      <w:tr>
        <w:tblPrEx>
          <w:tblCellMar>
            <w:top w:w="0" w:type="dxa"/>
            <w:left w:w="108" w:type="dxa"/>
            <w:bottom w:w="0" w:type="dxa"/>
            <w:right w:w="108" w:type="dxa"/>
          </w:tblCellMar>
        </w:tblPrEx>
        <w:trPr>
          <w:trHeight w:val="375"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一级指标</w:t>
            </w:r>
          </w:p>
        </w:tc>
        <w:tc>
          <w:tcPr>
            <w:tcW w:w="18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二级指标</w:t>
            </w:r>
          </w:p>
        </w:tc>
        <w:tc>
          <w:tcPr>
            <w:tcW w:w="27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三级指标</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绩效指标描述</w:t>
            </w:r>
          </w:p>
        </w:tc>
        <w:tc>
          <w:tcPr>
            <w:tcW w:w="324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w:t>
            </w:r>
          </w:p>
        </w:tc>
        <w:tc>
          <w:tcPr>
            <w:tcW w:w="18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指标值确定依据</w:t>
            </w:r>
          </w:p>
        </w:tc>
      </w:tr>
      <w:tr>
        <w:tblPrEx>
          <w:tblCellMar>
            <w:top w:w="0" w:type="dxa"/>
            <w:left w:w="108" w:type="dxa"/>
            <w:bottom w:w="0" w:type="dxa"/>
            <w:right w:w="108" w:type="dxa"/>
          </w:tblCellMar>
        </w:tblPrEx>
        <w:trPr>
          <w:trHeight w:val="1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27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1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符号</w:t>
            </w:r>
          </w:p>
        </w:tc>
        <w:tc>
          <w:tcPr>
            <w:tcW w:w="90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值</w:t>
            </w:r>
          </w:p>
        </w:tc>
        <w:tc>
          <w:tcPr>
            <w:tcW w:w="121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单位（文字描述）</w:t>
            </w:r>
          </w:p>
        </w:tc>
        <w:tc>
          <w:tcPr>
            <w:tcW w:w="1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r>
      <w:tr>
        <w:tblPrEx>
          <w:tblCellMar>
            <w:top w:w="0" w:type="dxa"/>
            <w:left w:w="108" w:type="dxa"/>
            <w:bottom w:w="0" w:type="dxa"/>
            <w:right w:w="108" w:type="dxa"/>
          </w:tblCellMar>
        </w:tblPrEx>
        <w:trPr>
          <w:trHeight w:val="487"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产出指标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数量指标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环境服务公司数量</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具有相关资质，符合法律规定</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个</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合法率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合同签订合法</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77"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时效指标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及时性</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保洁清扫及时</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成本指标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所需费用</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1个环境服务公司费用</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601.98</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效果指标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促进就业增长</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解决再就业</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2200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人</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经济效益指标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带动就业</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经济收入</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1.8</w:t>
            </w:r>
          </w:p>
        </w:tc>
        <w:tc>
          <w:tcPr>
            <w:tcW w:w="1215"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生态效益指标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环境整洁</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无污染</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3</w:t>
            </w:r>
          </w:p>
        </w:tc>
        <w:tc>
          <w:tcPr>
            <w:tcW w:w="1215"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可持续影响指标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卫生县城、洁净城市</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达到相关标准</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70" w:hRule="atLeast"/>
        </w:trPr>
        <w:tc>
          <w:tcPr>
            <w:tcW w:w="112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满意度指标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服务对象满意度指标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群众不满意度</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对卫生环境不满意率</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大城县城市管理综合行政执法局本级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640" w:firstLineChars="200"/>
        <w:outlineLvl w:val="0"/>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lang w:eastAsia="zh-CN"/>
        </w:rPr>
        <w:t>注：我单位未安排政府采购预算，以空表列示。</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大城县城市管理综合行政执法局本级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655.592435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3.40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w:t>
      </w:r>
      <w:r>
        <w:rPr>
          <w:rFonts w:hint="eastAsia" w:ascii="Times New Roman" w:hAnsi="Times New Roman" w:eastAsia="仿宋_GB2312" w:cs="Times New Roman"/>
          <w:sz w:val="32"/>
          <w:szCs w:val="32"/>
          <w:lang w:val="en-US" w:eastAsia="zh-CN"/>
        </w:rPr>
        <w:t>1.60万元</w:t>
      </w:r>
      <w:r>
        <w:rPr>
          <w:rFonts w:ascii="Times New Roman" w:hAnsi="Times New Roman" w:eastAsia="仿宋_GB2312" w:cs="Times New Roman"/>
          <w:sz w:val="32"/>
          <w:szCs w:val="32"/>
        </w:rPr>
        <w:t>、空调</w:t>
      </w:r>
      <w:r>
        <w:rPr>
          <w:rFonts w:hint="eastAsia" w:ascii="Times New Roman" w:hAnsi="Times New Roman" w:eastAsia="仿宋_GB2312" w:cs="Times New Roman"/>
          <w:sz w:val="32"/>
          <w:szCs w:val="32"/>
          <w:lang w:val="en-US" w:eastAsia="zh-CN"/>
        </w:rPr>
        <w:t>1.80万元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城市管理综合行政执法局本级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655.592435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2379.10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341.10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2379.10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341.10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95.061135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219.4313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1F7565"/>
    <w:rsid w:val="02AC7FF1"/>
    <w:rsid w:val="045525AB"/>
    <w:rsid w:val="05814297"/>
    <w:rsid w:val="058B6DA4"/>
    <w:rsid w:val="070E4D22"/>
    <w:rsid w:val="0F0373B1"/>
    <w:rsid w:val="13E306DA"/>
    <w:rsid w:val="16972CA0"/>
    <w:rsid w:val="1B1D7A72"/>
    <w:rsid w:val="1B6E4190"/>
    <w:rsid w:val="1C502F39"/>
    <w:rsid w:val="1EC30B03"/>
    <w:rsid w:val="210437B9"/>
    <w:rsid w:val="220977E4"/>
    <w:rsid w:val="22914245"/>
    <w:rsid w:val="22FA25EF"/>
    <w:rsid w:val="29020CD6"/>
    <w:rsid w:val="2A2D713F"/>
    <w:rsid w:val="2A3000C3"/>
    <w:rsid w:val="2ADE4E1E"/>
    <w:rsid w:val="2C5632CC"/>
    <w:rsid w:val="2CBE40C8"/>
    <w:rsid w:val="2DA07DEB"/>
    <w:rsid w:val="2EEE1C8B"/>
    <w:rsid w:val="30224607"/>
    <w:rsid w:val="321A21C3"/>
    <w:rsid w:val="35205941"/>
    <w:rsid w:val="35503F04"/>
    <w:rsid w:val="36272452"/>
    <w:rsid w:val="37EF3553"/>
    <w:rsid w:val="38021582"/>
    <w:rsid w:val="38F17E51"/>
    <w:rsid w:val="3C2970C0"/>
    <w:rsid w:val="3E8B454E"/>
    <w:rsid w:val="3EA87782"/>
    <w:rsid w:val="3F655022"/>
    <w:rsid w:val="42B32185"/>
    <w:rsid w:val="465316EE"/>
    <w:rsid w:val="4BFC60AA"/>
    <w:rsid w:val="516A26A0"/>
    <w:rsid w:val="517B3EB5"/>
    <w:rsid w:val="55266F6C"/>
    <w:rsid w:val="55440103"/>
    <w:rsid w:val="55CE2102"/>
    <w:rsid w:val="57E040E2"/>
    <w:rsid w:val="5B0A05D0"/>
    <w:rsid w:val="60A972A5"/>
    <w:rsid w:val="616F7F68"/>
    <w:rsid w:val="63302147"/>
    <w:rsid w:val="650877CF"/>
    <w:rsid w:val="66BE5059"/>
    <w:rsid w:val="673B57FC"/>
    <w:rsid w:val="687D1153"/>
    <w:rsid w:val="68C639F2"/>
    <w:rsid w:val="6B1D22BB"/>
    <w:rsid w:val="6B2A0C5E"/>
    <w:rsid w:val="6C2731BD"/>
    <w:rsid w:val="6D216B9A"/>
    <w:rsid w:val="6D883FC0"/>
    <w:rsid w:val="6E524D0E"/>
    <w:rsid w:val="6F7118E2"/>
    <w:rsid w:val="6FC87D72"/>
    <w:rsid w:val="725B22AA"/>
    <w:rsid w:val="76BF02E0"/>
    <w:rsid w:val="77194B2C"/>
    <w:rsid w:val="78B23F93"/>
    <w:rsid w:val="78B54F18"/>
    <w:rsid w:val="79A33E26"/>
    <w:rsid w:val="7A294A79"/>
    <w:rsid w:val="7CF73913"/>
    <w:rsid w:val="7E4F6457"/>
    <w:rsid w:val="7FDE1157"/>
    <w:rsid w:val="7FE046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4</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2023-03-16T08:45:50Z</cp:lastPrinted>
  <dcterms:modified xsi:type="dcterms:W3CDTF">2023-03-16T08:46:24Z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E0DCD2FAFD4C4EC78104898D7A030BBD</vt:lpwstr>
  </property>
</Properties>
</file>