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大城县城市管理综合行政执法局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大城县城市管理综合行政执法局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hint="eastAsia"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根据《中共廊坊市委办公室廊坊市人民政府办公室关于印发&lt;大城县机构改革方案&gt;的通知》（廊办字〔2018〕74号）。2019年3月22日在大城县城市管理行政执法局基础上成立大城县城市管理综合行政执法局（简称县城管行政执法局）为县政府工作，机构规格正科级。 主要职责是：</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（一）贯彻落实国家、省和市关于城市管理综合行政执法工作的法律、法规、规章及相关政策；统筹全县城市管理综合行政执法的改革与发展。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（二）行使市容环境卫生管理方面法律、法规、规章规定的部分行政处罚权；履行市容环境卫生管理方面法律、法规、规章规定的有关职责。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（三）行使城区规划管理方面法律、法规规定的行政处罚权。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（四）行使城市园林绿化管理方面法律、法规、规章规定的部分行政处罚权。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（五）行使市场监督管理方面法律、法规、规章规定的对户外小食品摊点备案卡的行政处罚权。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（六）行使公安交通管理方面法律、法规、规章规定的对侵占城市道路人行道、公共场地等行为的行政处罚权。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（七）行使市政、公用设施管理方面法律、法规、规章规定的部分行政处罚权。负责临时占用城市道路审批并依法收取占用费。</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（八）负责编制城区户外广告、招牌设置规划和技术规范；负责城区户外广告、张贴张挂宣传品的监督和管理工作。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（九）行使大气污染防治方面的法律、法规、规章规定的部分行政处罚权。查处运输渣土、砂石、建筑垃圾等车辆未采取密闭或其他防护措施造成扬尘污染的行为。    </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 十 )负责数字化城市管理信息平台的建设、管理工作。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（十一）负责受理上级批转的信访案件和群众举报案件及办理县人大、政协建议、提案工作。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（十二）负责干部职工思想政治教育及业务培训工作，局内党（团）员的发展、教育、管理工作，工青妇及安全生产保卫工作。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（十三）完成县委、县政府交办的其他任务。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szCs w:val="24"/>
              </w:rPr>
              <w:t>大城县城市管理综合行政执法局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szCs w:val="24"/>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大城县城市管理综合行政执法局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12963.25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2040.75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10922.50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12963.25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1764.24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1668.19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96.05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11199.01</w:t>
      </w:r>
      <w:r>
        <w:rPr>
          <w:rFonts w:ascii="Times New Roman" w:hAnsi="Times New Roman" w:eastAsia="仿宋_GB2312" w:cs="Times New Roman"/>
          <w:sz w:val="32"/>
          <w:szCs w:val="32"/>
        </w:rPr>
        <w:t>万元，主要为</w:t>
      </w:r>
      <w:r>
        <w:rPr>
          <w:rFonts w:hint="eastAsia" w:ascii="仿宋_GB2312" w:hAnsi="仿宋" w:eastAsia="仿宋_GB2312" w:cs="仿宋_GB2312"/>
          <w:sz w:val="32"/>
          <w:szCs w:val="32"/>
        </w:rPr>
        <w:t>市容市貌监察、城区规划管理、户外广告、大气污染防治、数字化城管系统项目</w:t>
      </w:r>
      <w:r>
        <w:rPr>
          <w:rFonts w:hint="eastAsia" w:ascii="仿宋" w:hAnsi="仿宋" w:eastAsia="仿宋" w:cs="仿宋_GB2312"/>
          <w:sz w:val="32"/>
          <w:szCs w:val="32"/>
        </w:rPr>
        <w:t>、</w:t>
      </w:r>
      <w:r>
        <w:rPr>
          <w:rFonts w:hint="eastAsia" w:ascii="仿宋_GB2312" w:eastAsia="仿宋_GB2312"/>
          <w:sz w:val="32"/>
          <w:szCs w:val="32"/>
        </w:rPr>
        <w:t>城管政务管理</w:t>
      </w:r>
      <w:r>
        <w:rPr>
          <w:rFonts w:hint="eastAsia" w:ascii="仿宋_GB2312" w:eastAsia="仿宋_GB2312"/>
          <w:sz w:val="32"/>
          <w:szCs w:val="32"/>
          <w:lang w:eastAsia="zh-CN"/>
        </w:rPr>
        <w:t>、</w:t>
      </w:r>
      <w:r>
        <w:rPr>
          <w:rFonts w:hint="eastAsia" w:ascii="仿宋_GB2312" w:eastAsia="仿宋_GB2312"/>
          <w:sz w:val="32"/>
          <w:szCs w:val="32"/>
        </w:rPr>
        <w:t>环卫事务管理</w:t>
      </w:r>
      <w:r>
        <w:rPr>
          <w:rFonts w:hint="eastAsia" w:ascii="仿宋_GB2312" w:eastAsia="仿宋_GB2312"/>
          <w:sz w:val="32"/>
          <w:szCs w:val="32"/>
          <w:lang w:eastAsia="zh-CN"/>
        </w:rPr>
        <w:t>、</w:t>
      </w:r>
      <w:r>
        <w:rPr>
          <w:rFonts w:hint="eastAsia" w:ascii="仿宋_GB2312" w:eastAsia="仿宋_GB2312"/>
          <w:sz w:val="32"/>
          <w:szCs w:val="32"/>
        </w:rPr>
        <w:t>“城市家具”管理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12963.25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10918.89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405.02</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w:t>
      </w:r>
      <w:r>
        <w:rPr>
          <w:rFonts w:hint="eastAsia" w:ascii="仿宋_GB2312" w:hAnsi="仿宋_GB2312" w:eastAsia="仿宋_GB2312" w:cs="仿宋_GB2312"/>
          <w:sz w:val="32"/>
          <w:szCs w:val="32"/>
          <w:lang w:val="en-US" w:eastAsia="zh-CN"/>
        </w:rPr>
        <w:t>402.99</w:t>
      </w:r>
      <w:r>
        <w:rPr>
          <w:rFonts w:hint="eastAsia" w:ascii="仿宋_GB2312" w:hAnsi="仿宋_GB2312" w:eastAsia="仿宋_GB2312" w:cs="仿宋_GB2312"/>
          <w:sz w:val="32"/>
          <w:szCs w:val="32"/>
        </w:rPr>
        <w:t>万元，日常公用</w:t>
      </w:r>
      <w:r>
        <w:rPr>
          <w:rFonts w:ascii="Times New Roman" w:hAnsi="Times New Roman" w:eastAsia="仿宋_GB2312" w:cs="Times New Roman"/>
          <w:sz w:val="32"/>
          <w:szCs w:val="32"/>
        </w:rPr>
        <w:t>支出</w:t>
      </w:r>
      <w:r>
        <w:rPr>
          <w:rFonts w:hint="eastAsia" w:ascii="仿宋_GB2312" w:hAnsi="仿宋_GB2312" w:eastAsia="仿宋_GB2312" w:cs="仿宋_GB2312"/>
          <w:sz w:val="32"/>
          <w:szCs w:val="32"/>
        </w:rPr>
        <w:t>较去年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highlight w:val="none"/>
          <w:lang w:val="en-US" w:eastAsia="zh-CN"/>
        </w:rPr>
        <w:t>10513.87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增加农村环卫保洁</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和城区环卫保洁项目支出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96.05</w:t>
      </w:r>
      <w:r>
        <w:rPr>
          <w:rFonts w:ascii="Times New Roman" w:hAnsi="Times New Roman" w:eastAsia="仿宋_GB2312" w:cs="Times New Roman"/>
          <w:sz w:val="32"/>
          <w:szCs w:val="32"/>
        </w:rPr>
        <w:t>万元，主要用于办公区的日常维修、办公用房水电费、办公用房取暖费、</w:t>
      </w:r>
      <w:r>
        <w:rPr>
          <w:rFonts w:hint="eastAsia" w:ascii="Times New Roman" w:hAnsi="Times New Roman" w:eastAsia="仿宋_GB2312" w:cs="Times New Roman"/>
          <w:sz w:val="32"/>
          <w:szCs w:val="32"/>
        </w:rPr>
        <w:t>公务用车运行维护费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切实落实勤俭节约各项规定，严格控制公务接待费支出。</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color w:val="000000"/>
          <w:sz w:val="32"/>
          <w:szCs w:val="32"/>
        </w:rPr>
      </w:pPr>
      <w:r>
        <w:rPr>
          <w:rFonts w:hint="eastAsia" w:ascii="Times New Roman" w:hAnsi="Times New Roman" w:eastAsia="仿宋_GB2312" w:cs="Times New Roman"/>
          <w:sz w:val="32"/>
          <w:szCs w:val="32"/>
        </w:rPr>
        <w:t>通过市容市貌监察，将进一步加大执法力度，保障群众出行、正常车辆停放秩序和部分环境卫生；通过城区规划管理，坚决遏制违法行为零容忍查处；园林绿化，保证城区园林景观优美秀丽，绿化覆盖率广，保护城市生态环境；市政公用设施，保证城市地下管网全覆盖及正常使用，城镇排水污水问题得到妥善解决，市政公共设施的抗灾性及城市道路、基础设施管理；城区户外广告、招牌设置规划和技术规范化，对未按许可设置及提供虚假材料、骗取许可证的行使行政处罚权；大气污染防治，减少运输渣土、砂石、建筑垃圾扬尘污染；数字化城管系统，确保数字化城管系统正式运行；通过城管政务管理，加强全县城管执法人才队伍建设，提高人才业务素质，提高行业水平,提升机关及行业信息化水平，保障各类业务系统安全稳定运行,规范审批行为，推进政务公开，增加服务意识，提高工作效率。</w:t>
      </w:r>
    </w:p>
    <w:p>
      <w:pPr>
        <w:spacing w:line="584" w:lineRule="exact"/>
        <w:ind w:firstLine="643" w:firstLineChars="200"/>
        <w:rPr>
          <w:rFonts w:hint="eastAsia" w:ascii="楷体_GB2312" w:eastAsia="楷体_GB2312" w:cs="Times New Roman"/>
          <w:b/>
          <w:sz w:val="32"/>
          <w:szCs w:val="32"/>
        </w:rPr>
      </w:pP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1、市场监督管理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对户外小食品摊点备案卡进行规范管理。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绩效指标：城区小食品摊点规范整洁率。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2、市容市貌监察管理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绩效目标：减少餐厨垃圾，保证环境卫生。</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绩效指标：市容环境卫生整洁率。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3、公安交通管理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绩效目标：保障群众出行，正常车辆停放秩序。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绩效指标：交通停放秩序。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4、违法建筑规范整治</w:t>
      </w:r>
    </w:p>
    <w:p>
      <w:pPr>
        <w:widowControl/>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绩效目标：坚决遏制违法建设行为零容忍查处。</w:t>
      </w:r>
    </w:p>
    <w:p>
      <w:pPr>
        <w:widowControl/>
        <w:ind w:firstLine="160" w:firstLineChar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绩效指标：违法建筑发生率。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5、园林绿化管理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绩效目标：保证城区园林景观优美秀丽，绿化覆盖率广，保护城市生态环境。</w:t>
      </w:r>
    </w:p>
    <w:p>
      <w:pPr>
        <w:widowControl/>
        <w:ind w:firstLine="160" w:firstLineChar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绩效指标：园林绿化监督率。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6、市政公用设施管理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保证城市地下管网全覆盖及正常使用，城镇排水污水问题得到妥善解决，市政公共设施的抗灾性及城市道路、基础设施管理。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 建设、改造、修缮工程量</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7、户外广告管理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绩效目标：城区户外广告、招牌设置规划和技术规范化，对未按许可设置及提供虚假材料、骗取许可证的行使行政处罚权。</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绩效指标：城区街道整洁率。</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8、大气污染治理</w:t>
      </w:r>
    </w:p>
    <w:p>
      <w:pPr>
        <w:widowControl/>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绩效目标：减少运输渣土、砂石、建筑垃圾扬尘污染。 </w:t>
      </w:r>
    </w:p>
    <w:p>
      <w:pPr>
        <w:widowControl/>
        <w:ind w:firstLine="800" w:firstLineChars="2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绩效指标：污染物排放降低率。</w:t>
      </w:r>
    </w:p>
    <w:p>
      <w:pPr>
        <w:widowControl/>
        <w:ind w:firstLine="800" w:firstLineChars="2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9、数字化城管系统运行</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绩效目标：保证数字化城管的正常运行，实现精确、敏捷、高效、全时段、全方位覆盖的城市管理模式。</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绩效指标：数字化城管中心运行效率。</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10、综合业务管理</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绩效目标：加强管理，圆满完成县委、县政府交办任务。</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绩效指标：综合业务管理工作完成率。</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11、综合事务管理</w:t>
      </w:r>
      <w:r>
        <w:rPr>
          <w:rFonts w:ascii="Times New Roman" w:hAnsi="Times New Roman" w:eastAsia="仿宋_GB2312" w:cs="Times New Roman"/>
          <w:sz w:val="32"/>
          <w:szCs w:val="32"/>
        </w:rPr>
        <w:t> </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绩效目标：加强机关事务性管理，提高机关自身工作能力。</w:t>
      </w:r>
      <w:r>
        <w:rPr>
          <w:rFonts w:ascii="Times New Roman" w:hAnsi="Times New Roman" w:eastAsia="仿宋_GB2312" w:cs="Times New Roman"/>
          <w:sz w:val="32"/>
          <w:szCs w:val="32"/>
        </w:rPr>
        <w:t> </w:t>
      </w:r>
    </w:p>
    <w:p>
      <w:pPr>
        <w:widowControl/>
        <w:ind w:firstLine="640" w:firstLineChars="200"/>
        <w:jc w:val="left"/>
        <w:rPr>
          <w:rFonts w:cs="Calibri"/>
          <w:color w:val="000000"/>
          <w:kern w:val="0"/>
          <w:sz w:val="22"/>
        </w:rPr>
      </w:pPr>
      <w:r>
        <w:rPr>
          <w:rFonts w:hint="eastAsia" w:ascii="Times New Roman" w:hAnsi="Times New Roman" w:eastAsia="仿宋_GB2312" w:cs="Times New Roman"/>
          <w:sz w:val="32"/>
          <w:szCs w:val="32"/>
        </w:rPr>
        <w:t>绩效指标：综合事务管理工作完成率。</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640" w:firstLineChars="200"/>
        <w:jc w:val="left"/>
        <w:rPr>
          <w:rFonts w:hint="eastAsia" w:ascii="Times New Roman" w:hAnsi="Times New Roman" w:eastAsia="仿宋_GB2312" w:cs="Times New Roman"/>
          <w:sz w:val="32"/>
          <w:szCs w:val="32"/>
        </w:rPr>
      </w:pPr>
      <w:r>
        <w:rPr>
          <w:rFonts w:hint="eastAsia" w:ascii="楷体_GB2312" w:eastAsia="楷体_GB2312" w:cs="Times New Roman"/>
          <w:b w:val="0"/>
          <w:bCs/>
          <w:sz w:val="32"/>
          <w:szCs w:val="32"/>
          <w:lang w:val="en-US" w:eastAsia="zh-CN"/>
        </w:rPr>
        <w:t>1、</w:t>
      </w:r>
      <w:r>
        <w:rPr>
          <w:rFonts w:hint="eastAsia" w:ascii="Times New Roman" w:hAnsi="Times New Roman" w:eastAsia="仿宋_GB2312" w:cs="Times New Roman"/>
          <w:sz w:val="32"/>
          <w:szCs w:val="32"/>
        </w:rPr>
        <w:t xml:space="preserve">增强预算绩效管理理念，多管齐下宣讲预算绩效管理相关政策，重视财政绩效预算管理工作，建立预算绩效管理的氛围文化。领导要带头重视，相关部门协调参与，引入预算绩效管理服务中介机构积极参加;加大预算绩效管理的宣传力度，增强广大职工和领导的绩效管理意识。 </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 xml:space="preserve">深入研究预算绩效管理相关文件，合理制定绩效管理相关制度。财政部的最新文件指出，全面预算绩效管理是现在预算关键的核心。制度是上层建筑，只有先定了制度，才能保证工作的顺利开展。同时，预算绩效管理工作要深入细化，只有将举措细分开来，才能切实深入贯彻落实全面预算绩效管理工作。 </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扩大绩效管理的领域，实现全面覆盖绩效管理。预算绩效管理的范围不仅包括一般公共预算支出预算，还包括政府性基金预算等。还需要通过优化支出结构、编细编实预算、加快履行政府采购手续、尽快启动项目、及时支付资金、6月底前细化代编预算、按规定及时下达资金等多种措施，确保支出进度达标。　</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转变以往只注重形式的预算绩效管理工作理念，各个部门和单位不止要做好报表的工作，还要结合如何做好预算的思想观念融入到实践的资金管理中去，真正做到的“花钱必问效，无效必问责。”完善财务管理制度，严格审批程序，加强固定资产登记、使用和报废处置管理，做到支出合理，物尽其用。</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 xml:space="preserve">加强绩效资金管理的督查检查，强化责任落实。近年来，地方政府都出台了预算绩效管理办法和实施准则，这些办法和准则都在一定范围内得到了实施。各相关部门都在建立完善的制度，建立预算绩效管理保障体系。制度和体系的建立离不开财政、审计和监察部门的配合，这些部门要对预算项目实施严密的事前监督、事中监督和事后监督，一旦发现违反法律法规的行为，一定要严厉追究相关人员的责任。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 xml:space="preserve">建立一支综合素质高、业务能力强的专业团队。财政预算绩效管理工作队伍需要一批业务骨干，这些业务骨干保证工作的进行。我们通过聘请中介机构绩效管理专家开培训会、办培训班等多种手段对我预算单位负责预算绩效管理的骨干人员进行专业化的预算绩效管理培训，以提升相关管理人员的业务素质。同时，我们要加强部门单位之间的交流，学习先进部门单位的预算绩效管理经验，参加对标学习，把优秀的管理经验为我所用。 </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 xml:space="preserve">通过对上年度部门预算绩效自评和重点工作评价，及时发现问题并整改，调整优化指出结构，提高财政资金的使用效益。实施预算绩效评价结果的信息公开。其一，经常开展绩效评价可以督促预算单位合理使用资金，提高资金使用效率，并将这些绩效评价结果整理成报告进行反馈;其二，如果评价结果能够得到公开，那么更便于社会公众的监督，我们在政府网站上公开，以此不断提高绩效管理水平。 </w:t>
      </w:r>
    </w:p>
    <w:p>
      <w:pPr>
        <w:widowControl/>
        <w:ind w:firstLine="640" w:firstLineChars="200"/>
        <w:jc w:val="left"/>
        <w:rPr>
          <w:rFonts w:hint="eastAsia" w:ascii="Times New Roman" w:hAnsi="Times New Roman" w:eastAsia="仿宋_GB2312" w:cs="Times New Roman"/>
          <w:sz w:val="32"/>
          <w:szCs w:val="32"/>
        </w:rPr>
      </w:pPr>
    </w:p>
    <w:p>
      <w:pPr>
        <w:widowControl/>
        <w:ind w:firstLine="643" w:firstLineChars="200"/>
        <w:jc w:val="left"/>
        <w:rPr>
          <w:rFonts w:hint="eastAsia" w:ascii="楷体_GB2312" w:eastAsia="楷体_GB2312" w:cs="Times New Roman"/>
          <w:b/>
          <w:sz w:val="32"/>
          <w:szCs w:val="32"/>
        </w:rPr>
      </w:pPr>
    </w:p>
    <w:p>
      <w:pPr>
        <w:widowControl/>
        <w:ind w:firstLine="643" w:firstLineChars="200"/>
        <w:jc w:val="left"/>
        <w:rPr>
          <w:rFonts w:hint="eastAsia" w:ascii="楷体_GB2312" w:eastAsia="楷体_GB2312" w:cs="Times New Roman"/>
          <w:b/>
          <w:sz w:val="32"/>
          <w:szCs w:val="32"/>
        </w:rPr>
      </w:pPr>
    </w:p>
    <w:p>
      <w:pPr>
        <w:widowControl/>
        <w:ind w:firstLine="643" w:firstLineChars="200"/>
        <w:jc w:val="left"/>
        <w:rPr>
          <w:rFonts w:hint="eastAsia" w:ascii="楷体_GB2312" w:eastAsia="楷体_GB2312" w:cs="Times New Roman"/>
          <w:b/>
          <w:sz w:val="32"/>
          <w:szCs w:val="32"/>
        </w:rPr>
      </w:pPr>
    </w:p>
    <w:p>
      <w:pPr>
        <w:widowControl/>
        <w:ind w:firstLine="643" w:firstLineChars="200"/>
        <w:jc w:val="left"/>
        <w:rPr>
          <w:rFonts w:hint="eastAsia" w:ascii="楷体_GB2312" w:eastAsia="楷体_GB2312" w:cs="Times New Roman"/>
          <w:b/>
          <w:sz w:val="32"/>
          <w:szCs w:val="32"/>
        </w:rPr>
      </w:pPr>
    </w:p>
    <w:p>
      <w:pPr>
        <w:widowControl/>
        <w:numPr>
          <w:ilvl w:val="0"/>
          <w:numId w:val="1"/>
        </w:numPr>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widowControl/>
        <w:numPr>
          <w:ilvl w:val="0"/>
          <w:numId w:val="0"/>
        </w:numPr>
        <w:jc w:val="left"/>
        <w:rPr>
          <w:rFonts w:hint="eastAsia"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部门</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项目完成数量</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专项项目数量</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hint="eastAsia" w:ascii="方正书宋_GBK" w:eastAsia="方正书宋_GBK"/>
                <w:lang w:eastAsia="zh-CN"/>
              </w:rPr>
            </w:pPr>
            <w:r>
              <w:rPr>
                <w:rFonts w:hint="eastAsia" w:eastAsia="方正书宋_GBK" w:cs="Calibri"/>
                <w:color w:val="000000"/>
                <w:sz w:val="18"/>
                <w:szCs w:val="18"/>
                <w:lang w:val="en-US" w:eastAsia="zh-CN"/>
              </w:rPr>
              <w:t>4</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个</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质量达标</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质量达标</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100</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完成时间</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完成时间</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成本控制</w:t>
            </w:r>
          </w:p>
        </w:tc>
        <w:tc>
          <w:tcPr>
            <w:tcW w:w="2172" w:type="dxa"/>
            <w:tcBorders>
              <w:tl2br w:val="nil"/>
              <w:tr2bl w:val="nil"/>
            </w:tcBorders>
            <w:vAlign w:val="center"/>
          </w:tcPr>
          <w:p>
            <w:pPr>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jc w:val="center"/>
              <w:rPr>
                <w:rFonts w:ascii="方正书宋_GBK" w:eastAsia="方正书宋_GBK"/>
              </w:rPr>
            </w:pPr>
            <w:r>
              <w:rPr>
                <w:rFonts w:cs="Calibri"/>
                <w:color w:val="000000"/>
                <w:sz w:val="18"/>
                <w:szCs w:val="18"/>
              </w:rPr>
              <w:t>成本控制在预算额度内</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hint="default" w:ascii="方正书宋_GBK" w:eastAsia="方正书宋_GBK"/>
                <w:lang w:val="en-US" w:eastAsia="zh-CN"/>
              </w:rPr>
            </w:pPr>
            <w:r>
              <w:rPr>
                <w:rFonts w:hint="eastAsia" w:eastAsia="方正书宋_GBK" w:cs="Calibri"/>
                <w:color w:val="000000"/>
                <w:sz w:val="18"/>
                <w:szCs w:val="18"/>
                <w:lang w:val="en-US" w:eastAsia="zh-CN"/>
              </w:rPr>
              <w:t>11199.01</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万元</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8"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提升市民城市管理参与意识</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提升市民城市管理参与意识</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5"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长效管理机制健全性</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反映长效管理机制健全性情况</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jc w:val="center"/>
              <w:rPr>
                <w:rFonts w:ascii="方正书宋_GBK" w:eastAsia="方正书宋_GBK"/>
              </w:rPr>
            </w:pPr>
            <w:r>
              <w:rPr>
                <w:rFonts w:cs="Calibri"/>
                <w:color w:val="000000"/>
                <w:sz w:val="18"/>
                <w:szCs w:val="18"/>
              </w:rPr>
              <w:t>居民满意度</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cs="Calibri"/>
                <w:color w:val="000000"/>
                <w:sz w:val="18"/>
                <w:szCs w:val="18"/>
              </w:rPr>
              <w:t>居民满意度</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jc w:val="center"/>
              <w:rPr>
                <w:rFonts w:ascii="方正书宋_GBK" w:eastAsia="方正书宋_GBK"/>
              </w:rPr>
            </w:pPr>
            <w:r>
              <w:rPr>
                <w:rFonts w:cs="Calibri"/>
                <w:color w:val="000000"/>
                <w:sz w:val="18"/>
                <w:szCs w:val="18"/>
              </w:rPr>
              <w:t>服务对象</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cs="Calibri"/>
                <w:color w:val="000000"/>
                <w:sz w:val="18"/>
                <w:szCs w:val="18"/>
              </w:rPr>
              <w:t>依据项目自评指标体系</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cs="Calibri"/>
                <w:color w:val="000000"/>
                <w:sz w:val="18"/>
                <w:szCs w:val="18"/>
              </w:rPr>
              <w:t>服务对象</w:t>
            </w:r>
          </w:p>
        </w:tc>
        <w:tc>
          <w:tcPr>
            <w:tcW w:w="54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488" w:type="dxa"/>
            <w:tcBorders>
              <w:tl2br w:val="nil"/>
              <w:tr2bl w:val="nil"/>
            </w:tcBorders>
            <w:vAlign w:val="center"/>
          </w:tcPr>
          <w:p>
            <w:pPr>
              <w:jc w:val="center"/>
              <w:rPr>
                <w:rFonts w:ascii="方正书宋_GBK" w:eastAsia="方正书宋_GBK"/>
              </w:rPr>
            </w:pPr>
            <w:r>
              <w:rPr>
                <w:rFonts w:cs="Calibri"/>
                <w:color w:val="000000"/>
                <w:sz w:val="18"/>
                <w:szCs w:val="18"/>
              </w:rPr>
              <w:t>95</w:t>
            </w:r>
          </w:p>
        </w:tc>
        <w:tc>
          <w:tcPr>
            <w:tcW w:w="573" w:type="dxa"/>
            <w:tcBorders>
              <w:tl2br w:val="nil"/>
              <w:tr2bl w:val="nil"/>
            </w:tcBorders>
            <w:vAlign w:val="center"/>
          </w:tcPr>
          <w:p>
            <w:pPr>
              <w:jc w:val="center"/>
              <w:rPr>
                <w:rFonts w:ascii="方正书宋_GBK" w:eastAsia="方正书宋_GBK"/>
              </w:rPr>
            </w:pPr>
            <w:r>
              <w:rPr>
                <w:rFonts w:cs="Calibri"/>
                <w:color w:val="000000"/>
                <w:sz w:val="18"/>
                <w:szCs w:val="18"/>
              </w:rPr>
              <w:t>%</w:t>
            </w:r>
          </w:p>
        </w:tc>
        <w:tc>
          <w:tcPr>
            <w:tcW w:w="1277" w:type="dxa"/>
            <w:tcBorders>
              <w:tl2br w:val="nil"/>
              <w:tr2bl w:val="nil"/>
            </w:tcBorders>
            <w:vAlign w:val="center"/>
          </w:tcPr>
          <w:p>
            <w:pPr>
              <w:jc w:val="center"/>
              <w:rPr>
                <w:rFonts w:ascii="方正书宋_GBK" w:eastAsia="方正书宋_GBK"/>
              </w:rPr>
            </w:pPr>
            <w:r>
              <w:rPr>
                <w:rFonts w:cs="Calibri"/>
                <w:color w:val="000000"/>
                <w:sz w:val="18"/>
                <w:szCs w:val="18"/>
              </w:rPr>
              <w:t>实施方案</w:t>
            </w:r>
          </w:p>
        </w:tc>
      </w:tr>
    </w:tbl>
    <w:p>
      <w:pPr>
        <w:spacing w:line="584" w:lineRule="exact"/>
        <w:rPr>
          <w:rFonts w:ascii="Times New Roman" w:hAnsi="黑体" w:eastAsia="黑体" w:cs="Times New Roman"/>
          <w:sz w:val="32"/>
          <w:szCs w:val="32"/>
        </w:rPr>
      </w:pPr>
      <w:bookmarkStart w:id="2" w:name="_GoBack"/>
      <w:bookmarkEnd w:id="2"/>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2023年建档立卡脱贫户生产生活补助金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215"/>
        <w:gridCol w:w="1829"/>
      </w:tblGrid>
      <w:tr>
        <w:tblPrEx>
          <w:tblCellMar>
            <w:top w:w="0" w:type="dxa"/>
            <w:left w:w="108" w:type="dxa"/>
            <w:bottom w:w="0" w:type="dxa"/>
            <w:right w:w="108" w:type="dxa"/>
          </w:tblCellMar>
        </w:tblPrEx>
        <w:trPr>
          <w:trHeight w:val="300" w:hRule="atLeast"/>
        </w:trPr>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通过项目的实施，解决贫困户日常生活的问题，保障贫困户能过个温暖的中秋和春节，同时表现出我局对扶贫项目的大力支持。</w:t>
            </w:r>
          </w:p>
        </w:tc>
      </w:tr>
      <w:tr>
        <w:tblPrEx>
          <w:tblCellMar>
            <w:top w:w="0" w:type="dxa"/>
            <w:left w:w="108" w:type="dxa"/>
            <w:bottom w:w="0" w:type="dxa"/>
            <w:right w:w="108" w:type="dxa"/>
          </w:tblCellMar>
        </w:tblPrEx>
        <w:trPr>
          <w:trHeight w:val="562" w:hRule="atLeast"/>
        </w:trPr>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目标2</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通过项目的实施，完成对6户贫困家庭发放补助，提高贫困户生活水平，增强贫困户幸福感。</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24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8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21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贫困户数</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考察贫困户的数量</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6</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户</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发放覆盖率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考察是否按计划人数进行发放</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39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发放标准</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考察每户贫困家庭的发放标注</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0.2</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477"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完成及时性</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考察是否按计划及时发放</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文字描述</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及时</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成本控制数</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每户每年0.2万元</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0.2</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万元/户</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项目实施</w:t>
            </w: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提高贫困户生活水平</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提高贫困户生活水平</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文字描述</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较大提高</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增强贫困户幸福感</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考察是否增强了贫困户幸福感</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文字描述</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明显增强</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7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贫困户满意度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考察贫困户的满意程度</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95</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工作计划</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2023年劳务派遣人员经费—人员专项项目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324"/>
        <w:gridCol w:w="1720"/>
      </w:tblGrid>
      <w:tr>
        <w:tblPrEx>
          <w:tblCellMar>
            <w:top w:w="0" w:type="dxa"/>
            <w:left w:w="108" w:type="dxa"/>
            <w:bottom w:w="0" w:type="dxa"/>
            <w:right w:w="108" w:type="dxa"/>
          </w:tblCellMar>
        </w:tblPrEx>
        <w:trPr>
          <w:trHeight w:val="708" w:hRule="atLeast"/>
        </w:trPr>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通过项目的开展实现劳务派遣人员工资及相关保险待遇，保障劳务派遣人员各项待遇的实现。</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35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3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537"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工资待遇发放数量</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反映工资待遇发放数量情况</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69</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工资待遇发放率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反映工资待遇发放率情况</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62"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工资待遇发放及时率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每月10号前发放完成</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日</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成本控制</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按固定工资待遇发放</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4.19</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人/年/万元</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城区容貌改善</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反映城区容貌改善情况</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生态效益指标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城区环境改善</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反映城区环境改善情况</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90</w:t>
            </w:r>
          </w:p>
        </w:tc>
        <w:tc>
          <w:tcPr>
            <w:tcW w:w="1324"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p>
        </w:tc>
      </w:tr>
      <w:tr>
        <w:tblPrEx>
          <w:tblCellMar>
            <w:top w:w="0" w:type="dxa"/>
            <w:left w:w="108" w:type="dxa"/>
            <w:bottom w:w="0" w:type="dxa"/>
            <w:right w:w="108" w:type="dxa"/>
          </w:tblCellMar>
        </w:tblPrEx>
        <w:trPr>
          <w:trHeight w:val="48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可持续影响指标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城市管理服务水平</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反映城市管理的能力和效果</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90</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群众对当前城市管理满意度</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95</w:t>
            </w:r>
          </w:p>
        </w:tc>
        <w:tc>
          <w:tcPr>
            <w:tcW w:w="1324"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720"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2023年城区环卫保洁项目资金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215"/>
        <w:gridCol w:w="1829"/>
      </w:tblGrid>
      <w:tr>
        <w:tblPrEx>
          <w:tblCellMar>
            <w:top w:w="0" w:type="dxa"/>
            <w:left w:w="108" w:type="dxa"/>
            <w:bottom w:w="0" w:type="dxa"/>
            <w:right w:w="108" w:type="dxa"/>
          </w:tblCellMar>
        </w:tblPrEx>
        <w:trPr>
          <w:trHeight w:val="465" w:hRule="atLeast"/>
        </w:trPr>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达到卫生县城，洁净城市标准。</w:t>
            </w:r>
          </w:p>
        </w:tc>
      </w:tr>
      <w:tr>
        <w:tblPrEx>
          <w:tblCellMar>
            <w:top w:w="0" w:type="dxa"/>
            <w:left w:w="108" w:type="dxa"/>
            <w:bottom w:w="0" w:type="dxa"/>
            <w:right w:w="108" w:type="dxa"/>
          </w:tblCellMar>
        </w:tblPrEx>
        <w:trPr>
          <w:trHeight w:val="562" w:hRule="atLeast"/>
        </w:trPr>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目标2</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提高县城区整体环境卫生标准，道路干净整洁达到相关标准要求。</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24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8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21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45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环境服务公司数量</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具有相关资质，符合法律规定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个</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合法率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合同签订合法</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77"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及时性</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保洁清扫及时</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所需费用</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1个环境服务公司费用</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308.23</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促进就业增长</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解决再就业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296</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经济效益指标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带动就业</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经济收入</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1.8</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生态效益指标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环境整洁</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无污染</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3</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可持续影响指标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卫生县城、洁净城市</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达到相关标准</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7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群众不满意度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对卫生环境不满意率</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5</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2023年农村环卫保洁项目资金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0" w:type="auto"/>
        <w:tblInd w:w="0" w:type="dxa"/>
        <w:tblLayout w:type="fixed"/>
        <w:tblCellMar>
          <w:top w:w="0" w:type="dxa"/>
          <w:left w:w="108" w:type="dxa"/>
          <w:bottom w:w="0" w:type="dxa"/>
          <w:right w:w="108" w:type="dxa"/>
        </w:tblCellMar>
      </w:tblPr>
      <w:tblGrid>
        <w:gridCol w:w="1129"/>
        <w:gridCol w:w="1831"/>
        <w:gridCol w:w="2716"/>
        <w:gridCol w:w="3424"/>
        <w:gridCol w:w="1123"/>
        <w:gridCol w:w="907"/>
        <w:gridCol w:w="1215"/>
        <w:gridCol w:w="1829"/>
      </w:tblGrid>
      <w:tr>
        <w:tblPrEx>
          <w:tblCellMar>
            <w:top w:w="0" w:type="dxa"/>
            <w:left w:w="108" w:type="dxa"/>
            <w:bottom w:w="0" w:type="dxa"/>
            <w:right w:w="108" w:type="dxa"/>
          </w:tblCellMar>
        </w:tblPrEx>
        <w:trPr>
          <w:trHeight w:val="465" w:hRule="atLeast"/>
        </w:trPr>
        <w:tc>
          <w:tcPr>
            <w:tcW w:w="11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绩效目标</w:t>
            </w:r>
          </w:p>
        </w:tc>
        <w:tc>
          <w:tcPr>
            <w:tcW w:w="183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目标1</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主要解决改善居民出行环境，为大家创造一个干净整洁的城市，提高人民幸福指数达到卫生县城，洁净城市标准。</w:t>
            </w:r>
          </w:p>
        </w:tc>
      </w:tr>
      <w:tr>
        <w:tblPrEx>
          <w:tblCellMar>
            <w:top w:w="0" w:type="dxa"/>
            <w:left w:w="108" w:type="dxa"/>
            <w:bottom w:w="0" w:type="dxa"/>
            <w:right w:w="108" w:type="dxa"/>
          </w:tblCellMar>
        </w:tblPrEx>
        <w:trPr>
          <w:trHeight w:val="562" w:hRule="atLeast"/>
        </w:trPr>
        <w:tc>
          <w:tcPr>
            <w:tcW w:w="11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Cs w:val="21"/>
              </w:rPr>
            </w:pPr>
            <w:r>
              <w:rPr>
                <w:rFonts w:hint="eastAsia" w:ascii="仿宋" w:hAnsi="仿宋" w:eastAsia="仿宋" w:cs="宋体"/>
                <w:kern w:val="0"/>
                <w:szCs w:val="21"/>
              </w:rPr>
              <w:t>目标2</w:t>
            </w:r>
          </w:p>
        </w:tc>
        <w:tc>
          <w:tcPr>
            <w:tcW w:w="11214" w:type="dxa"/>
            <w:gridSpan w:val="6"/>
            <w:tcBorders>
              <w:top w:val="single" w:color="auto" w:sz="4" w:space="0"/>
              <w:left w:val="nil"/>
              <w:bottom w:val="single" w:color="auto" w:sz="4" w:space="0"/>
              <w:right w:val="single" w:color="auto" w:sz="4" w:space="0"/>
            </w:tcBorders>
            <w:noWrap w:val="0"/>
            <w:vAlign w:val="center"/>
          </w:tcPr>
          <w:p>
            <w:pPr>
              <w:rPr>
                <w:rFonts w:ascii="仿宋" w:hAnsi="仿宋" w:eastAsia="仿宋" w:cs="宋体"/>
                <w:szCs w:val="21"/>
              </w:rPr>
            </w:pPr>
            <w:r>
              <w:rPr>
                <w:rFonts w:hint="eastAsia" w:ascii="仿宋" w:hAnsi="仿宋" w:eastAsia="仿宋"/>
                <w:szCs w:val="21"/>
              </w:rPr>
              <w:t>解决垃圾围城、围村的现象，在全县打造容貌整洁、舒适宜人的城乡环境。</w:t>
            </w:r>
          </w:p>
        </w:tc>
      </w:tr>
      <w:tr>
        <w:tblPrEx>
          <w:tblCellMar>
            <w:top w:w="0" w:type="dxa"/>
            <w:left w:w="108" w:type="dxa"/>
            <w:bottom w:w="0" w:type="dxa"/>
            <w:right w:w="108" w:type="dxa"/>
          </w:tblCellMar>
        </w:tblPrEx>
        <w:trPr>
          <w:trHeight w:val="375"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一级指标</w:t>
            </w:r>
          </w:p>
        </w:tc>
        <w:tc>
          <w:tcPr>
            <w:tcW w:w="18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二级指标</w:t>
            </w:r>
          </w:p>
        </w:tc>
        <w:tc>
          <w:tcPr>
            <w:tcW w:w="27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三级指标</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绩效指标描述</w:t>
            </w:r>
          </w:p>
        </w:tc>
        <w:tc>
          <w:tcPr>
            <w:tcW w:w="324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w:t>
            </w:r>
          </w:p>
        </w:tc>
        <w:tc>
          <w:tcPr>
            <w:tcW w:w="18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指标值确定依据</w:t>
            </w:r>
          </w:p>
        </w:tc>
      </w:tr>
      <w:tr>
        <w:tblPrEx>
          <w:tblCellMar>
            <w:top w:w="0" w:type="dxa"/>
            <w:left w:w="108" w:type="dxa"/>
            <w:bottom w:w="0" w:type="dxa"/>
            <w:right w:w="108" w:type="dxa"/>
          </w:tblCellMar>
        </w:tblPrEx>
        <w:trPr>
          <w:trHeight w:val="178"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27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1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符号</w:t>
            </w:r>
          </w:p>
        </w:tc>
        <w:tc>
          <w:tcPr>
            <w:tcW w:w="90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值</w:t>
            </w:r>
          </w:p>
        </w:tc>
        <w:tc>
          <w:tcPr>
            <w:tcW w:w="121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单位（文字描述）</w:t>
            </w: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r>
      <w:tr>
        <w:tblPrEx>
          <w:tblCellMar>
            <w:top w:w="0" w:type="dxa"/>
            <w:left w:w="108" w:type="dxa"/>
            <w:bottom w:w="0" w:type="dxa"/>
            <w:right w:w="108" w:type="dxa"/>
          </w:tblCellMar>
        </w:tblPrEx>
        <w:trPr>
          <w:trHeight w:val="487"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产出指标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数量指标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环境服务公司数量</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具有相关资质，符合法律规定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个</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质量指标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合法率</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合同签订合法</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77"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时效指标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及时性</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保洁清扫及时</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4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成本指标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所需费用</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1个环境服务公司费用</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601.98</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4" w:hRule="atLeast"/>
        </w:trPr>
        <w:tc>
          <w:tcPr>
            <w:tcW w:w="11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效果指标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社会效益指标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促进就业增长</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解决再就业</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2200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人</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经济效益指标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带动就业</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经济收入</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1.8</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万元</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lang w:val="en-US" w:eastAsia="zh-CN"/>
              </w:rPr>
            </w:pPr>
            <w:r>
              <w:rPr>
                <w:rFonts w:hint="eastAsia" w:ascii="仿宋" w:hAnsi="仿宋" w:eastAsia="仿宋"/>
                <w:szCs w:val="21"/>
                <w:lang w:val="en-US" w:eastAsia="zh-CN"/>
              </w:rPr>
              <w:t>生态效益指标</w:t>
            </w:r>
          </w:p>
        </w:tc>
        <w:tc>
          <w:tcPr>
            <w:tcW w:w="2716"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环境整洁</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无污染</w:t>
            </w:r>
          </w:p>
        </w:tc>
        <w:tc>
          <w:tcPr>
            <w:tcW w:w="1123"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3</w:t>
            </w:r>
          </w:p>
        </w:tc>
        <w:tc>
          <w:tcPr>
            <w:tcW w:w="1215" w:type="dxa"/>
            <w:tcBorders>
              <w:top w:val="nil"/>
              <w:left w:val="nil"/>
              <w:bottom w:val="single" w:color="auto" w:sz="4" w:space="0"/>
              <w:right w:val="single" w:color="auto" w:sz="4" w:space="0"/>
            </w:tcBorders>
            <w:noWrap w:val="0"/>
            <w:vAlign w:val="center"/>
          </w:tcPr>
          <w:p>
            <w:pPr>
              <w:jc w:val="both"/>
              <w:rPr>
                <w:rFonts w:hint="default" w:ascii="仿宋" w:hAnsi="仿宋" w:eastAsia="仿宋"/>
                <w:szCs w:val="21"/>
                <w:lang w:val="en-US" w:eastAsia="zh-CN"/>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530"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kern w:val="0"/>
                <w:szCs w:val="21"/>
              </w:rPr>
            </w:pP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可持续影响指标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卫生县城、洁净城市</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达到相关标准</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r>
        <w:tblPrEx>
          <w:tblCellMar>
            <w:top w:w="0" w:type="dxa"/>
            <w:left w:w="108" w:type="dxa"/>
            <w:bottom w:w="0" w:type="dxa"/>
            <w:right w:w="108" w:type="dxa"/>
          </w:tblCellMar>
        </w:tblPrEx>
        <w:trPr>
          <w:trHeight w:val="70" w:hRule="atLeast"/>
        </w:trPr>
        <w:tc>
          <w:tcPr>
            <w:tcW w:w="112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满意度指标</w:t>
            </w:r>
          </w:p>
        </w:tc>
        <w:tc>
          <w:tcPr>
            <w:tcW w:w="1831"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eastAsia" w:ascii="仿宋" w:hAnsi="仿宋" w:eastAsia="仿宋"/>
                <w:szCs w:val="21"/>
                <w:lang w:val="en-US" w:eastAsia="zh-CN"/>
              </w:rPr>
              <w:t>服务对象满意度指标</w:t>
            </w:r>
          </w:p>
        </w:tc>
        <w:tc>
          <w:tcPr>
            <w:tcW w:w="2716"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群众不满意度</w:t>
            </w:r>
          </w:p>
        </w:tc>
        <w:tc>
          <w:tcPr>
            <w:tcW w:w="3424" w:type="dxa"/>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对卫生环境不满意率</w:t>
            </w:r>
          </w:p>
        </w:tc>
        <w:tc>
          <w:tcPr>
            <w:tcW w:w="1123"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 xml:space="preserve"> ≥</w:t>
            </w:r>
          </w:p>
        </w:tc>
        <w:tc>
          <w:tcPr>
            <w:tcW w:w="907"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10</w:t>
            </w:r>
          </w:p>
        </w:tc>
        <w:tc>
          <w:tcPr>
            <w:tcW w:w="1215"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r>
              <w:rPr>
                <w:rFonts w:hint="default" w:ascii="仿宋" w:hAnsi="仿宋" w:eastAsia="仿宋"/>
                <w:szCs w:val="21"/>
                <w:lang w:val="en-US" w:eastAsia="zh-CN"/>
              </w:rPr>
              <w:t>%</w:t>
            </w:r>
          </w:p>
        </w:tc>
        <w:tc>
          <w:tcPr>
            <w:tcW w:w="1829" w:type="dxa"/>
            <w:tcBorders>
              <w:top w:val="nil"/>
              <w:left w:val="nil"/>
              <w:bottom w:val="single" w:color="auto" w:sz="4" w:space="0"/>
              <w:right w:val="single" w:color="auto" w:sz="4" w:space="0"/>
            </w:tcBorders>
            <w:noWrap w:val="0"/>
            <w:vAlign w:val="center"/>
          </w:tcPr>
          <w:p>
            <w:pPr>
              <w:jc w:val="both"/>
              <w:rPr>
                <w:rFonts w:hint="eastAsia" w:ascii="仿宋" w:hAnsi="仿宋" w:eastAsia="仿宋"/>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大城县城市管理综合行政执法局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eastAsia="zh-CN"/>
        </w:rPr>
        <w:t>注：我部门未安排政府采购预算，以空表列示。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大城县城市管理综合综合行政执法局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655.592435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3.40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w:t>
      </w:r>
      <w:r>
        <w:rPr>
          <w:rFonts w:hint="eastAsia" w:ascii="Times New Roman" w:hAnsi="Times New Roman" w:eastAsia="仿宋_GB2312" w:cs="Times New Roman"/>
          <w:sz w:val="32"/>
          <w:szCs w:val="32"/>
          <w:lang w:val="en-US" w:eastAsia="zh-CN"/>
        </w:rPr>
        <w:t>1.60万元</w:t>
      </w:r>
      <w:r>
        <w:rPr>
          <w:rFonts w:ascii="Times New Roman" w:hAnsi="Times New Roman" w:eastAsia="仿宋_GB2312" w:cs="Times New Roman"/>
          <w:sz w:val="32"/>
          <w:szCs w:val="32"/>
        </w:rPr>
        <w:t>、空调</w:t>
      </w:r>
      <w:r>
        <w:rPr>
          <w:rFonts w:hint="eastAsia" w:ascii="Times New Roman" w:hAnsi="Times New Roman" w:eastAsia="仿宋_GB2312" w:cs="Times New Roman"/>
          <w:sz w:val="32"/>
          <w:szCs w:val="32"/>
          <w:lang w:val="en-US" w:eastAsia="zh-CN"/>
        </w:rPr>
        <w:t>1.80万元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城市管理综合行政执法局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655.592435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2379.10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341.10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2379.10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341.10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95.061135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899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219.4313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00CD7"/>
    <w:multiLevelType w:val="singleLevel"/>
    <w:tmpl w:val="A8E00CD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FE54120"/>
    <w:rsid w:val="13E306DA"/>
    <w:rsid w:val="1C502F39"/>
    <w:rsid w:val="25053949"/>
    <w:rsid w:val="2B675BC2"/>
    <w:rsid w:val="2E940FA0"/>
    <w:rsid w:val="3492284C"/>
    <w:rsid w:val="3E8B454E"/>
    <w:rsid w:val="3F655022"/>
    <w:rsid w:val="57E040E2"/>
    <w:rsid w:val="583B3DEC"/>
    <w:rsid w:val="5E3E0DA2"/>
    <w:rsid w:val="607A4C22"/>
    <w:rsid w:val="687D1153"/>
    <w:rsid w:val="6B1D22BB"/>
    <w:rsid w:val="6E1E0CC9"/>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9</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2023-03-16T08:44:00Z</cp:lastPrinted>
  <dcterms:modified xsi:type="dcterms:W3CDTF">2023-03-27T00:44:39Z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E0DCD2FAFD4C4EC78104898D7A030BBD</vt:lpwstr>
  </property>
</Properties>
</file>