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大城县气象局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大城县气象局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1.负责本行政区域内气象事业发展规划的制定及气象工作的组织实施；对本行政区域内的气象活动进行指导、监督和行业管理。</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气象服务体系建设，组织指导乡镇（街道）气象工作站和气象协理员、信息员队伍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8.管理本级气象部门内部的计划财务、人事劳动、队伍建设、教育培训和业务建设；负责气象部门双重计划财务体制的落实工作；负责党的建设、精神文明和气象文化建设。</w:t>
      </w:r>
    </w:p>
    <w:p>
      <w:pPr>
        <w:keepNext w:val="0"/>
        <w:keepLines w:val="0"/>
        <w:pageBreakBefore w:val="0"/>
        <w:widowControl w:val="0"/>
        <w:kinsoku/>
        <w:wordWrap/>
        <w:topLinePunct w:val="0"/>
        <w:bidi w:val="0"/>
        <w:spacing w:line="560" w:lineRule="exact"/>
        <w:ind w:firstLine="646"/>
        <w:textAlignment w:val="auto"/>
        <w:rPr>
          <w:rFonts w:ascii="Times New Roman" w:hAnsi="Times New Roman" w:eastAsia="仿宋_GB2312" w:cs="Times New Roman"/>
          <w:sz w:val="32"/>
          <w:szCs w:val="32"/>
        </w:rPr>
      </w:pPr>
      <w:r>
        <w:rPr>
          <w:rFonts w:hint="eastAsia" w:ascii="仿宋_GB2312" w:eastAsia="仿宋_GB2312"/>
          <w:sz w:val="32"/>
          <w:szCs w:val="32"/>
        </w:rPr>
        <w:t>9.承担上级气象主管机构和本级人民政府交办的其他事项。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8"/>
        <w:tblW w:w="106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77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3778"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kern w:val="2"/>
                <w:sz w:val="21"/>
                <w:szCs w:val="22"/>
                <w:lang w:val="en-US" w:eastAsia="zh-CN" w:bidi="ar-SA"/>
              </w:rPr>
            </w:pPr>
            <w:r>
              <w:rPr>
                <w:rFonts w:hint="eastAsia" w:ascii="Times New Roman" w:hAnsi="Times New Roman" w:eastAsia="方正书宋_GBK"/>
                <w:sz w:val="24"/>
                <w:szCs w:val="24"/>
              </w:rPr>
              <w:t>大城县气象局</w:t>
            </w:r>
          </w:p>
        </w:tc>
        <w:tc>
          <w:tcPr>
            <w:tcW w:w="1134"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kern w:val="2"/>
                <w:sz w:val="21"/>
                <w:szCs w:val="22"/>
                <w:lang w:val="en-US" w:eastAsia="zh-CN" w:bidi="ar-SA"/>
              </w:rPr>
            </w:pPr>
            <w:r>
              <w:rPr>
                <w:rFonts w:hint="eastAsia" w:ascii="Times New Roman" w:hAnsi="Times New Roman" w:eastAsia="方正书宋_GBK"/>
                <w:sz w:val="24"/>
                <w:szCs w:val="24"/>
              </w:rPr>
              <w:t>事业</w:t>
            </w:r>
          </w:p>
        </w:tc>
        <w:tc>
          <w:tcPr>
            <w:tcW w:w="1276"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kern w:val="2"/>
                <w:sz w:val="21"/>
                <w:szCs w:val="22"/>
                <w:lang w:val="en-US" w:eastAsia="zh-CN" w:bidi="ar-SA"/>
              </w:rPr>
            </w:pPr>
            <w:r>
              <w:rPr>
                <w:rFonts w:hint="eastAsia" w:ascii="Times New Roman" w:hAnsi="Times New Roman" w:eastAsia="方正书宋_GBK"/>
                <w:sz w:val="24"/>
                <w:szCs w:val="24"/>
              </w:rPr>
              <w:t>正科级</w:t>
            </w:r>
          </w:p>
        </w:tc>
        <w:tc>
          <w:tcPr>
            <w:tcW w:w="3778"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kern w:val="2"/>
                <w:sz w:val="21"/>
                <w:szCs w:val="22"/>
                <w:lang w:val="en-US" w:eastAsia="zh-CN" w:bidi="ar-SA"/>
              </w:rPr>
            </w:pPr>
            <w:r>
              <w:rPr>
                <w:rFonts w:hint="eastAsia" w:ascii="Times New Roman" w:hAnsi="Times New Roman" w:eastAsia="方正书宋_GBK"/>
                <w:sz w:val="24"/>
                <w:szCs w:val="24"/>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县部门</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70.85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70.85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我单位</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70.85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63.18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59.78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3.40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7.67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气象灾害防御中心人员专项项目经费</w:t>
      </w:r>
      <w:r>
        <w:rPr>
          <w:rFonts w:ascii="Times New Roman" w:hAnsi="Times New Roman" w:eastAsia="仿宋_GB2312" w:cs="Times New Roman"/>
          <w:sz w:val="32"/>
          <w:szCs w:val="32"/>
        </w:rPr>
        <w:t>。</w:t>
      </w:r>
    </w:p>
    <w:p>
      <w:pPr>
        <w:spacing w:line="584" w:lineRule="exact"/>
        <w:ind w:firstLine="640"/>
        <w:rPr>
          <w:rFonts w:hint="eastAsia"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70.85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1.61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20.27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18.46</w:t>
      </w:r>
      <w:r>
        <w:rPr>
          <w:rFonts w:ascii="Times New Roman" w:hAnsi="Times New Roman" w:eastAsia="仿宋_GB2312" w:cs="Times New Roman"/>
          <w:sz w:val="32"/>
          <w:szCs w:val="32"/>
        </w:rPr>
        <w:t>万元，主要为</w:t>
      </w:r>
      <w:r>
        <w:rPr>
          <w:rFonts w:hint="eastAsia" w:ascii="仿宋_GB2312" w:hAnsi="仿宋" w:eastAsia="仿宋_GB2312"/>
          <w:sz w:val="32"/>
          <w:szCs w:val="32"/>
        </w:rPr>
        <w:t>大气污染气象条件预报预测经费、气象灾害防御指挥部维持经费、设备维持经费</w:t>
      </w:r>
      <w:r>
        <w:rPr>
          <w:rFonts w:hint="eastAsia" w:ascii="仿宋_GB2312" w:hAnsi="仿宋" w:eastAsia="仿宋_GB2312"/>
          <w:sz w:val="32"/>
          <w:szCs w:val="32"/>
          <w:lang w:eastAsia="zh-CN"/>
        </w:rPr>
        <w:t>等</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3.40</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第一部分</w:t>
      </w:r>
      <w:r>
        <w:rPr>
          <w:rFonts w:hint="eastAsia" w:ascii="楷体" w:hAnsi="楷体" w:eastAsia="楷体" w:cs="楷体"/>
          <w:b/>
          <w:bCs/>
          <w:sz w:val="32"/>
          <w:szCs w:val="32"/>
          <w:lang w:eastAsia="zh-CN"/>
        </w:rPr>
        <w:t>部门</w:t>
      </w:r>
      <w:r>
        <w:rPr>
          <w:rFonts w:hint="eastAsia" w:ascii="楷体" w:hAnsi="楷体" w:eastAsia="楷体" w:cs="楷体"/>
          <w:b/>
          <w:bCs/>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sz w:val="32"/>
          <w:szCs w:val="32"/>
          <w:lang w:val="en-US" w:eastAsia="zh-CN"/>
        </w:rPr>
      </w:pPr>
      <w:r>
        <w:rPr>
          <w:rFonts w:hint="eastAsia" w:ascii="仿宋_GB2312" w:hAnsi="仿宋" w:eastAsia="仿宋_GB2312"/>
          <w:sz w:val="32"/>
          <w:szCs w:val="32"/>
          <w:lang w:val="en-US" w:eastAsia="zh-CN"/>
        </w:rPr>
        <w:t>以习近平新时代中国特色社会主义思想为指导，认真落实县委、县政府的工作部署，以深化改革为发展动力，以信息化为基础，以智慧气象为重要标准，切实推进气象现代化建设。提升气象灾害预报预警能力，完善突发预警信息发布系统，突发灾害性天气预警提前量达到30分钟；提升全县气象装备保障水平，保障气象网络安全稳定运行时间超过95%。大力提升公共气象服务能力，确保气象服务网站全年正常运行8000小时以上。优化防雷专业气象服务，推进专业服务改革，气象服务满意度稳定在80分以上。加强部门间合作，加强对工业园区、重点企业、特色行业服务，提升气象产业对本地经济发展的直接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1、气象灾害综合监测能力进一步提升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绩效目标：建设完善的气象灾害监测站网，保障全县气象灾害监测站网和计算机通信网络正常运行；建立气象灾害预报指标体系和预报预警业务系统，开展气象灾害预警；建立突发事件预警信息发布系统。</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绩效指标：12个气象观测站全部建成温度、雨量多传感器标准系统，综合观测业务可用性平均不低于90%，综合观测数据可用率平均不低于95%。</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2、气象灾害预报预警能力整体增强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绩效目标：通过招录2名劳务派遣人员，开展开展气象灾害防御中心工作，切实提高气象灾害的防御能力和水平，最大限度地减轻或避免气象灾害造成的人员伤亡、财产损失，为全县经济社会发展提供有力保障。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绩效指标：着力提高暴雨预警准确率和强对流天气预警提前量等2个社会关注度最高的天气预报预警项目。其中，暴雨预警准确率达到85%以上，强对流天气预警发布的提前时间达到2</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 xml:space="preserve">分钟以上。 </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3、气象灾害风险防范能力显著提高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绩效目标：开展专项气象灾害普查，编制气象灾害风险区划；加大重大气象灾害现场调查，强化灾害风险评估业务；加大基层气象防灾减灾标准化建设，提升基层气象防灾减灾能力。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绩效指标：完成专项气象灾害普查，数据完备度达</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0%以上，制作气象灾害风险区划地图；重大气象灾害灾情现场调查率达到</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0%，完成重大气象灾害风险评估；完成基层人员气象灾害防御能力提升工作。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4、基层气象台站基础设施得到进一步改善</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绩效目标：通过项目的开展，202</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年项目投入使用，解决气象探测环境保护要求与县城西部建设发展之间矛盾，提升县城西部基础设施建设和公共服务水平；有效改善基层气象台站工作环境，优化配套设施环境，气象局业务自动化、现代化程度得到明显提升，气象信息发布能力和气象服务能力得到明显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绩效指标：工程验收合格率100%，基础设施建成后的利用、使用情况达到9</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%以上，气象探测环境综合评分95分以上。</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5、气象社会治理能力显著增强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绩效目标：落实社会管理职能，加快推进“互联网+审批服务”和“线上线下深度融合”，进一步提高审批效率。通过书面检查与双随机抽查相结合的方式，推进防雷重点单位防雷安全检查全覆盖。</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绩效指标：行政许可审批事项全部实现网上办理；双随机执法抽查率达到5</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%；防雷安全重点单位防雷安全检查覆盖率达到100%。</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6、提升汛期及重大活动气象保障能力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绩效目标：加强智能网格预报产品和其他数值产品的解释、应用；加强汛期灾害性天气落区预报和重大活动中的时空精细化气象服务，进一步提升汛期及重大活动的气象服务保障能力。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河北省集约化综合气象业务平台》稳定运行时间超过98%，智能网格预报产品和其他数值产品在预报业务中得到普遍应用；汛期重大灾害性天气、高影响天气过程不漏报，两会及重要节假日等重大活动决策服务根据需要提前到2～7天。</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7、大气污染气象服务保障能力进一步提升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绩效目标：强化重污染天气应对气象保障服务，加强环境气象业务支撑能力建设，提升全县大气污染防治气象保障综合能力。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绩效指标：开展全县大气污染气象扩散条件预报分析，空气质量预报时效延长到7天；制作发布3种以上环境气象服务产品；与环保局和专家组配合，努力实现重污染天气预警提前2天发布。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完善财务制度建设。为保证支出规范、资金安全，坚持制度先行。及时梳理部门内控制度，修订完善资金管理办法，建立健全预算绩效管理工作机制。严格执行《大城县气象局业务建设项目管理办法》及信息化项目管理规定，履行相关程序，落实各方责任，规范管理行为，堵塞管理漏洞，防范化解风险隐患。</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加强项目管理。充分发挥业务科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加强绩效运行监控。通过规划重点项目管理平台，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做好绩效自评。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加强宣传培训调研。结合巡视巡察、审计、财务检查等发现的问题，对单位负责人、财务人员、经办人员进行培训，提高业务素质；加强调研，提出优化预算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部门</w:t>
      </w:r>
      <w:r>
        <w:rPr>
          <w:rFonts w:hint="eastAsia" w:ascii="楷体_GB2312" w:eastAsia="楷体_GB2312" w:cs="Times New Roman"/>
          <w:b/>
          <w:sz w:val="32"/>
          <w:szCs w:val="32"/>
        </w:rPr>
        <w:t>整体支出绩效指标</w:t>
      </w:r>
    </w:p>
    <w:tbl>
      <w:tblPr>
        <w:tblStyle w:val="8"/>
        <w:tblW w:w="13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41"/>
        <w:gridCol w:w="1160"/>
        <w:gridCol w:w="2711"/>
        <w:gridCol w:w="2968"/>
        <w:gridCol w:w="2161"/>
        <w:gridCol w:w="589"/>
        <w:gridCol w:w="678"/>
        <w:gridCol w:w="53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41"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1160"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二级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2711"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三级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2968"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评（扣）分标准</w:t>
            </w:r>
          </w:p>
        </w:tc>
        <w:tc>
          <w:tcPr>
            <w:tcW w:w="2161"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绩效指标</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描述</w:t>
            </w:r>
          </w:p>
        </w:tc>
        <w:tc>
          <w:tcPr>
            <w:tcW w:w="1801" w:type="dxa"/>
            <w:gridSpan w:val="3"/>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160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vMerge w:val="continue"/>
            <w:tcBorders>
              <w:tl2br w:val="nil"/>
              <w:tr2bl w:val="nil"/>
            </w:tcBorders>
            <w:vAlign w:val="center"/>
          </w:tcPr>
          <w:p>
            <w:pPr>
              <w:rPr>
                <w:rFonts w:hint="eastAsia" w:ascii="宋体" w:hAnsi="宋体" w:eastAsia="宋体" w:cs="宋体"/>
                <w:sz w:val="18"/>
                <w:szCs w:val="18"/>
              </w:rPr>
            </w:pPr>
          </w:p>
        </w:tc>
        <w:tc>
          <w:tcPr>
            <w:tcW w:w="2711" w:type="dxa"/>
            <w:vMerge w:val="continue"/>
            <w:tcBorders>
              <w:tl2br w:val="nil"/>
              <w:tr2bl w:val="nil"/>
            </w:tcBorders>
            <w:vAlign w:val="center"/>
          </w:tcPr>
          <w:p>
            <w:pPr>
              <w:rPr>
                <w:rFonts w:hint="eastAsia" w:ascii="宋体" w:hAnsi="宋体" w:eastAsia="宋体" w:cs="宋体"/>
                <w:sz w:val="18"/>
                <w:szCs w:val="18"/>
              </w:rPr>
            </w:pPr>
          </w:p>
        </w:tc>
        <w:tc>
          <w:tcPr>
            <w:tcW w:w="2968" w:type="dxa"/>
            <w:vMerge w:val="continue"/>
            <w:tcBorders>
              <w:tl2br w:val="nil"/>
              <w:tr2bl w:val="nil"/>
            </w:tcBorders>
            <w:vAlign w:val="center"/>
          </w:tcPr>
          <w:p>
            <w:pPr>
              <w:rPr>
                <w:rFonts w:hint="eastAsia" w:ascii="宋体" w:hAnsi="宋体" w:eastAsia="宋体" w:cs="宋体"/>
                <w:sz w:val="18"/>
                <w:szCs w:val="18"/>
              </w:rPr>
            </w:pPr>
          </w:p>
        </w:tc>
        <w:tc>
          <w:tcPr>
            <w:tcW w:w="2161" w:type="dxa"/>
            <w:vMerge w:val="continue"/>
            <w:tcBorders>
              <w:tl2br w:val="nil"/>
              <w:tr2bl w:val="nil"/>
            </w:tcBorders>
            <w:vAlign w:val="center"/>
          </w:tcPr>
          <w:p>
            <w:pPr>
              <w:rPr>
                <w:rFonts w:hint="eastAsia" w:ascii="宋体" w:hAnsi="宋体" w:eastAsia="宋体" w:cs="宋体"/>
                <w:sz w:val="18"/>
                <w:szCs w:val="18"/>
              </w:rPr>
            </w:pPr>
          </w:p>
        </w:tc>
        <w:tc>
          <w:tcPr>
            <w:tcW w:w="589"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符号</w:t>
            </w:r>
          </w:p>
        </w:tc>
        <w:tc>
          <w:tcPr>
            <w:tcW w:w="678"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值</w:t>
            </w:r>
          </w:p>
        </w:tc>
        <w:tc>
          <w:tcPr>
            <w:tcW w:w="534"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单位</w:t>
            </w:r>
          </w:p>
        </w:tc>
        <w:tc>
          <w:tcPr>
            <w:tcW w:w="1607" w:type="dxa"/>
            <w:vMerge w:val="continue"/>
            <w:tcBorders>
              <w:tl2br w:val="nil"/>
              <w:tr2bl w:val="nil"/>
            </w:tcBorders>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41"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常规设备观测次数</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全部完成得满分，每降低指标值的1%</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本部门所有观测设备全年观测温度、压强、风力、湿度的次数</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8672.00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次</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决策服务产品数量</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未达到服务产品期数</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各种决策气象服务产品数量</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30.00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期</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地面气象观测数据的可用率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达到目标值得满分，每降低指标值的1%</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国家级无人自动气象站观测数据的可用比例</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95.00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重要天气预警提前量</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重要天气预警信息发布提前时间小于</w:t>
            </w:r>
            <w:r>
              <w:rPr>
                <w:rFonts w:hint="eastAsia" w:ascii="宋体" w:hAnsi="宋体" w:cs="宋体"/>
                <w:sz w:val="18"/>
                <w:szCs w:val="18"/>
                <w:lang w:val="en-US" w:eastAsia="zh-CN"/>
              </w:rPr>
              <w:t>25</w:t>
            </w:r>
            <w:r>
              <w:rPr>
                <w:rFonts w:hint="eastAsia" w:ascii="宋体" w:hAnsi="宋体" w:eastAsia="宋体" w:cs="宋体"/>
                <w:sz w:val="18"/>
                <w:szCs w:val="18"/>
              </w:rPr>
              <w:t>分钟</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重要天气预警提前量</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r>
              <w:rPr>
                <w:rFonts w:hint="eastAsia" w:ascii="宋体" w:hAnsi="宋体" w:eastAsia="宋体" w:cs="宋体"/>
                <w:sz w:val="18"/>
                <w:szCs w:val="18"/>
              </w:rPr>
              <w:t>.00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分钟</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灾害天气过程总结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项目预算控制数</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超预算执行</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项目预算控制数</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70.85</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万元</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预算批复文件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气象设备运行正常率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气象设备正常运行率低于98%</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气象设备运行正常率</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98.00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科普宣传覆盖率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达到目标值得满分，每降低指标值的1%</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辖区公众接受气象科普信息覆盖程度</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80.00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社会大众气象防灾减灾能力的提升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社会大众气象防灾减灾能力未得到有效提升</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社会大众气象防灾减灾能力的提升</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提升</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年终总结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2711" w:type="dxa"/>
            <w:tcBorders>
              <w:tl2br w:val="nil"/>
              <w:tr2bl w:val="nil"/>
            </w:tcBorders>
            <w:noWrap/>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公众气象服务满意度</w:t>
            </w:r>
          </w:p>
        </w:tc>
        <w:tc>
          <w:tcPr>
            <w:tcW w:w="2968"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委托第三方公司对公众进行调查，满意度低于95%</w:t>
            </w:r>
          </w:p>
        </w:tc>
        <w:tc>
          <w:tcPr>
            <w:tcW w:w="2161"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反映公众利用气象条件趋利避害的能力，气象服务产品的公众满意度</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w:t>
            </w:r>
            <w:r>
              <w:rPr>
                <w:rFonts w:hint="eastAsia" w:ascii="宋体" w:hAnsi="宋体" w:eastAsia="宋体" w:cs="宋体"/>
                <w:sz w:val="18"/>
                <w:szCs w:val="18"/>
                <w:lang w:val="en-US" w:eastAsia="zh-CN"/>
              </w:rPr>
              <w:t>5</w:t>
            </w:r>
            <w:r>
              <w:rPr>
                <w:rFonts w:hint="eastAsia" w:ascii="宋体" w:hAnsi="宋体" w:eastAsia="宋体" w:cs="宋体"/>
                <w:sz w:val="18"/>
                <w:szCs w:val="18"/>
              </w:rPr>
              <w:t>.00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2711" w:type="dxa"/>
            <w:tcBorders>
              <w:tl2br w:val="nil"/>
              <w:tr2bl w:val="nil"/>
            </w:tcBorders>
            <w:noWrap/>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专业气象服务满意度</w:t>
            </w:r>
          </w:p>
        </w:tc>
        <w:tc>
          <w:tcPr>
            <w:tcW w:w="2968"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委托第三方公司对服务对象进行调查，满意度低于90%</w:t>
            </w:r>
          </w:p>
        </w:tc>
        <w:tc>
          <w:tcPr>
            <w:tcW w:w="2161"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专业气象服务满意度</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9</w:t>
            </w:r>
            <w:r>
              <w:rPr>
                <w:rFonts w:hint="eastAsia" w:ascii="宋体" w:hAnsi="宋体" w:eastAsia="宋体" w:cs="宋体"/>
                <w:sz w:val="18"/>
                <w:szCs w:val="18"/>
                <w:lang w:val="en-US" w:eastAsia="zh-CN"/>
              </w:rPr>
              <w:t>0</w:t>
            </w:r>
            <w:r>
              <w:rPr>
                <w:rFonts w:hint="eastAsia" w:ascii="宋体" w:hAnsi="宋体" w:eastAsia="宋体" w:cs="宋体"/>
                <w:sz w:val="18"/>
                <w:szCs w:val="18"/>
              </w:rPr>
              <w:t>.00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气象灾害防御中心人员经费</w:t>
      </w:r>
      <w:r>
        <w:rPr>
          <w:rFonts w:ascii="Times New Roman" w:hAnsi="Times New Roman" w:eastAsia="仿宋_GB2312" w:cs="Times New Roman"/>
          <w:sz w:val="28"/>
        </w:rPr>
        <w:t>绩效目标表</w:t>
      </w:r>
    </w:p>
    <w:tbl>
      <w:tblPr>
        <w:tblStyle w:val="8"/>
        <w:tblW w:w="14565"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5"/>
        <w:gridCol w:w="1275"/>
        <w:gridCol w:w="1875"/>
        <w:gridCol w:w="4649"/>
        <w:gridCol w:w="1037"/>
        <w:gridCol w:w="727"/>
        <w:gridCol w:w="161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气象灾害防御中心人员专项项目</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2名劳务派遣人员，工资每人1680元/月，各项保险每人14</w:t>
            </w:r>
            <w:r>
              <w:rPr>
                <w:rFonts w:hint="eastAsia" w:ascii="宋体" w:hAnsi="宋体" w:eastAsia="宋体" w:cs="宋体"/>
                <w:color w:val="000000"/>
                <w:kern w:val="0"/>
                <w:sz w:val="18"/>
                <w:szCs w:val="18"/>
                <w:lang w:val="en-US" w:eastAsia="zh-CN"/>
              </w:rPr>
              <w:t>44.47</w:t>
            </w:r>
            <w:r>
              <w:rPr>
                <w:rFonts w:hint="eastAsia" w:ascii="宋体" w:hAnsi="宋体" w:eastAsia="宋体" w:cs="宋体"/>
                <w:color w:val="000000"/>
                <w:kern w:val="0"/>
                <w:sz w:val="18"/>
                <w:szCs w:val="18"/>
              </w:rPr>
              <w:t>/月,管理费按每人60元/月，大病统筹120元/人/年，总计</w:t>
            </w:r>
            <w:r>
              <w:rPr>
                <w:rFonts w:hint="eastAsia" w:ascii="宋体" w:hAnsi="宋体" w:eastAsia="宋体" w:cs="宋体"/>
                <w:color w:val="000000"/>
                <w:kern w:val="0"/>
                <w:sz w:val="18"/>
                <w:szCs w:val="18"/>
                <w:lang w:val="en-US" w:eastAsia="zh-CN"/>
              </w:rPr>
              <w:t>76667.28</w:t>
            </w:r>
            <w:r>
              <w:rPr>
                <w:rFonts w:hint="eastAsia" w:ascii="宋体" w:hAnsi="宋体" w:eastAsia="宋体" w:cs="宋体"/>
                <w:color w:val="000000"/>
                <w:kern w:val="0"/>
                <w:sz w:val="18"/>
                <w:szCs w:val="18"/>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25%</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50%</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78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通过招录2名劳务派遣人员，开展开展气象灾害防御中心工作，切实提高气象灾害的防御能力和水平，最大限度地减轻或避免气象灾害造成的人员伤亡、财产损失，为全县经济社会发展提供有力保障。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劳务派遣人员工资发放次数</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反映劳务派遣人员工资发放的次数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次</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预报准确率</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预报预警发布的准确率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工资发放及时率</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反映工资按时发放的情况</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预算控制数</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预算控制数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7.67</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预报预警提前时间</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反映提高决策气象服务的针对性、敏感性、综合性和实效性</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分钟</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可持续效益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长效管理机制健全性</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反映管理机制健全性的情况</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劳务派遣人员满意度</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反映劳务派遣人员对各项待遇的满意程度</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4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部门</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部门</w:t>
      </w:r>
      <w:r>
        <w:rPr>
          <w:rFonts w:hint="eastAsia" w:ascii="方正小标宋_GBK" w:eastAsia="方正小标宋_GBK" w:cs="Times New Roman"/>
          <w:sz w:val="32"/>
        </w:rPr>
        <w:t>政府采购预算</w:t>
      </w:r>
      <w:bookmarkEnd w:id="1"/>
    </w:p>
    <w:p>
      <w:pPr>
        <w:spacing w:line="584" w:lineRule="exact"/>
        <w:ind w:firstLine="630" w:firstLineChars="300"/>
        <w:outlineLvl w:val="1"/>
        <w:rPr>
          <w:rFonts w:ascii="方正小标宋_GBK" w:eastAsia="方正小标宋_GBK" w:cs="Times New Roman"/>
          <w:sz w:val="32"/>
        </w:rPr>
      </w:pPr>
      <w:r>
        <w:rPr>
          <w:rFonts w:hint="eastAsia"/>
          <w:lang w:eastAsia="zh-CN"/>
        </w:rPr>
        <w:t>大城县气象局</w:t>
      </w:r>
      <w:r>
        <w:t xml:space="preserve">                                                                                               单位：万元</w:t>
      </w:r>
    </w:p>
    <w:tbl>
      <w:tblPr>
        <w:tblStyle w:val="8"/>
        <w:tblW w:w="136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0"/>
        <w:gridCol w:w="853"/>
        <w:gridCol w:w="1002"/>
        <w:gridCol w:w="1002"/>
        <w:gridCol w:w="627"/>
        <w:gridCol w:w="752"/>
        <w:gridCol w:w="752"/>
        <w:gridCol w:w="852"/>
        <w:gridCol w:w="852"/>
        <w:gridCol w:w="852"/>
        <w:gridCol w:w="852"/>
        <w:gridCol w:w="852"/>
        <w:gridCol w:w="852"/>
        <w:gridCol w:w="852"/>
        <w:gridCol w:w="861"/>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tblHeader/>
          <w:jc w:val="center"/>
        </w:trPr>
        <w:tc>
          <w:tcPr>
            <w:tcW w:w="1823" w:type="dxa"/>
            <w:gridSpan w:val="2"/>
            <w:vAlign w:val="center"/>
          </w:tcPr>
          <w:p>
            <w:pPr>
              <w:pStyle w:val="16"/>
              <w:spacing w:line="584" w:lineRule="exact"/>
            </w:pPr>
            <w:r>
              <w:t>政府采购项目来源</w:t>
            </w:r>
          </w:p>
        </w:tc>
        <w:tc>
          <w:tcPr>
            <w:tcW w:w="1002" w:type="dxa"/>
            <w:vMerge w:val="restart"/>
            <w:vAlign w:val="center"/>
          </w:tcPr>
          <w:p>
            <w:pPr>
              <w:pStyle w:val="16"/>
              <w:spacing w:line="584" w:lineRule="exact"/>
            </w:pPr>
            <w:r>
              <w:t>采购物品名称</w:t>
            </w:r>
          </w:p>
        </w:tc>
        <w:tc>
          <w:tcPr>
            <w:tcW w:w="1002" w:type="dxa"/>
            <w:vMerge w:val="restart"/>
            <w:vAlign w:val="center"/>
          </w:tcPr>
          <w:p>
            <w:pPr>
              <w:pStyle w:val="16"/>
              <w:spacing w:line="584" w:lineRule="exact"/>
            </w:pPr>
            <w:r>
              <w:t>政府采购目录序号</w:t>
            </w:r>
          </w:p>
        </w:tc>
        <w:tc>
          <w:tcPr>
            <w:tcW w:w="627" w:type="dxa"/>
            <w:vMerge w:val="restart"/>
            <w:vAlign w:val="center"/>
          </w:tcPr>
          <w:p>
            <w:pPr>
              <w:pStyle w:val="16"/>
              <w:spacing w:line="584" w:lineRule="exact"/>
            </w:pPr>
            <w:r>
              <w:t>计</w:t>
            </w:r>
            <w:bookmarkStart w:id="2" w:name="_GoBack"/>
            <w:bookmarkEnd w:id="2"/>
            <w:r>
              <w:t>量  单位</w:t>
            </w:r>
          </w:p>
        </w:tc>
        <w:tc>
          <w:tcPr>
            <w:tcW w:w="752" w:type="dxa"/>
            <w:vMerge w:val="restart"/>
            <w:vAlign w:val="center"/>
          </w:tcPr>
          <w:p>
            <w:pPr>
              <w:pStyle w:val="16"/>
              <w:spacing w:line="584" w:lineRule="exact"/>
            </w:pPr>
            <w:r>
              <w:t>数量</w:t>
            </w:r>
          </w:p>
        </w:tc>
        <w:tc>
          <w:tcPr>
            <w:tcW w:w="752" w:type="dxa"/>
            <w:vMerge w:val="restart"/>
            <w:vAlign w:val="center"/>
          </w:tcPr>
          <w:p>
            <w:pPr>
              <w:pStyle w:val="16"/>
              <w:spacing w:line="584" w:lineRule="exact"/>
            </w:pPr>
            <w:r>
              <w:t>单价</w:t>
            </w:r>
          </w:p>
        </w:tc>
        <w:tc>
          <w:tcPr>
            <w:tcW w:w="6825" w:type="dxa"/>
            <w:gridSpan w:val="8"/>
            <w:vAlign w:val="center"/>
          </w:tcPr>
          <w:p>
            <w:pPr>
              <w:pStyle w:val="16"/>
              <w:spacing w:line="584" w:lineRule="exact"/>
            </w:pPr>
            <w:r>
              <w:t>政府采购金额（当年</w:t>
            </w:r>
            <w:r>
              <w:rPr>
                <w:rFonts w:hint="eastAsia"/>
                <w:lang w:eastAsia="zh-CN"/>
              </w:rPr>
              <w:t>单位</w:t>
            </w:r>
            <w:r>
              <w:t>预算安排资金）</w:t>
            </w:r>
          </w:p>
        </w:tc>
        <w:tc>
          <w:tcPr>
            <w:tcW w:w="852"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14" w:hRule="atLeast"/>
          <w:tblHeader/>
          <w:jc w:val="center"/>
        </w:trPr>
        <w:tc>
          <w:tcPr>
            <w:tcW w:w="970" w:type="dxa"/>
            <w:vAlign w:val="center"/>
          </w:tcPr>
          <w:p>
            <w:pPr>
              <w:pStyle w:val="16"/>
              <w:spacing w:line="584" w:lineRule="exact"/>
            </w:pPr>
            <w:r>
              <w:t>项目名称</w:t>
            </w:r>
          </w:p>
        </w:tc>
        <w:tc>
          <w:tcPr>
            <w:tcW w:w="853" w:type="dxa"/>
            <w:vAlign w:val="center"/>
          </w:tcPr>
          <w:p>
            <w:pPr>
              <w:pStyle w:val="16"/>
              <w:spacing w:line="584" w:lineRule="exact"/>
            </w:pPr>
            <w:r>
              <w:t>预算    资金</w:t>
            </w:r>
          </w:p>
        </w:tc>
        <w:tc>
          <w:tcPr>
            <w:tcW w:w="1002" w:type="dxa"/>
            <w:vMerge w:val="continue"/>
          </w:tcPr>
          <w:p>
            <w:pPr>
              <w:spacing w:line="584" w:lineRule="exact"/>
            </w:pPr>
          </w:p>
        </w:tc>
        <w:tc>
          <w:tcPr>
            <w:tcW w:w="1002" w:type="dxa"/>
            <w:vMerge w:val="continue"/>
          </w:tcPr>
          <w:p>
            <w:pPr>
              <w:spacing w:line="584" w:lineRule="exact"/>
            </w:pPr>
          </w:p>
        </w:tc>
        <w:tc>
          <w:tcPr>
            <w:tcW w:w="627" w:type="dxa"/>
            <w:vMerge w:val="continue"/>
          </w:tcPr>
          <w:p>
            <w:pPr>
              <w:spacing w:line="584" w:lineRule="exact"/>
            </w:pPr>
          </w:p>
        </w:tc>
        <w:tc>
          <w:tcPr>
            <w:tcW w:w="752" w:type="dxa"/>
            <w:vMerge w:val="continue"/>
          </w:tcPr>
          <w:p>
            <w:pPr>
              <w:spacing w:line="584" w:lineRule="exact"/>
            </w:pPr>
          </w:p>
        </w:tc>
        <w:tc>
          <w:tcPr>
            <w:tcW w:w="752" w:type="dxa"/>
            <w:vMerge w:val="continue"/>
          </w:tcPr>
          <w:p>
            <w:pPr>
              <w:spacing w:line="584" w:lineRule="exact"/>
            </w:pPr>
          </w:p>
        </w:tc>
        <w:tc>
          <w:tcPr>
            <w:tcW w:w="852" w:type="dxa"/>
            <w:vAlign w:val="center"/>
          </w:tcPr>
          <w:p>
            <w:pPr>
              <w:pStyle w:val="16"/>
              <w:spacing w:line="584" w:lineRule="exact"/>
            </w:pPr>
            <w:r>
              <w:t>合计</w:t>
            </w:r>
          </w:p>
        </w:tc>
        <w:tc>
          <w:tcPr>
            <w:tcW w:w="852" w:type="dxa"/>
            <w:vAlign w:val="center"/>
          </w:tcPr>
          <w:p>
            <w:pPr>
              <w:pStyle w:val="16"/>
              <w:spacing w:line="584" w:lineRule="exact"/>
            </w:pPr>
            <w:r>
              <w:t>一般公共预算拨款</w:t>
            </w:r>
          </w:p>
        </w:tc>
        <w:tc>
          <w:tcPr>
            <w:tcW w:w="852" w:type="dxa"/>
            <w:vAlign w:val="center"/>
          </w:tcPr>
          <w:p>
            <w:pPr>
              <w:pStyle w:val="16"/>
              <w:spacing w:line="584" w:lineRule="exact"/>
            </w:pPr>
            <w:r>
              <w:t>基金预算拨款</w:t>
            </w:r>
          </w:p>
        </w:tc>
        <w:tc>
          <w:tcPr>
            <w:tcW w:w="852" w:type="dxa"/>
            <w:vAlign w:val="center"/>
          </w:tcPr>
          <w:p>
            <w:pPr>
              <w:pStyle w:val="16"/>
              <w:spacing w:line="584" w:lineRule="exact"/>
            </w:pPr>
            <w:r>
              <w:t>国有资本经营预算拨款</w:t>
            </w:r>
          </w:p>
        </w:tc>
        <w:tc>
          <w:tcPr>
            <w:tcW w:w="852" w:type="dxa"/>
            <w:vAlign w:val="center"/>
          </w:tcPr>
          <w:p>
            <w:pPr>
              <w:pStyle w:val="16"/>
              <w:spacing w:line="584" w:lineRule="exact"/>
            </w:pPr>
            <w:r>
              <w:t>财政专户核拨</w:t>
            </w:r>
          </w:p>
        </w:tc>
        <w:tc>
          <w:tcPr>
            <w:tcW w:w="852" w:type="dxa"/>
            <w:vAlign w:val="center"/>
          </w:tcPr>
          <w:p>
            <w:pPr>
              <w:pStyle w:val="16"/>
              <w:spacing w:line="584" w:lineRule="exact"/>
            </w:pPr>
            <w:r>
              <w:t>单位    资金</w:t>
            </w:r>
          </w:p>
        </w:tc>
        <w:tc>
          <w:tcPr>
            <w:tcW w:w="852" w:type="dxa"/>
            <w:vAlign w:val="center"/>
          </w:tcPr>
          <w:p>
            <w:pPr>
              <w:pStyle w:val="16"/>
              <w:spacing w:line="584" w:lineRule="exact"/>
            </w:pPr>
            <w:r>
              <w:t>财政拨    款结转</w:t>
            </w:r>
          </w:p>
        </w:tc>
        <w:tc>
          <w:tcPr>
            <w:tcW w:w="861" w:type="dxa"/>
            <w:vAlign w:val="center"/>
          </w:tcPr>
          <w:p>
            <w:pPr>
              <w:pStyle w:val="16"/>
              <w:spacing w:line="584" w:lineRule="exact"/>
            </w:pPr>
            <w:r>
              <w:t>非财政    拨款结    转结余</w:t>
            </w:r>
          </w:p>
        </w:tc>
        <w:tc>
          <w:tcPr>
            <w:tcW w:w="852"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970" w:type="dxa"/>
            <w:vAlign w:val="center"/>
          </w:tcPr>
          <w:p>
            <w:pPr>
              <w:pStyle w:val="20"/>
              <w:spacing w:line="584" w:lineRule="exact"/>
            </w:pPr>
            <w:r>
              <w:t>合  计</w:t>
            </w:r>
          </w:p>
        </w:tc>
        <w:tc>
          <w:tcPr>
            <w:tcW w:w="853" w:type="dxa"/>
            <w:vAlign w:val="center"/>
          </w:tcPr>
          <w:p>
            <w:pPr>
              <w:pStyle w:val="21"/>
              <w:spacing w:line="584" w:lineRule="exact"/>
            </w:pPr>
          </w:p>
        </w:tc>
        <w:tc>
          <w:tcPr>
            <w:tcW w:w="1002" w:type="dxa"/>
            <w:vAlign w:val="center"/>
          </w:tcPr>
          <w:p>
            <w:pPr>
              <w:pStyle w:val="22"/>
              <w:spacing w:line="584" w:lineRule="exact"/>
            </w:pPr>
          </w:p>
        </w:tc>
        <w:tc>
          <w:tcPr>
            <w:tcW w:w="1002" w:type="dxa"/>
            <w:vAlign w:val="center"/>
          </w:tcPr>
          <w:p>
            <w:pPr>
              <w:pStyle w:val="22"/>
              <w:spacing w:line="584" w:lineRule="exact"/>
            </w:pPr>
          </w:p>
        </w:tc>
        <w:tc>
          <w:tcPr>
            <w:tcW w:w="627" w:type="dxa"/>
            <w:vAlign w:val="center"/>
          </w:tcPr>
          <w:p>
            <w:pPr>
              <w:pStyle w:val="20"/>
              <w:spacing w:line="584" w:lineRule="exact"/>
            </w:pPr>
          </w:p>
        </w:tc>
        <w:tc>
          <w:tcPr>
            <w:tcW w:w="752" w:type="dxa"/>
            <w:vAlign w:val="center"/>
          </w:tcPr>
          <w:p>
            <w:pPr>
              <w:pStyle w:val="21"/>
              <w:spacing w:line="584" w:lineRule="exact"/>
            </w:pPr>
          </w:p>
        </w:tc>
        <w:tc>
          <w:tcPr>
            <w:tcW w:w="7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61" w:type="dxa"/>
            <w:vAlign w:val="center"/>
          </w:tcPr>
          <w:p>
            <w:pPr>
              <w:pStyle w:val="21"/>
              <w:spacing w:line="584" w:lineRule="exact"/>
            </w:pPr>
          </w:p>
        </w:tc>
        <w:tc>
          <w:tcPr>
            <w:tcW w:w="852"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970" w:type="dxa"/>
            <w:vAlign w:val="center"/>
          </w:tcPr>
          <w:p>
            <w:pPr>
              <w:pStyle w:val="20"/>
              <w:spacing w:line="584" w:lineRule="exact"/>
            </w:pPr>
          </w:p>
        </w:tc>
        <w:tc>
          <w:tcPr>
            <w:tcW w:w="853" w:type="dxa"/>
            <w:vAlign w:val="center"/>
          </w:tcPr>
          <w:p>
            <w:pPr>
              <w:pStyle w:val="21"/>
              <w:spacing w:line="584" w:lineRule="exact"/>
            </w:pPr>
          </w:p>
        </w:tc>
        <w:tc>
          <w:tcPr>
            <w:tcW w:w="1002" w:type="dxa"/>
            <w:vAlign w:val="center"/>
          </w:tcPr>
          <w:p>
            <w:pPr>
              <w:pStyle w:val="22"/>
              <w:spacing w:line="584" w:lineRule="exact"/>
            </w:pPr>
          </w:p>
        </w:tc>
        <w:tc>
          <w:tcPr>
            <w:tcW w:w="1002" w:type="dxa"/>
            <w:vAlign w:val="center"/>
          </w:tcPr>
          <w:p>
            <w:pPr>
              <w:pStyle w:val="22"/>
              <w:spacing w:line="584" w:lineRule="exact"/>
            </w:pPr>
          </w:p>
        </w:tc>
        <w:tc>
          <w:tcPr>
            <w:tcW w:w="627" w:type="dxa"/>
            <w:vAlign w:val="center"/>
          </w:tcPr>
          <w:p>
            <w:pPr>
              <w:pStyle w:val="20"/>
              <w:spacing w:line="584" w:lineRule="exact"/>
            </w:pPr>
          </w:p>
        </w:tc>
        <w:tc>
          <w:tcPr>
            <w:tcW w:w="752" w:type="dxa"/>
            <w:vAlign w:val="center"/>
          </w:tcPr>
          <w:p>
            <w:pPr>
              <w:pStyle w:val="21"/>
              <w:spacing w:line="584" w:lineRule="exact"/>
            </w:pPr>
          </w:p>
        </w:tc>
        <w:tc>
          <w:tcPr>
            <w:tcW w:w="7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52" w:type="dxa"/>
            <w:vAlign w:val="center"/>
          </w:tcPr>
          <w:p>
            <w:pPr>
              <w:pStyle w:val="21"/>
              <w:spacing w:line="584" w:lineRule="exact"/>
            </w:pPr>
          </w:p>
        </w:tc>
        <w:tc>
          <w:tcPr>
            <w:tcW w:w="861" w:type="dxa"/>
            <w:vAlign w:val="center"/>
          </w:tcPr>
          <w:p>
            <w:pPr>
              <w:pStyle w:val="21"/>
              <w:spacing w:line="584" w:lineRule="exact"/>
            </w:pPr>
          </w:p>
        </w:tc>
        <w:tc>
          <w:tcPr>
            <w:tcW w:w="852"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eastAsia="zh-CN"/>
        </w:rPr>
        <w:t>空表列示</w:t>
      </w:r>
      <w:r>
        <w:rPr>
          <w:rFonts w:ascii="方正仿宋_GBK" w:hAnsi="方正仿宋_GBK" w:eastAsia="方正仿宋_GBK" w:cs="方正仿宋_GBK"/>
          <w:color w:val="000000"/>
        </w:rPr>
        <w:t>。</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大城县气象局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气象局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spacing w:line="584" w:lineRule="exact"/>
        <w:ind w:firstLine="420"/>
        <w:rPr>
          <w:rFonts w:ascii="Times New Roman" w:hAnsi="黑体" w:eastAsia="黑体" w:cs="Times New Roman"/>
          <w:sz w:val="32"/>
          <w:szCs w:val="32"/>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eastAsia="zh-CN"/>
        </w:rPr>
        <w:t>空表列示</w:t>
      </w:r>
      <w:r>
        <w:rPr>
          <w:rFonts w:ascii="方正仿宋_GBK" w:hAnsi="方正仿宋_GBK" w:eastAsia="方正仿宋_GBK" w:cs="方正仿宋_GBK"/>
          <w:color w:val="000000"/>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DADF1"/>
    <w:multiLevelType w:val="singleLevel"/>
    <w:tmpl w:val="817DADF1"/>
    <w:lvl w:ilvl="0" w:tentative="0">
      <w:start w:val="5"/>
      <w:numFmt w:val="chineseCounting"/>
      <w:suff w:val="nothing"/>
      <w:lvlText w:val="%1、"/>
      <w:lvlJc w:val="left"/>
      <w:rPr>
        <w:rFonts w:hint="eastAsia"/>
      </w:rPr>
    </w:lvl>
  </w:abstractNum>
  <w:abstractNum w:abstractNumId="1">
    <w:nsid w:val="8699211F"/>
    <w:multiLevelType w:val="singleLevel"/>
    <w:tmpl w:val="8699211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ZkYWQzYTA1N2I5ZmNkNDZlN2YzZmNlMGY3YTUxMz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6E41A15"/>
    <w:rsid w:val="07BC4C4C"/>
    <w:rsid w:val="098257AC"/>
    <w:rsid w:val="0A1B141E"/>
    <w:rsid w:val="13E306DA"/>
    <w:rsid w:val="1B1D7A72"/>
    <w:rsid w:val="1B6E4190"/>
    <w:rsid w:val="1C502F39"/>
    <w:rsid w:val="25A16243"/>
    <w:rsid w:val="26FA67D1"/>
    <w:rsid w:val="27212911"/>
    <w:rsid w:val="281B76B8"/>
    <w:rsid w:val="2F840269"/>
    <w:rsid w:val="38F17E51"/>
    <w:rsid w:val="3E8B454E"/>
    <w:rsid w:val="3F655022"/>
    <w:rsid w:val="40423FC5"/>
    <w:rsid w:val="54982649"/>
    <w:rsid w:val="55440103"/>
    <w:rsid w:val="57E040E2"/>
    <w:rsid w:val="5FC54B3E"/>
    <w:rsid w:val="673B57FC"/>
    <w:rsid w:val="687D1153"/>
    <w:rsid w:val="6B1D22BB"/>
    <w:rsid w:val="6C2731BD"/>
    <w:rsid w:val="6F2C5013"/>
    <w:rsid w:val="771B1116"/>
    <w:rsid w:val="7C237F32"/>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6187</Words>
  <Characters>6411</Characters>
  <Lines>35</Lines>
  <Paragraphs>10</Paragraphs>
  <TotalTime>0</TotalTime>
  <ScaleCrop>false</ScaleCrop>
  <LinksUpToDate>false</LinksUpToDate>
  <CharactersWithSpaces>6553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2023-03-24T01:55:19Z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