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55" w:rsidRDefault="00725655" w:rsidP="00725655">
      <w:pPr>
        <w:pStyle w:val="2"/>
        <w:shd w:val="clear" w:color="auto" w:fill="FFFFFF"/>
        <w:spacing w:before="0" w:beforeAutospacing="0" w:after="0" w:afterAutospacing="0" w:line="560" w:lineRule="exact"/>
        <w:jc w:val="center"/>
        <w:rPr>
          <w:rFonts w:ascii="方正小标宋简体" w:eastAsia="方正小标宋简体" w:hAnsi="微软雅黑"/>
          <w:b w:val="0"/>
          <w:bCs w:val="0"/>
          <w:color w:val="333333"/>
          <w:sz w:val="44"/>
          <w:szCs w:val="44"/>
        </w:rPr>
      </w:pPr>
      <w:r>
        <w:rPr>
          <w:rFonts w:ascii="方正小标宋简体" w:eastAsia="方正小标宋简体" w:hAnsi="微软雅黑" w:hint="eastAsia"/>
          <w:b w:val="0"/>
          <w:bCs w:val="0"/>
          <w:color w:val="333333"/>
          <w:sz w:val="44"/>
          <w:szCs w:val="44"/>
        </w:rPr>
        <w:t>关于扩大全额退还增值税留抵税额政策  行业范围的公告</w:t>
      </w:r>
    </w:p>
    <w:p w:rsidR="00725655" w:rsidRDefault="00725655" w:rsidP="00725655">
      <w:pPr>
        <w:pStyle w:val="2"/>
        <w:shd w:val="clear" w:color="auto" w:fill="FFFFFF"/>
        <w:spacing w:before="0" w:beforeAutospacing="0" w:after="0" w:afterAutospacing="0" w:line="560" w:lineRule="exact"/>
        <w:jc w:val="center"/>
        <w:rPr>
          <w:rFonts w:ascii="方正小标宋简体" w:eastAsia="方正小标宋简体" w:hAnsi="微软雅黑" w:hint="eastAsia"/>
          <w:b w:val="0"/>
          <w:bCs w:val="0"/>
          <w:color w:val="333333"/>
          <w:sz w:val="32"/>
          <w:szCs w:val="32"/>
        </w:rPr>
      </w:pPr>
      <w:r>
        <w:rPr>
          <w:rFonts w:ascii="方正小标宋简体" w:eastAsia="方正小标宋简体" w:hAnsi="微软雅黑" w:hint="eastAsia"/>
          <w:b w:val="0"/>
          <w:bCs w:val="0"/>
          <w:color w:val="333333"/>
          <w:sz w:val="32"/>
          <w:szCs w:val="32"/>
        </w:rPr>
        <w:t>（财政部 税务总局公告2022年第21号）</w:t>
      </w:r>
    </w:p>
    <w:p w:rsidR="00725655" w:rsidRDefault="00725655" w:rsidP="00725655">
      <w:pPr>
        <w:spacing w:line="560" w:lineRule="exact"/>
        <w:rPr>
          <w:rFonts w:hint="eastAsia"/>
        </w:rPr>
      </w:pPr>
    </w:p>
    <w:p w:rsidR="00725655" w:rsidRDefault="00725655" w:rsidP="00725655">
      <w:pPr>
        <w:pStyle w:val="a5"/>
        <w:shd w:val="clear" w:color="auto" w:fill="FFFFFF"/>
        <w:spacing w:before="0" w:beforeAutospacing="0" w:after="0" w:afterAutospacing="0" w:line="560" w:lineRule="exact"/>
        <w:rPr>
          <w:rFonts w:ascii="仿宋_GB2312" w:eastAsia="仿宋_GB2312" w:hAnsi="宋体"/>
          <w:color w:val="333333"/>
          <w:sz w:val="32"/>
          <w:szCs w:val="32"/>
        </w:rPr>
      </w:pPr>
      <w:r>
        <w:rPr>
          <w:rFonts w:hint="eastAsia"/>
          <w:color w:val="333333"/>
        </w:rPr>
        <w:t xml:space="preserve">　　</w:t>
      </w:r>
      <w:r>
        <w:rPr>
          <w:rFonts w:ascii="仿宋_GB2312" w:eastAsia="仿宋_GB2312" w:hint="eastAsia"/>
          <w:color w:val="333333"/>
          <w:sz w:val="32"/>
          <w:szCs w:val="32"/>
        </w:rPr>
        <w:t>为进一步加大增值税留抵退税政策实施力度，着力稳市场主体稳就业，现将扩大全额退还增值税留抵税额政策行业范围有关政策公告如下：</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一、扩大全额退还增值税留抵税额政策行业范围，将《财政部</w:t>
      </w:r>
      <w:r>
        <w:rPr>
          <w:rFonts w:eastAsia="仿宋_GB2312"/>
          <w:color w:val="333333"/>
          <w:sz w:val="32"/>
          <w:szCs w:val="32"/>
        </w:rPr>
        <w:t> </w:t>
      </w:r>
      <w:r>
        <w:rPr>
          <w:rFonts w:ascii="仿宋_GB2312" w:eastAsia="仿宋_GB2312" w:hint="eastAsia"/>
          <w:color w:val="333333"/>
          <w:sz w:val="32"/>
          <w:szCs w:val="32"/>
        </w:rPr>
        <w:t>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（一）符合条件的批发零售业等行业企业，可以自2022年7月纳税申报期起向主管税务机关申请退还增量留抵税额。</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（二）符合条件的批发零售业等行业企业，可以自2022年7月纳税申报期起向主管税务机关申请一次性退还存量留抵税额。</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二、2022年第14号公告和本公告所称制造业、批发零售业等行业企业，是指从事《国民经济行业分类》中“批发</w:t>
      </w:r>
      <w:r>
        <w:rPr>
          <w:rFonts w:ascii="仿宋_GB2312" w:eastAsia="仿宋_GB2312" w:hint="eastAsia"/>
          <w:color w:val="333333"/>
          <w:sz w:val="32"/>
          <w:szCs w:val="32"/>
        </w:rPr>
        <w:lastRenderedPageBreak/>
        <w:t>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上述销售额比重根据纳税人申请退税前连续12个月的销售额计算确定；申请退税前经营期不满12个月但满3个月的，按照实际经营期的销售额计算确定。</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三、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四、制造业、批发零售业等行业企业申请留抵退税的其他规定，继续按照2022年第14号公告等有关规定执行。</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五、本公告第一条和第二条自2022年7月1日起执行；第三条自公告发布之日起执行。</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各级财政和税务部门要坚决贯彻党中央、国务院决策部署，按照2022年第14号公告、《财政部 税务总局关于进一步加快增值税期末留抵退税政策实施进度的公告》（财政</w:t>
      </w:r>
      <w:r>
        <w:rPr>
          <w:rFonts w:ascii="仿宋_GB2312" w:eastAsia="仿宋_GB2312" w:hint="eastAsia"/>
          <w:color w:val="333333"/>
          <w:sz w:val="32"/>
          <w:szCs w:val="32"/>
        </w:rPr>
        <w:lastRenderedPageBreak/>
        <w:t>部 税务总局公告2022年第17号）、《财政部 税务总局关于进一步持续加快增值税期末留抵退税政策实施进度的公告》（财政部 税务总局公告2022年第19号）和本公告有关要求，在纳税人自愿申请的基础上，狠抓落实，持续加快留抵退税进度。同时，严密防范退税风险，严厉打击骗税行为。</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特此公告。</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w:t>
      </w:r>
      <w:r>
        <w:rPr>
          <w:rFonts w:eastAsia="仿宋_GB2312"/>
          <w:color w:val="333333"/>
          <w:sz w:val="32"/>
          <w:szCs w:val="32"/>
        </w:rPr>
        <w:t>                                                                       </w:t>
      </w:r>
      <w:r>
        <w:rPr>
          <w:rFonts w:ascii="仿宋_GB2312" w:eastAsia="仿宋_GB2312" w:hint="eastAsia"/>
          <w:color w:val="333333"/>
          <w:sz w:val="32"/>
          <w:szCs w:val="32"/>
        </w:rPr>
        <w:t>财政部</w:t>
      </w:r>
      <w:r>
        <w:rPr>
          <w:rFonts w:eastAsia="仿宋_GB2312"/>
          <w:color w:val="333333"/>
          <w:sz w:val="32"/>
          <w:szCs w:val="32"/>
        </w:rPr>
        <w:t>  </w:t>
      </w:r>
      <w:r>
        <w:rPr>
          <w:rFonts w:ascii="仿宋_GB2312" w:eastAsia="仿宋_GB2312" w:hint="eastAsia"/>
          <w:color w:val="333333"/>
          <w:sz w:val="32"/>
          <w:szCs w:val="32"/>
        </w:rPr>
        <w:t>税务总局</w:t>
      </w:r>
      <w:r>
        <w:rPr>
          <w:rFonts w:eastAsia="仿宋_GB2312"/>
          <w:color w:val="333333"/>
          <w:sz w:val="32"/>
          <w:szCs w:val="32"/>
        </w:rPr>
        <w:t>  </w:t>
      </w:r>
    </w:p>
    <w:p w:rsidR="00725655" w:rsidRDefault="00725655" w:rsidP="00725655">
      <w:pPr>
        <w:pStyle w:val="a5"/>
        <w:shd w:val="clear" w:color="auto" w:fill="FFFFFF"/>
        <w:spacing w:before="0" w:beforeAutospacing="0" w:after="0" w:afterAutospacing="0" w:line="560" w:lineRule="exact"/>
        <w:rPr>
          <w:rFonts w:ascii="仿宋_GB2312" w:eastAsia="仿宋_GB2312" w:hint="eastAsia"/>
          <w:color w:val="333333"/>
          <w:sz w:val="32"/>
          <w:szCs w:val="32"/>
        </w:rPr>
      </w:pPr>
      <w:r>
        <w:rPr>
          <w:rFonts w:ascii="仿宋_GB2312" w:eastAsia="仿宋_GB2312" w:hint="eastAsia"/>
          <w:color w:val="333333"/>
          <w:sz w:val="32"/>
          <w:szCs w:val="32"/>
        </w:rPr>
        <w:t xml:space="preserve">　　</w:t>
      </w:r>
      <w:r>
        <w:rPr>
          <w:rFonts w:eastAsia="仿宋_GB2312"/>
          <w:color w:val="333333"/>
          <w:sz w:val="32"/>
          <w:szCs w:val="32"/>
        </w:rPr>
        <w:t>                                                                         </w:t>
      </w:r>
      <w:r>
        <w:rPr>
          <w:rFonts w:ascii="仿宋_GB2312" w:eastAsia="仿宋_GB2312" w:hint="eastAsia"/>
          <w:color w:val="333333"/>
          <w:sz w:val="32"/>
          <w:szCs w:val="32"/>
        </w:rPr>
        <w:t>2022年6月7日</w:t>
      </w:r>
      <w:r>
        <w:rPr>
          <w:rFonts w:eastAsia="仿宋_GB2312"/>
          <w:color w:val="333333"/>
          <w:sz w:val="32"/>
          <w:szCs w:val="32"/>
        </w:rPr>
        <w:t> </w:t>
      </w:r>
    </w:p>
    <w:p w:rsidR="00725655" w:rsidRDefault="00725655" w:rsidP="00725655">
      <w:pPr>
        <w:rPr>
          <w:rFonts w:hint="eastAsia"/>
        </w:rPr>
      </w:pPr>
    </w:p>
    <w:p w:rsidR="00000000" w:rsidRDefault="00725655"/>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55" w:rsidRDefault="00725655" w:rsidP="00725655">
      <w:r>
        <w:separator/>
      </w:r>
    </w:p>
  </w:endnote>
  <w:endnote w:type="continuationSeparator" w:id="1">
    <w:p w:rsidR="00725655" w:rsidRDefault="00725655" w:rsidP="007256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55" w:rsidRDefault="00725655" w:rsidP="00725655">
      <w:r>
        <w:separator/>
      </w:r>
    </w:p>
  </w:footnote>
  <w:footnote w:type="continuationSeparator" w:id="1">
    <w:p w:rsidR="00725655" w:rsidRDefault="00725655" w:rsidP="00725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655"/>
    <w:rsid w:val="00725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semiHidden/>
    <w:unhideWhenUsed/>
    <w:qFormat/>
    <w:rsid w:val="00725655"/>
    <w:pPr>
      <w:spacing w:before="100" w:beforeAutospacing="1" w:after="100" w:afterAutospacing="1"/>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655"/>
    <w:rPr>
      <w:sz w:val="18"/>
      <w:szCs w:val="18"/>
    </w:rPr>
  </w:style>
  <w:style w:type="paragraph" w:styleId="a4">
    <w:name w:val="footer"/>
    <w:basedOn w:val="a"/>
    <w:link w:val="Char0"/>
    <w:uiPriority w:val="99"/>
    <w:semiHidden/>
    <w:unhideWhenUsed/>
    <w:rsid w:val="007256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655"/>
    <w:rPr>
      <w:sz w:val="18"/>
      <w:szCs w:val="18"/>
    </w:rPr>
  </w:style>
  <w:style w:type="character" w:customStyle="1" w:styleId="2Char">
    <w:name w:val="标题 2 Char"/>
    <w:basedOn w:val="a0"/>
    <w:link w:val="2"/>
    <w:semiHidden/>
    <w:rsid w:val="00725655"/>
    <w:rPr>
      <w:rFonts w:ascii="宋体" w:eastAsia="宋体" w:hAnsi="宋体" w:cs="Times New Roman"/>
      <w:b/>
      <w:bCs/>
      <w:kern w:val="0"/>
      <w:sz w:val="36"/>
      <w:szCs w:val="36"/>
    </w:rPr>
  </w:style>
  <w:style w:type="paragraph" w:styleId="a5">
    <w:name w:val="Normal (Web)"/>
    <w:basedOn w:val="a"/>
    <w:uiPriority w:val="99"/>
    <w:semiHidden/>
    <w:unhideWhenUsed/>
    <w:rsid w:val="00725655"/>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969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2022-08-29T01:48:00Z</dcterms:created>
  <dcterms:modified xsi:type="dcterms:W3CDTF">2022-08-29T01:49:00Z</dcterms:modified>
</cp:coreProperties>
</file>