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大城县人民法院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大城县人民法院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深入贯彻落实习近平新时代中国特色社会主义思想，深入贯彻党的路线方针政策和决策部署，坚持党对法院工作的绝对领导，坚决维护习近平总书记的核心地位，坚决维护党中央权威和集中统一领导。</w:t>
      </w:r>
      <w:r>
        <w:rPr>
          <w:rFonts w:ascii="Times New Roman" w:hAnsi="Times New Roman" w:eastAsia="仿宋_GB2312" w:cs="Times New Roman"/>
          <w:sz w:val="32"/>
          <w:szCs w:val="32"/>
        </w:rPr>
        <w:t xml:space="preserve">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（二）依法审判法律规定由大城县人民法院管辖的刑事、民事、行政等第一审判案件。</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（三）依法审判上级人民法院指定、同级人民法院移送的刑事、民事、行政等第一审案件。</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（四）审查和受理各类申诉案件，审判各类再审案件，处理来信来访。</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（五）依法办理发生法律效力的民事、行政案件判决和裁定执行事项及刑事案件判决和裁定中关于财产部分的执行事项；办理法律规定由基层人民法院执行的其他法律文书的执行事项。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（六）负责审判工作的调查研究，总结审判工作经验。</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（七）负责干警思想政治教育和业务培训工作；按照权限管理法官和其他工作人员。</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（八）管理有关经费及物资装备。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（九）负责司法技术鉴定、通讯、计算机等技术管理工作。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（十）负责审判工作中的法制宣传，教育公民忠于祖国，自觉遵守宪法、法律和社会公德。</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（十一）完成其他应由大城县人民法院负责的工作。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大城县人民法院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大城县人民法院</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3203.58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3087.18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116.40万元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highlight w:val="red"/>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我院2021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3203.58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1432.15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1302.55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129.60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1771.43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办案业务费、司法救助经费及办公楼维修等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3203.58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135.15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71.15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工资福利</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64.00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企业破产工作经费等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院</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129.60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大城县人民法院</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院</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100.50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99.50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30.00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69.50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加42.10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加42.10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加30.00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加12.10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我院受理案件数逐年增加，增加公车运行经费支出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院将在县委、县政府、县委政法委和上级法院机关的坚强领导下，深入贯彻落实习近平新时代中国特色社会主义思想，深入贯彻党的路线方针政策和决策部署，坚持党对法院工作的绝对领导，坚决维护习近平总书记的核心地位，坚决维护党中央权威和集中统一领导。</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院将认真履行国家宪法和其他法律法规，通过审判各类刑事、民事、行政案件，严厉打击各类犯罪活动，保护人民群众合法权益和社会公共利益不受侵害，维护社会和谐稳定，促进经济社会发展，提升国家法治建设水平，努力让人民群众在每一起案件中感受到公平正义。</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1.通过审判各类案件，严厉打击各类犯罪活动。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绩效目标：依法惩治刑事犯罪，监督行政机关依法行政，促进社会和谐，维护社会稳定，服务权限工作大局，发挥服务保证职能。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绩效指标：依法惩治刑事犯罪，监督行政机关依法行政，促进社会和谐，提高案件结案率。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通过案件判决执行，维护社会公平公正。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绩效目标：积极推进执行工作，切实保障群众合法权益，维护社会公平正义。</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绩效指标：执行本院已经发生法律效力的法律文书和法律规定由本院执行的其他生效法律文书及委托执行案件。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通过审判管理，提升司法公信力。</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绩效目标：完善审判质效评估体系，促进审判质效、健全司法权力运行机制，提升司法公信力。</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绩效指标：规范、保障、促进审判执行工作，包括：案件信息管理、案件质量评估、案件质量评查、审判流程管理、审判运势分析等。</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通过开展司法技术辅助，提高办案质量。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绩效目标：为案件审判提供技术支撑，提高办案质量。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绩效指标：开展司法技术辅助工作。对审判工作技术咨询、技术审核服务。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通过开展信访维稳工作，切实维护群众合法权益。</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绩效目标：保障信访工作正常进行，提高信访案件结案率、信访受理满意度，维护国家机关的正常工作秩序，做好稳控工作。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绩效指标：完成涉法涉诉类上访案件的息诉罢访工作，做好“两会”、重大活动期间的维稳工作，接待分流越级上访人员、协助处理到上级法院的集体访和闹访人员的稳控遣返工作。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通过完善司法救助，切实保护民生。</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绩效目标：不断完善司法救助，切实保护民生，让人民群众感受到司法以人为本，享受到司法人文关怀。</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绩效指标：对受到侵害但无法获得有效赔偿的当事人给予资助。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通过改进司法工作作风，提高队伍执法能力。</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绩效目标：不断提高队伍素质和执法能力，推进信息公开，提升审判质效，改进司法工作作风，树立法院良好形象。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绩效指标：加强法院系统队伍建设，加强法院基础设施及信息化建设，加强培训及法院文化建设；总结人民法院审判业务工作经验，树立法院良好形象。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198"/>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autoSpaceDE w:val="0"/>
        <w:autoSpaceDN w:val="0"/>
        <w:adjustRightInd w:val="0"/>
        <w:ind w:left="198"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加强队伍建设。加强法院系统队伍建设，加强培训及法院文化建设，不断提高队伍素质和执法能力，加大宣传力度，强化预算绩效管理意识，推进信息公开，提升审判质效，改进司法工作作风，树立法院良好形象。</w:t>
      </w:r>
    </w:p>
    <w:p>
      <w:pPr>
        <w:tabs>
          <w:tab w:val="left" w:pos="198"/>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autoSpaceDE w:val="0"/>
        <w:autoSpaceDN w:val="0"/>
        <w:adjustRightInd w:val="0"/>
        <w:ind w:left="198"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2.完善制度建设。完善预算绩效管理制度、资金管理办法、工作保障制度，做好会议组织管理、信息化建设与维护、机关财务和资产管理、人事管理、党务管理工作等。</w:t>
      </w:r>
    </w:p>
    <w:p>
      <w:pPr>
        <w:tabs>
          <w:tab w:val="left" w:pos="198"/>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autoSpaceDE w:val="0"/>
        <w:autoSpaceDN w:val="0"/>
        <w:adjustRightInd w:val="0"/>
        <w:ind w:left="198"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3.规范财务资产管理。完善财务管理制度，严格审批程序，做到支出合理，物尽其用。</w:t>
      </w:r>
    </w:p>
    <w:p>
      <w:pPr>
        <w:tabs>
          <w:tab w:val="left" w:pos="198"/>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autoSpaceDE w:val="0"/>
        <w:autoSpaceDN w:val="0"/>
        <w:adjustRightInd w:val="0"/>
        <w:ind w:left="198"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4.依法案件审判。依法惩治刑事犯罪，监督行政机关依法行政，促进社会和谐，维护社会稳定。完善审判质效评估体系，促进审判质效、健全司法权力运行机制，提升司法公信力。</w:t>
      </w:r>
    </w:p>
    <w:p>
      <w:pPr>
        <w:tabs>
          <w:tab w:val="left" w:pos="198"/>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autoSpaceDE w:val="0"/>
        <w:autoSpaceDN w:val="0"/>
        <w:adjustRightInd w:val="0"/>
        <w:ind w:left="198"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加强绩效运行监控。纪检监察室及办公室应配合财政部门作好预算绩效运行跟踪监控管理相关工作。办公室财务统计人员负责对本单位的项目绩效进行跟踪监控，并根据项目预期进度和绩效目标预期完成情况进行分析。</w:t>
      </w:r>
    </w:p>
    <w:p>
      <w:pPr>
        <w:tabs>
          <w:tab w:val="left" w:pos="198"/>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autoSpaceDE w:val="0"/>
        <w:autoSpaceDN w:val="0"/>
        <w:adjustRightInd w:val="0"/>
        <w:ind w:left="198"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6.做好绩效自评。按要求开展部门预算绩效自评和重点评价工作，对评价中发现的问题及时整改，调整优化支出结构，提高财政资金使用效益。</w:t>
      </w:r>
    </w:p>
    <w:p>
      <w:pPr>
        <w:tabs>
          <w:tab w:val="left" w:pos="198"/>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autoSpaceDE w:val="0"/>
        <w:autoSpaceDN w:val="0"/>
        <w:adjustRightInd w:val="0"/>
        <w:ind w:left="198"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加强内部监督。加强内部监督制度建设，对绩效运行情况、重大支出决策及其他重要业务事项的决策和执行进行督导，对会计资料进行内部审计，并配合做好审计、财政监督等外部监督工作，确保财政资金安全有效。</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80"/>
        <w:gridCol w:w="1150"/>
        <w:gridCol w:w="2283"/>
        <w:gridCol w:w="2484"/>
        <w:gridCol w:w="2133"/>
        <w:gridCol w:w="939"/>
        <w:gridCol w:w="534"/>
        <w:gridCol w:w="566"/>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2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48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13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3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8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96" w:hRule="atLeast"/>
          <w:tblHeader/>
          <w:jc w:val="center"/>
        </w:trPr>
        <w:tc>
          <w:tcPr>
            <w:tcW w:w="980" w:type="dxa"/>
            <w:vMerge w:val="continue"/>
            <w:tcBorders>
              <w:tl2br w:val="nil"/>
              <w:tr2bl w:val="nil"/>
            </w:tcBorders>
            <w:vAlign w:val="center"/>
          </w:tcPr>
          <w:p/>
        </w:tc>
        <w:tc>
          <w:tcPr>
            <w:tcW w:w="1150" w:type="dxa"/>
            <w:vMerge w:val="continue"/>
            <w:tcBorders>
              <w:tl2br w:val="nil"/>
              <w:tr2bl w:val="nil"/>
            </w:tcBorders>
            <w:vAlign w:val="center"/>
          </w:tcPr>
          <w:p/>
        </w:tc>
        <w:tc>
          <w:tcPr>
            <w:tcW w:w="2283" w:type="dxa"/>
            <w:vMerge w:val="continue"/>
            <w:tcBorders>
              <w:tl2br w:val="nil"/>
              <w:tr2bl w:val="nil"/>
            </w:tcBorders>
            <w:vAlign w:val="center"/>
          </w:tcPr>
          <w:p/>
        </w:tc>
        <w:tc>
          <w:tcPr>
            <w:tcW w:w="2484" w:type="dxa"/>
            <w:vMerge w:val="continue"/>
            <w:tcBorders>
              <w:tl2br w:val="nil"/>
              <w:tr2bl w:val="nil"/>
            </w:tcBorders>
            <w:vAlign w:val="center"/>
          </w:tcPr>
          <w:p/>
        </w:tc>
        <w:tc>
          <w:tcPr>
            <w:tcW w:w="2133" w:type="dxa"/>
            <w:vMerge w:val="continue"/>
            <w:tcBorders>
              <w:tl2br w:val="nil"/>
              <w:tr2bl w:val="nil"/>
            </w:tcBorders>
            <w:vAlign w:val="center"/>
          </w:tcPr>
          <w:p/>
        </w:tc>
        <w:tc>
          <w:tcPr>
            <w:tcW w:w="93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3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8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8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1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2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案件审判率</w:t>
            </w:r>
          </w:p>
        </w:tc>
        <w:tc>
          <w:tcPr>
            <w:tcW w:w="24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审判案件占受理案件的比率</w:t>
            </w:r>
          </w:p>
        </w:tc>
        <w:tc>
          <w:tcPr>
            <w:tcW w:w="213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审判案件占受理案件的比率</w:t>
            </w:r>
          </w:p>
        </w:tc>
        <w:tc>
          <w:tcPr>
            <w:tcW w:w="93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3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3" w:hRule="atLeast"/>
          <w:jc w:val="center"/>
        </w:trPr>
        <w:tc>
          <w:tcPr>
            <w:tcW w:w="980" w:type="dxa"/>
            <w:vMerge w:val="continue"/>
            <w:tcBorders>
              <w:tl2br w:val="nil"/>
              <w:tr2bl w:val="nil"/>
            </w:tcBorders>
            <w:vAlign w:val="center"/>
          </w:tcPr>
          <w:p/>
        </w:tc>
        <w:tc>
          <w:tcPr>
            <w:tcW w:w="11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2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工作完成是否达标</w:t>
            </w:r>
          </w:p>
        </w:tc>
        <w:tc>
          <w:tcPr>
            <w:tcW w:w="24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工作完成情况是否达标</w:t>
            </w:r>
          </w:p>
        </w:tc>
        <w:tc>
          <w:tcPr>
            <w:tcW w:w="213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工作完成情况是否达标</w:t>
            </w:r>
          </w:p>
        </w:tc>
        <w:tc>
          <w:tcPr>
            <w:tcW w:w="93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4" w:type="dxa"/>
            <w:tcBorders>
              <w:tl2br w:val="nil"/>
              <w:tr2bl w:val="nil"/>
            </w:tcBorders>
            <w:vAlign w:val="center"/>
          </w:tcPr>
          <w:p>
            <w:pPr>
              <w:widowControl/>
              <w:adjustRightInd w:val="0"/>
              <w:snapToGrid w:val="0"/>
              <w:jc w:val="center"/>
              <w:rPr>
                <w:rFonts w:ascii="方正书宋_GBK" w:eastAsia="方正书宋_GBK"/>
              </w:rPr>
            </w:pPr>
          </w:p>
        </w:tc>
        <w:tc>
          <w:tcPr>
            <w:tcW w:w="5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达标</w:t>
            </w:r>
          </w:p>
        </w:tc>
        <w:tc>
          <w:tcPr>
            <w:tcW w:w="13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80" w:type="dxa"/>
            <w:vMerge w:val="continue"/>
            <w:tcBorders>
              <w:tl2br w:val="nil"/>
              <w:tr2bl w:val="nil"/>
            </w:tcBorders>
            <w:vAlign w:val="center"/>
          </w:tcPr>
          <w:p/>
        </w:tc>
        <w:tc>
          <w:tcPr>
            <w:tcW w:w="11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2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资金支付是否及时</w:t>
            </w:r>
          </w:p>
        </w:tc>
        <w:tc>
          <w:tcPr>
            <w:tcW w:w="24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资金支付是否及时</w:t>
            </w:r>
          </w:p>
        </w:tc>
        <w:tc>
          <w:tcPr>
            <w:tcW w:w="213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资金支付是否及时</w:t>
            </w:r>
          </w:p>
        </w:tc>
        <w:tc>
          <w:tcPr>
            <w:tcW w:w="93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4" w:type="dxa"/>
            <w:tcBorders>
              <w:tl2br w:val="nil"/>
              <w:tr2bl w:val="nil"/>
            </w:tcBorders>
            <w:vAlign w:val="center"/>
          </w:tcPr>
          <w:p>
            <w:pPr>
              <w:widowControl/>
              <w:adjustRightInd w:val="0"/>
              <w:snapToGrid w:val="0"/>
              <w:jc w:val="center"/>
              <w:rPr>
                <w:rFonts w:ascii="方正书宋_GBK" w:eastAsia="方正书宋_GBK"/>
              </w:rPr>
            </w:pPr>
          </w:p>
        </w:tc>
        <w:tc>
          <w:tcPr>
            <w:tcW w:w="5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及时</w:t>
            </w:r>
          </w:p>
        </w:tc>
        <w:tc>
          <w:tcPr>
            <w:tcW w:w="13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80" w:type="dxa"/>
            <w:vMerge w:val="continue"/>
            <w:tcBorders>
              <w:tl2br w:val="nil"/>
              <w:tr2bl w:val="nil"/>
            </w:tcBorders>
            <w:vAlign w:val="center"/>
          </w:tcPr>
          <w:p/>
        </w:tc>
        <w:tc>
          <w:tcPr>
            <w:tcW w:w="11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2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成本控制</w:t>
            </w:r>
          </w:p>
        </w:tc>
        <w:tc>
          <w:tcPr>
            <w:tcW w:w="24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成本是否控制在预算范围内</w:t>
            </w:r>
          </w:p>
        </w:tc>
        <w:tc>
          <w:tcPr>
            <w:tcW w:w="213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成本是否控制在预算范围内</w:t>
            </w:r>
          </w:p>
        </w:tc>
        <w:tc>
          <w:tcPr>
            <w:tcW w:w="93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4" w:type="dxa"/>
            <w:tcBorders>
              <w:tl2br w:val="nil"/>
              <w:tr2bl w:val="nil"/>
            </w:tcBorders>
            <w:vAlign w:val="center"/>
          </w:tcPr>
          <w:p>
            <w:pPr>
              <w:widowControl/>
              <w:adjustRightInd w:val="0"/>
              <w:snapToGrid w:val="0"/>
              <w:jc w:val="center"/>
              <w:rPr>
                <w:rFonts w:ascii="方正书宋_GBK" w:eastAsia="方正书宋_GBK"/>
              </w:rPr>
            </w:pPr>
          </w:p>
        </w:tc>
        <w:tc>
          <w:tcPr>
            <w:tcW w:w="5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低于预算</w:t>
            </w:r>
          </w:p>
        </w:tc>
        <w:tc>
          <w:tcPr>
            <w:tcW w:w="13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8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1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2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公众对法院工作的了解度</w:t>
            </w:r>
          </w:p>
        </w:tc>
        <w:tc>
          <w:tcPr>
            <w:tcW w:w="24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公众对法院工作的了解度是否提升</w:t>
            </w:r>
          </w:p>
        </w:tc>
        <w:tc>
          <w:tcPr>
            <w:tcW w:w="213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公众对法院工作的了解度是否提升</w:t>
            </w:r>
          </w:p>
        </w:tc>
        <w:tc>
          <w:tcPr>
            <w:tcW w:w="93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4" w:type="dxa"/>
            <w:tcBorders>
              <w:tl2br w:val="nil"/>
              <w:tr2bl w:val="nil"/>
            </w:tcBorders>
            <w:vAlign w:val="center"/>
          </w:tcPr>
          <w:p>
            <w:pPr>
              <w:widowControl/>
              <w:adjustRightInd w:val="0"/>
              <w:snapToGrid w:val="0"/>
              <w:jc w:val="center"/>
              <w:rPr>
                <w:rFonts w:ascii="方正书宋_GBK" w:eastAsia="方正书宋_GBK"/>
              </w:rPr>
            </w:pPr>
          </w:p>
        </w:tc>
        <w:tc>
          <w:tcPr>
            <w:tcW w:w="5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提升</w:t>
            </w:r>
          </w:p>
        </w:tc>
        <w:tc>
          <w:tcPr>
            <w:tcW w:w="13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80" w:type="dxa"/>
            <w:vMerge w:val="continue"/>
            <w:tcBorders>
              <w:tl2br w:val="nil"/>
              <w:tr2bl w:val="nil"/>
            </w:tcBorders>
            <w:vAlign w:val="center"/>
          </w:tcPr>
          <w:p/>
        </w:tc>
        <w:tc>
          <w:tcPr>
            <w:tcW w:w="1150"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22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社会影响力</w:t>
            </w:r>
          </w:p>
        </w:tc>
        <w:tc>
          <w:tcPr>
            <w:tcW w:w="24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社会影响力是否提升</w:t>
            </w:r>
          </w:p>
        </w:tc>
        <w:tc>
          <w:tcPr>
            <w:tcW w:w="213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社会影响力是否提升</w:t>
            </w:r>
          </w:p>
        </w:tc>
        <w:tc>
          <w:tcPr>
            <w:tcW w:w="93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4" w:type="dxa"/>
            <w:tcBorders>
              <w:tl2br w:val="nil"/>
              <w:tr2bl w:val="nil"/>
            </w:tcBorders>
            <w:vAlign w:val="center"/>
          </w:tcPr>
          <w:p>
            <w:pPr>
              <w:widowControl/>
              <w:adjustRightInd w:val="0"/>
              <w:snapToGrid w:val="0"/>
              <w:jc w:val="center"/>
              <w:rPr>
                <w:rFonts w:ascii="方正书宋_GBK" w:eastAsia="方正书宋_GBK"/>
              </w:rPr>
            </w:pPr>
          </w:p>
        </w:tc>
        <w:tc>
          <w:tcPr>
            <w:tcW w:w="5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提升</w:t>
            </w:r>
          </w:p>
        </w:tc>
        <w:tc>
          <w:tcPr>
            <w:tcW w:w="13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jc w:val="center"/>
        </w:trPr>
        <w:tc>
          <w:tcPr>
            <w:tcW w:w="980" w:type="dxa"/>
            <w:vMerge w:val="continue"/>
            <w:tcBorders>
              <w:tl2br w:val="nil"/>
              <w:tr2bl w:val="nil"/>
            </w:tcBorders>
            <w:vAlign w:val="center"/>
          </w:tcPr>
          <w:p/>
        </w:tc>
        <w:tc>
          <w:tcPr>
            <w:tcW w:w="1150"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22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248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213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93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3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80" w:type="dxa"/>
            <w:vMerge w:val="continue"/>
            <w:tcBorders>
              <w:tl2br w:val="nil"/>
              <w:tr2bl w:val="nil"/>
            </w:tcBorders>
            <w:vAlign w:val="center"/>
          </w:tcPr>
          <w:p/>
        </w:tc>
        <w:tc>
          <w:tcPr>
            <w:tcW w:w="1150"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22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工作人员满意度</w:t>
            </w:r>
          </w:p>
        </w:tc>
        <w:tc>
          <w:tcPr>
            <w:tcW w:w="248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工作人员满意度</w:t>
            </w:r>
          </w:p>
        </w:tc>
        <w:tc>
          <w:tcPr>
            <w:tcW w:w="213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工作人员满意度</w:t>
            </w:r>
          </w:p>
        </w:tc>
        <w:tc>
          <w:tcPr>
            <w:tcW w:w="93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3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冯寿福国家赔偿款</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冯寿福国家赔偿金拨付到单位后，立即赔付当事人国家赔偿款，为其消除影响，恢复名誉。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8"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国家赔偿案件数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国家赔偿案件数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结案率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结案率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5"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赔付时效</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赔付时效</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严控支出在预算范围内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≤51.54万元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1"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提升群众感知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提升群众对案件审判感知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恢复当事人名誉</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是否恢复当事人名誉</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恢复</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关于提前下达2021年中央政法纪检监察转移支付资金-上级（装备）</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上级专款用于购置设备，完善办公条件。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购置装备数量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购置装备数量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装备质量达标率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购置装备质量达标率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购置装备是否及时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购置装备是否及时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成本是否控制在预算范围内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≤71万元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社会影响力</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提升群众感知</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群众感知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是否提升群众感知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关于提前下达2021年省级基层公检法司转移支付资金-上级（装备）</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上级专款用于购置被装，提高法院形象。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购置被装比率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购置被装人数占总人数的百分比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被装质量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被装质量是否达标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≤32万元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法官正式着装的影响力</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正式公正</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群众感知受否提升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群众感知受否提升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2"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关于提前下达2021年中央政法纪检监察转移支付资金-上级（业务）</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保证案件的顺利开展，优化办公条件，提高结案率，不断提高队伍素质和执法能力，提升审判质效，改进司法工作作风。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结案率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结案数占受理数百分比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工作完成达标情况</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工作完成达标情况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≤167万元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案件流程合规率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案件流程合规率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群众感知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群众对法院感知是否提升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关于提前下达2021年省级基层公检法司转移支付资金-上级（业务）</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保证案件的顺利开展，优化办公条件，提高结案率，不断提高队伍素质和执法能力，提升审判质效，改进司法工作作风。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结案率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案件结案数占受理数百分比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工作完成达标情况</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工作完成是否达标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≤71万元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案件流程合规率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案件流程合规率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群众感知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群众对法院感知是否提升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提前下达法院建设补助资金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提升法院建设，保障法院审判执行能力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结案率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案件结案数占受理数百分比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质量合格率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≤120万元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业务能力保障提升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业务能力保障提升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群众感知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群众对法院感知是否提升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企业破产工作经费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保障“僵尸企业”依法处置和破产审判工作顺利开展，提升结案率，提升群众对法院审理案件时效的感知度及满意度。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结案数量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结案数量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工作完成达标情况</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工作完成是否达标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业务能力保障提升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业务能力保障提升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提升群众感知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提升群众对案件审判感知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人民陪审员经费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人民陪审员在审判中，独立行使表决权，审核参审案件裁判文书，对参审案件进行监督，对人民法院工作提出意见和建议。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人民陪审员数量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聘用人民陪审员数量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≥15人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案件审判质量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案件审判是否公平公正</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公平公正</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案件公平公正性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案件审判公平公正</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公平公正</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提升群众感知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提升群众对案件审判感知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司法救助及维稳工作经费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重大庆典及会议期间，维护信访秩序、规范信访行为，保证信访工作顺利开展，保证司法救助案件工作的顺利开展。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司法救助数量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司法救助案件数量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结案率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结案案件数占受理案件数的比率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资金拨付是否及时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≤35万元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化解矛盾纠纷效果</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矛盾纠纷给化解情况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提升群众感知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提升群众对案件审判感知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w:t>
      </w:r>
      <w:r>
        <w:rPr>
          <w:rFonts w:hint="eastAsia" w:ascii="Times New Roman" w:hAnsi="Times New Roman" w:eastAsia="仿宋_GB2312" w:cs="Times New Roman"/>
          <w:sz w:val="28"/>
        </w:rPr>
        <w:t>司法辅助人员工资资金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聘用临时办公人员，用于工作安排，缓解工作压力，加快办公效率，提高案件结案率。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临聘人员数量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临聘人员数量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案件审判质量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案件审判公平公正性</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公平公正</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案件审判效率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案件平均审判时间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≤15天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≤30万元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群众感知受否提升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群众感知受否提升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提高结案率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案件结案率是否显著提升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显著提升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11</w:t>
      </w:r>
      <w:r>
        <w:rPr>
          <w:rFonts w:ascii="Times New Roman" w:hAnsi="Times New Roman" w:eastAsia="仿宋_GB2312" w:cs="Times New Roman"/>
          <w:sz w:val="28"/>
        </w:rPr>
        <w:t>.</w:t>
      </w:r>
      <w:r>
        <w:rPr>
          <w:rFonts w:hint="eastAsia" w:ascii="Times New Roman" w:hAnsi="Times New Roman" w:eastAsia="仿宋_GB2312" w:cs="Times New Roman"/>
          <w:sz w:val="28"/>
        </w:rPr>
        <w:t>信息化设备及网站运行维护经费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深入推行数字化办公，保证信息化系统的运行，提高案件的结案率。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信息系统维护数量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信息系统维护数量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≥3个</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系统验收情况</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系统验收质量是否达标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处理电子卷宗效率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电子卷宗处理的效率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档案录入效率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项目实施后录入效率是否显著</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系统使用年限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系统使用年限是否延长</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延长</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w:t>
      </w:r>
      <w:r>
        <w:rPr>
          <w:rFonts w:ascii="Times New Roman" w:hAnsi="Times New Roman" w:eastAsia="仿宋_GB2312" w:cs="Times New Roman"/>
          <w:sz w:val="28"/>
        </w:rPr>
        <w:t>2.</w:t>
      </w:r>
      <w:r>
        <w:rPr>
          <w:rFonts w:hint="eastAsia" w:ascii="Times New Roman" w:hAnsi="Times New Roman" w:eastAsia="仿宋_GB2312" w:cs="Times New Roman"/>
          <w:sz w:val="28"/>
        </w:rPr>
        <w:t>办公楼及审判庭维修经费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对办公楼进行修缮，优化办公环境，确保办公环境安全，提高工作效率，提高结案率。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维修面积数量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维修面积数量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≤3000平方米</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质量达标情况</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维修后的质量检测是否达标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维修及时情况</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维修是否及时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≤45万元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职工工作效果</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职工工作效果的影响</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显著提升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群众办事效果</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群众办事效果的影响</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显著提升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13</w:t>
      </w:r>
      <w:r>
        <w:rPr>
          <w:rFonts w:ascii="Times New Roman" w:hAnsi="Times New Roman" w:eastAsia="仿宋_GB2312" w:cs="Times New Roman"/>
          <w:sz w:val="28"/>
        </w:rPr>
        <w:t>.</w:t>
      </w:r>
      <w:r>
        <w:rPr>
          <w:rFonts w:hint="eastAsia" w:ascii="Times New Roman" w:hAnsi="Times New Roman" w:eastAsia="仿宋_GB2312" w:cs="Times New Roman"/>
          <w:sz w:val="28"/>
        </w:rPr>
        <w:t>办案业务经费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保证案件的顺利开展，优化办公条件，提高结案率，不断提高队伍素质和执法能力，提升审判质效，改进司法工作作风。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受理案件数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法院全年案件受理数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≥3000件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工作完成达标情况</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工作完成是否达标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审限结案率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法定审限结案数占结案总数的比率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≤120万元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案件流程合规率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纳入审判管理流程案件的比率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群众感知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是否提升群众对法院工作的认知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14</w:t>
      </w:r>
      <w:r>
        <w:rPr>
          <w:rFonts w:ascii="Times New Roman" w:hAnsi="Times New Roman" w:eastAsia="仿宋_GB2312" w:cs="Times New Roman"/>
          <w:sz w:val="28"/>
        </w:rPr>
        <w:t>.</w:t>
      </w:r>
      <w:r>
        <w:rPr>
          <w:rFonts w:hint="eastAsia" w:ascii="Times New Roman" w:hAnsi="Times New Roman" w:eastAsia="仿宋_GB2312" w:cs="Times New Roman"/>
          <w:sz w:val="28"/>
        </w:rPr>
        <w:t>建档立卡扶贫专项经费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帮扶贫困户，提升贫困户生活水平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帮扶贫困户数量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帮扶贫困户数量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＝6户</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贫困户生活质量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贫困户生活质量是否提高</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提高</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贫困户帮扶及时率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贫困户帮扶是否及时</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≤1.2万元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贫困户生活质量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贫困户生活改善情况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贫困户感知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贫困户感知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15</w:t>
      </w:r>
      <w:r>
        <w:rPr>
          <w:rFonts w:ascii="Times New Roman" w:hAnsi="Times New Roman" w:eastAsia="仿宋_GB2312" w:cs="Times New Roman"/>
          <w:sz w:val="28"/>
        </w:rPr>
        <w:t>.</w:t>
      </w:r>
      <w:r>
        <w:rPr>
          <w:rFonts w:hint="eastAsia" w:ascii="Times New Roman" w:hAnsi="Times New Roman" w:eastAsia="仿宋_GB2312" w:cs="Times New Roman"/>
          <w:sz w:val="28"/>
        </w:rPr>
        <w:t>法官绩效奖金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2021年设立法官绩效项目，成本控制在200万元，工作完成率、合格率、及时性计划均达到90%，以提升法院办案工作能力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工作完成情况占综合业务工作任务</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工作完成合格占综合业务工作任务</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当年完成及时性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项目工作开展完成及时性</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≤200万元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政策知晓率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社会大众了解法律常识</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≥80%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保障经济发展</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保障经济发展</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16</w:t>
      </w:r>
      <w:r>
        <w:rPr>
          <w:rFonts w:ascii="Times New Roman" w:hAnsi="Times New Roman" w:eastAsia="仿宋_GB2312" w:cs="Times New Roman"/>
          <w:sz w:val="28"/>
        </w:rPr>
        <w:t>.</w:t>
      </w:r>
      <w:r>
        <w:rPr>
          <w:rFonts w:hint="eastAsia" w:ascii="Times New Roman" w:hAnsi="Times New Roman" w:eastAsia="仿宋_GB2312" w:cs="Times New Roman"/>
          <w:sz w:val="28"/>
        </w:rPr>
        <w:t>聘用制书记员工资资金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用于发放职工工资、保险、补贴等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保障人数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＝35人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工资等发放精准性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工资福利等发放人员范围的精准性</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工资发放及时性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工资福利的发放放情况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及时发放</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工资等发放标准</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工资等发放还否按标准发放</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按标准发放</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工作人员归属感</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进一步增强干部职工的归属感</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17</w:t>
      </w:r>
      <w:r>
        <w:rPr>
          <w:rFonts w:ascii="Times New Roman" w:hAnsi="Times New Roman" w:eastAsia="仿宋_GB2312" w:cs="Times New Roman"/>
          <w:sz w:val="28"/>
        </w:rPr>
        <w:t>.</w:t>
      </w:r>
      <w:r>
        <w:rPr>
          <w:rFonts w:hint="eastAsia" w:ascii="Times New Roman" w:hAnsi="Times New Roman" w:eastAsia="仿宋_GB2312" w:cs="Times New Roman"/>
          <w:sz w:val="28"/>
        </w:rPr>
        <w:t>劳务派遣人员经费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正常发放职工工资福利，保障单位正常运转履职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保障人数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＝35人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工资等发放精准性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工资福利等发放人员范围的精准性</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工资发放及时性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工资福利的发放情况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及时发放</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工资等发放标准</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工资等发放是否按标准发放</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按标准发放</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工作人员归属感</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进一步增强干部职工的归属感</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62" w:type="dxa"/>
            <w:gridSpan w:val="6"/>
            <w:tcBorders>
              <w:top w:val="single" w:color="auto" w:sz="4" w:space="0"/>
              <w:left w:val="nil"/>
              <w:bottom w:val="nil"/>
            </w:tcBorders>
            <w:shd w:val="clear" w:color="auto" w:fill="auto"/>
            <w:vAlign w:val="center"/>
          </w:tcPr>
          <w:p>
            <w:pPr>
              <w:spacing w:line="300" w:lineRule="exact"/>
              <w:jc w:val="left"/>
              <w:rPr>
                <w:rFonts w:ascii="Times New Roman" w:hAnsi="Times New Roman" w:eastAsia="仿宋_GB2312"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226.00</w:t>
      </w:r>
      <w:r>
        <w:rPr>
          <w:rFonts w:ascii="Times New Roman" w:hAnsi="Times New Roman" w:eastAsia="仿宋_GB2312" w:cs="Times New Roman"/>
          <w:sz w:val="32"/>
          <w:szCs w:val="24"/>
        </w:rPr>
        <w:t>万元。具体内容见下表。</w:t>
      </w:r>
    </w:p>
    <w:bookmarkEnd w:id="1"/>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大城县人民法院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226.00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226.00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办案业务经费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其他办公设备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年省级基层公检法司转移支付资金</w:t>
            </w:r>
            <w:r>
              <w:rPr>
                <w:rFonts w:ascii="方正书宋_GBK" w:eastAsia="方正书宋_GBK"/>
              </w:rPr>
              <w:t>-</w:t>
            </w:r>
            <w:r>
              <w:rPr>
                <w:rFonts w:hint="eastAsia" w:ascii="方正书宋_GBK" w:eastAsia="方正书宋_GBK"/>
              </w:rPr>
              <w:t>上级（装备）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其他被服装具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A070399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w:t>
            </w:r>
            <w:r>
              <w:rPr>
                <w:rFonts w:ascii="方正书宋_GBK" w:eastAsia="方正书宋_GBK"/>
              </w:rPr>
              <w:t>-</w:t>
            </w:r>
            <w:r>
              <w:rPr>
                <w:rFonts w:hint="eastAsia" w:ascii="方正书宋_GBK" w:eastAsia="方正书宋_GBK"/>
              </w:rPr>
              <w:t>上级（装备）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20.25</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w:t>
            </w:r>
            <w:r>
              <w:rPr>
                <w:rFonts w:ascii="方正书宋_GBK" w:eastAsia="方正书宋_GBK"/>
              </w:rPr>
              <w:t>-</w:t>
            </w:r>
            <w:r>
              <w:rPr>
                <w:rFonts w:hint="eastAsia" w:ascii="方正书宋_GBK" w:eastAsia="方正书宋_GBK"/>
              </w:rPr>
              <w:t>上级（装备）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其他打印设备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w:t>
            </w:r>
            <w:r>
              <w:rPr>
                <w:rFonts w:ascii="方正书宋_GBK" w:eastAsia="方正书宋_GBK"/>
              </w:rPr>
              <w:t>-</w:t>
            </w:r>
            <w:r>
              <w:rPr>
                <w:rFonts w:hint="eastAsia" w:ascii="方正书宋_GBK" w:eastAsia="方正书宋_GBK"/>
              </w:rPr>
              <w:t>上级（装备）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w:t>
            </w:r>
            <w:r>
              <w:rPr>
                <w:rFonts w:ascii="方正书宋_GBK" w:eastAsia="方正书宋_GBK"/>
              </w:rPr>
              <w:t>-</w:t>
            </w:r>
            <w:r>
              <w:rPr>
                <w:rFonts w:hint="eastAsia" w:ascii="方正书宋_GBK" w:eastAsia="方正书宋_GBK"/>
              </w:rPr>
              <w:t>上级（装备）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信息安全软件</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A02010805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w:t>
            </w:r>
            <w:r>
              <w:rPr>
                <w:rFonts w:ascii="方正书宋_GBK" w:eastAsia="方正书宋_GBK"/>
              </w:rPr>
              <w:t>-</w:t>
            </w:r>
            <w:r>
              <w:rPr>
                <w:rFonts w:hint="eastAsia" w:ascii="方正书宋_GBK" w:eastAsia="方正书宋_GBK"/>
              </w:rPr>
              <w:t>上级（装备）</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安全、检查、监视、报警设备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A032504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年中央政法纪检监察转移支付资金</w:t>
            </w:r>
            <w:r>
              <w:rPr>
                <w:rFonts w:ascii="方正书宋_GBK" w:eastAsia="方正书宋_GBK"/>
              </w:rPr>
              <w:t>-</w:t>
            </w:r>
            <w:r>
              <w:rPr>
                <w:rFonts w:hint="eastAsia" w:ascii="方正书宋_GBK" w:eastAsia="方正书宋_GBK"/>
              </w:rPr>
              <w:t>上级（装备）</w:t>
            </w:r>
          </w:p>
        </w:tc>
        <w:tc>
          <w:tcPr>
            <w:tcW w:w="1134" w:type="dxa"/>
            <w:vAlign w:val="center"/>
          </w:tcPr>
          <w:p>
            <w:pPr>
              <w:spacing w:line="300" w:lineRule="exact"/>
              <w:jc w:val="right"/>
              <w:rPr>
                <w:rFonts w:ascii="方正书宋_GBK" w:eastAsia="方正书宋_GBK"/>
              </w:rPr>
            </w:pPr>
            <w:r>
              <w:rPr>
                <w:rFonts w:ascii="方正书宋_GBK" w:eastAsia="方正书宋_GBK"/>
              </w:rPr>
              <w:t>71.00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其他家具用具</w:t>
            </w:r>
          </w:p>
        </w:tc>
        <w:tc>
          <w:tcPr>
            <w:tcW w:w="1531" w:type="dxa"/>
            <w:vAlign w:val="center"/>
          </w:tcPr>
          <w:p>
            <w:pPr>
              <w:spacing w:line="300" w:lineRule="exact"/>
              <w:jc w:val="left"/>
              <w:rPr>
                <w:rFonts w:ascii="方正书宋_GBK" w:eastAsia="方正书宋_GBK"/>
              </w:rPr>
            </w:pPr>
            <w:r>
              <w:rPr>
                <w:rFonts w:ascii="方正书宋_GBK" w:eastAsia="方正书宋_GBK"/>
              </w:rPr>
              <w:t>A0699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23.25</w:t>
            </w:r>
          </w:p>
        </w:tc>
        <w:tc>
          <w:tcPr>
            <w:tcW w:w="1134" w:type="dxa"/>
            <w:vAlign w:val="center"/>
          </w:tcPr>
          <w:p>
            <w:pPr>
              <w:spacing w:line="300" w:lineRule="exact"/>
              <w:jc w:val="right"/>
              <w:rPr>
                <w:rFonts w:ascii="方正书宋_GBK" w:eastAsia="方正书宋_GBK"/>
              </w:rPr>
            </w:pPr>
            <w:r>
              <w:rPr>
                <w:rFonts w:ascii="方正书宋_GBK" w:eastAsia="方正书宋_GBK"/>
              </w:rPr>
              <w:t>23.25</w:t>
            </w:r>
          </w:p>
        </w:tc>
        <w:tc>
          <w:tcPr>
            <w:tcW w:w="1134" w:type="dxa"/>
            <w:vAlign w:val="center"/>
          </w:tcPr>
          <w:p>
            <w:pPr>
              <w:spacing w:line="300" w:lineRule="exact"/>
              <w:jc w:val="right"/>
              <w:rPr>
                <w:rFonts w:ascii="方正书宋_GBK" w:eastAsia="方正书宋_GBK"/>
              </w:rPr>
            </w:pPr>
            <w:r>
              <w:rPr>
                <w:rFonts w:ascii="方正书宋_GBK" w:eastAsia="方正书宋_GBK"/>
              </w:rPr>
              <w:t>23.25</w:t>
            </w: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提前下达法院建设补助资金</w:t>
            </w:r>
          </w:p>
        </w:tc>
        <w:tc>
          <w:tcPr>
            <w:tcW w:w="1134" w:type="dxa"/>
            <w:vAlign w:val="center"/>
          </w:tcPr>
          <w:p>
            <w:pPr>
              <w:spacing w:line="300" w:lineRule="exact"/>
              <w:jc w:val="right"/>
              <w:rPr>
                <w:rFonts w:ascii="方正书宋_GBK" w:eastAsia="方正书宋_GBK"/>
              </w:rPr>
            </w:pPr>
            <w:r>
              <w:rPr>
                <w:rFonts w:ascii="方正书宋_GBK" w:eastAsia="方正书宋_GBK"/>
              </w:rPr>
              <w:t>120.00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其他打印设备</w:t>
            </w:r>
          </w:p>
        </w:tc>
        <w:tc>
          <w:tcPr>
            <w:tcW w:w="1531" w:type="dxa"/>
            <w:vAlign w:val="center"/>
          </w:tcPr>
          <w:p>
            <w:pPr>
              <w:spacing w:line="300" w:lineRule="exact"/>
              <w:jc w:val="left"/>
              <w:rPr>
                <w:rFonts w:ascii="方正书宋_GBK" w:eastAsia="方正书宋_GBK"/>
              </w:rPr>
            </w:pPr>
            <w:r>
              <w:rPr>
                <w:rFonts w:ascii="方正书宋_GBK" w:eastAsia="方正书宋_GBK"/>
              </w:rPr>
              <w:t>A0201060199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60.00</w:t>
            </w:r>
          </w:p>
        </w:tc>
        <w:tc>
          <w:tcPr>
            <w:tcW w:w="1134" w:type="dxa"/>
            <w:vAlign w:val="center"/>
          </w:tcPr>
          <w:p>
            <w:pPr>
              <w:spacing w:line="300" w:lineRule="exact"/>
              <w:jc w:val="right"/>
              <w:rPr>
                <w:rFonts w:ascii="方正书宋_GBK" w:eastAsia="方正书宋_GBK"/>
              </w:rPr>
            </w:pPr>
            <w:r>
              <w:rPr>
                <w:rFonts w:ascii="方正书宋_GBK" w:eastAsia="方正书宋_GBK"/>
              </w:rPr>
              <w:t>60.00</w:t>
            </w:r>
          </w:p>
        </w:tc>
        <w:tc>
          <w:tcPr>
            <w:tcW w:w="1134" w:type="dxa"/>
            <w:vAlign w:val="center"/>
          </w:tcPr>
          <w:p>
            <w:pPr>
              <w:spacing w:line="300" w:lineRule="exact"/>
              <w:jc w:val="right"/>
              <w:rPr>
                <w:rFonts w:ascii="方正书宋_GBK" w:eastAsia="方正书宋_GBK"/>
              </w:rPr>
            </w:pPr>
            <w:r>
              <w:rPr>
                <w:rFonts w:ascii="方正书宋_GBK" w:eastAsia="方正书宋_GBK"/>
              </w:rPr>
              <w:t>60.00</w:t>
            </w: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提前下达法院建设补助资金</w:t>
            </w:r>
          </w:p>
        </w:tc>
        <w:tc>
          <w:tcPr>
            <w:tcW w:w="1134" w:type="dxa"/>
            <w:vAlign w:val="center"/>
          </w:tcPr>
          <w:p>
            <w:pPr>
              <w:spacing w:line="300" w:lineRule="exact"/>
              <w:jc w:val="right"/>
              <w:rPr>
                <w:rFonts w:ascii="方正书宋_GBK" w:eastAsia="方正书宋_GBK"/>
              </w:rPr>
            </w:pPr>
            <w:r>
              <w:rPr>
                <w:rFonts w:ascii="方正书宋_GBK" w:eastAsia="方正书宋_GBK"/>
              </w:rPr>
              <w:t>120.00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其他专用汽车</w:t>
            </w:r>
          </w:p>
        </w:tc>
        <w:tc>
          <w:tcPr>
            <w:tcW w:w="1531" w:type="dxa"/>
            <w:vAlign w:val="center"/>
          </w:tcPr>
          <w:p>
            <w:pPr>
              <w:spacing w:line="300" w:lineRule="exact"/>
              <w:jc w:val="left"/>
              <w:rPr>
                <w:rFonts w:ascii="方正书宋_GBK" w:eastAsia="方正书宋_GBK"/>
              </w:rPr>
            </w:pPr>
            <w:r>
              <w:rPr>
                <w:rFonts w:ascii="方正书宋_GBK" w:eastAsia="方正书宋_GBK"/>
              </w:rPr>
              <w:t>A02030799</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辆</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30.00</w:t>
            </w:r>
          </w:p>
        </w:tc>
        <w:tc>
          <w:tcPr>
            <w:tcW w:w="1134" w:type="dxa"/>
            <w:vAlign w:val="center"/>
          </w:tcPr>
          <w:p>
            <w:pPr>
              <w:spacing w:line="300" w:lineRule="exact"/>
              <w:jc w:val="right"/>
              <w:rPr>
                <w:rFonts w:ascii="方正书宋_GBK" w:eastAsia="方正书宋_GBK"/>
              </w:rPr>
            </w:pPr>
            <w:r>
              <w:rPr>
                <w:rFonts w:ascii="方正书宋_GBK" w:eastAsia="方正书宋_GBK"/>
              </w:rPr>
              <w:t>30.00</w:t>
            </w:r>
          </w:p>
        </w:tc>
        <w:tc>
          <w:tcPr>
            <w:tcW w:w="1134" w:type="dxa"/>
            <w:vAlign w:val="center"/>
          </w:tcPr>
          <w:p>
            <w:pPr>
              <w:spacing w:line="300" w:lineRule="exact"/>
              <w:jc w:val="right"/>
              <w:rPr>
                <w:rFonts w:ascii="方正书宋_GBK" w:eastAsia="方正书宋_GBK"/>
              </w:rPr>
            </w:pPr>
            <w:r>
              <w:rPr>
                <w:rFonts w:ascii="方正书宋_GBK" w:eastAsia="方正书宋_GBK"/>
              </w:rPr>
              <w:t>30.00</w:t>
            </w: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提前下达法院建设补助资金</w:t>
            </w:r>
          </w:p>
        </w:tc>
        <w:tc>
          <w:tcPr>
            <w:tcW w:w="1134" w:type="dxa"/>
            <w:vAlign w:val="center"/>
          </w:tcPr>
          <w:p>
            <w:pPr>
              <w:spacing w:line="300" w:lineRule="exact"/>
              <w:jc w:val="right"/>
              <w:rPr>
                <w:rFonts w:ascii="方正书宋_GBK" w:eastAsia="方正书宋_GBK"/>
              </w:rPr>
            </w:pPr>
            <w:r>
              <w:rPr>
                <w:rFonts w:ascii="方正书宋_GBK" w:eastAsia="方正书宋_GBK"/>
              </w:rPr>
              <w:t>120.00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安全、检查、监视、报警设备</w:t>
            </w:r>
          </w:p>
        </w:tc>
        <w:tc>
          <w:tcPr>
            <w:tcW w:w="1531" w:type="dxa"/>
            <w:vAlign w:val="center"/>
          </w:tcPr>
          <w:p>
            <w:pPr>
              <w:spacing w:line="300" w:lineRule="exact"/>
              <w:jc w:val="left"/>
              <w:rPr>
                <w:rFonts w:ascii="方正书宋_GBK" w:eastAsia="方正书宋_GBK"/>
              </w:rPr>
            </w:pPr>
            <w:r>
              <w:rPr>
                <w:rFonts w:ascii="方正书宋_GBK" w:eastAsia="方正书宋_GBK"/>
              </w:rPr>
              <w:t>A032504</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10.00</w:t>
            </w:r>
          </w:p>
        </w:tc>
        <w:tc>
          <w:tcPr>
            <w:tcW w:w="1134" w:type="dxa"/>
            <w:vAlign w:val="center"/>
          </w:tcPr>
          <w:p>
            <w:pPr>
              <w:spacing w:line="300" w:lineRule="exact"/>
              <w:jc w:val="right"/>
              <w:rPr>
                <w:rFonts w:ascii="方正书宋_GBK" w:eastAsia="方正书宋_GBK"/>
              </w:rPr>
            </w:pPr>
            <w:r>
              <w:rPr>
                <w:rFonts w:ascii="方正书宋_GBK" w:eastAsia="方正书宋_GBK"/>
              </w:rPr>
              <w:t>10.00</w:t>
            </w:r>
          </w:p>
        </w:tc>
        <w:tc>
          <w:tcPr>
            <w:tcW w:w="1134" w:type="dxa"/>
            <w:vAlign w:val="center"/>
          </w:tcPr>
          <w:p>
            <w:pPr>
              <w:spacing w:line="300" w:lineRule="exact"/>
              <w:jc w:val="right"/>
              <w:rPr>
                <w:rFonts w:ascii="方正书宋_GBK" w:eastAsia="方正书宋_GBK"/>
              </w:rPr>
            </w:pPr>
            <w:r>
              <w:rPr>
                <w:rFonts w:ascii="方正书宋_GBK" w:eastAsia="方正书宋_GBK"/>
              </w:rPr>
              <w:t>10.00</w:t>
            </w: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rPr>
            </w:pPr>
            <w:r>
              <w:rPr>
                <w:rFonts w:hint="eastAsia" w:ascii="方正书宋_GBK" w:eastAsia="方正书宋_GBK"/>
              </w:rPr>
              <w:t>提前下达法院建设补助资金</w:t>
            </w:r>
          </w:p>
        </w:tc>
        <w:tc>
          <w:tcPr>
            <w:tcW w:w="1134" w:type="dxa"/>
            <w:vAlign w:val="center"/>
          </w:tcPr>
          <w:p>
            <w:pPr>
              <w:spacing w:line="300" w:lineRule="exact"/>
              <w:jc w:val="right"/>
              <w:rPr>
                <w:rFonts w:ascii="方正书宋_GBK" w:eastAsia="方正书宋_GBK"/>
              </w:rPr>
            </w:pPr>
            <w:r>
              <w:rPr>
                <w:rFonts w:ascii="方正书宋_GBK" w:eastAsia="方正书宋_GBK"/>
              </w:rPr>
              <w:t>120.00</w:t>
            </w:r>
          </w:p>
        </w:tc>
        <w:tc>
          <w:tcPr>
            <w:tcW w:w="1531" w:type="dxa"/>
            <w:vAlign w:val="center"/>
          </w:tcPr>
          <w:p>
            <w:pPr>
              <w:spacing w:line="300" w:lineRule="exact"/>
              <w:jc w:val="left"/>
              <w:rPr>
                <w:rFonts w:ascii="方正书宋_GBK" w:eastAsia="方正书宋_GBK"/>
              </w:rPr>
            </w:pPr>
            <w:r>
              <w:rPr>
                <w:rFonts w:hint="eastAsia" w:ascii="方正书宋_GBK" w:eastAsia="方正书宋_GBK"/>
              </w:rPr>
              <w:t>装修工程</w:t>
            </w:r>
          </w:p>
        </w:tc>
        <w:tc>
          <w:tcPr>
            <w:tcW w:w="1531" w:type="dxa"/>
            <w:vAlign w:val="center"/>
          </w:tcPr>
          <w:p>
            <w:pPr>
              <w:spacing w:line="300" w:lineRule="exact"/>
              <w:jc w:val="left"/>
              <w:rPr>
                <w:rFonts w:ascii="方正书宋_GBK" w:eastAsia="方正书宋_GBK"/>
              </w:rPr>
            </w:pPr>
            <w:r>
              <w:rPr>
                <w:rFonts w:ascii="方正书宋_GBK" w:eastAsia="方正书宋_GBK"/>
              </w:rPr>
              <w:t>B07</w:t>
            </w:r>
          </w:p>
        </w:tc>
        <w:tc>
          <w:tcPr>
            <w:tcW w:w="709"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vAlign w:val="center"/>
          </w:tcPr>
          <w:p>
            <w:pPr>
              <w:spacing w:line="300" w:lineRule="exact"/>
              <w:jc w:val="right"/>
              <w:rPr>
                <w:rFonts w:ascii="方正书宋_GBK" w:eastAsia="方正书宋_GBK"/>
              </w:rPr>
            </w:pPr>
            <w:r>
              <w:rPr>
                <w:rFonts w:ascii="方正书宋_GBK" w:eastAsia="方正书宋_GBK"/>
              </w:rPr>
              <w:t>1</w:t>
            </w:r>
          </w:p>
        </w:tc>
        <w:tc>
          <w:tcPr>
            <w:tcW w:w="907" w:type="dxa"/>
            <w:vAlign w:val="center"/>
          </w:tcPr>
          <w:p>
            <w:pPr>
              <w:spacing w:line="300" w:lineRule="exact"/>
              <w:jc w:val="right"/>
              <w:rPr>
                <w:rFonts w:ascii="方正书宋_GBK" w:eastAsia="方正书宋_GBK"/>
              </w:rPr>
            </w:pPr>
            <w:r>
              <w:rPr>
                <w:rFonts w:ascii="方正书宋_GBK" w:eastAsia="方正书宋_GBK"/>
              </w:rPr>
              <w:t>20.00</w:t>
            </w:r>
          </w:p>
        </w:tc>
        <w:tc>
          <w:tcPr>
            <w:tcW w:w="1134" w:type="dxa"/>
            <w:vAlign w:val="center"/>
          </w:tcPr>
          <w:p>
            <w:pPr>
              <w:spacing w:line="300" w:lineRule="exact"/>
              <w:jc w:val="right"/>
              <w:rPr>
                <w:rFonts w:ascii="方正书宋_GBK" w:eastAsia="方正书宋_GBK"/>
              </w:rPr>
            </w:pPr>
            <w:r>
              <w:rPr>
                <w:rFonts w:ascii="方正书宋_GBK" w:eastAsia="方正书宋_GBK"/>
              </w:rPr>
              <w:t>20.00</w:t>
            </w:r>
          </w:p>
        </w:tc>
        <w:tc>
          <w:tcPr>
            <w:tcW w:w="1134" w:type="dxa"/>
            <w:vAlign w:val="center"/>
          </w:tcPr>
          <w:p>
            <w:pPr>
              <w:spacing w:line="300" w:lineRule="exact"/>
              <w:jc w:val="right"/>
              <w:rPr>
                <w:rFonts w:ascii="方正书宋_GBK" w:eastAsia="方正书宋_GBK"/>
              </w:rPr>
            </w:pPr>
            <w:r>
              <w:rPr>
                <w:rFonts w:ascii="方正书宋_GBK" w:eastAsia="方正书宋_GBK"/>
              </w:rPr>
              <w:t>20.00</w:t>
            </w: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c>
          <w:tcPr>
            <w:tcW w:w="1134" w:type="dxa"/>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我院</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1625.69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总额为226.00万元，</w:t>
      </w:r>
      <w:r>
        <w:rPr>
          <w:rFonts w:ascii="Times New Roman" w:hAnsi="Times New Roman" w:eastAsia="仿宋_GB2312" w:cs="Times New Roman"/>
          <w:sz w:val="32"/>
          <w:szCs w:val="32"/>
        </w:rPr>
        <w:t>主要为计算机设备、打印设备、办公家具等，已列入政府采购预算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大城县人民法院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1625</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69</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5527.16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rPr>
              <w:t>476</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7</w:t>
            </w:r>
            <w:r>
              <w:rPr>
                <w:rFonts w:hint="eastAsia" w:ascii="Times New Roman" w:hAnsi="Times New Roman" w:eastAsia="仿宋_GB2312" w:cs="Times New Roman"/>
                <w:sz w:val="22"/>
                <w:lang w:val="en-US" w:eastAsia="zh-CN"/>
              </w:rPr>
              <w:t>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5527.16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rPr>
              <w:t>476</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7</w:t>
            </w:r>
            <w:r>
              <w:rPr>
                <w:rFonts w:hint="eastAsia" w:ascii="Times New Roman" w:hAnsi="Times New Roman" w:eastAsia="仿宋_GB2312" w:cs="Times New Roman"/>
                <w:sz w:val="22"/>
                <w:lang w:val="en-US" w:eastAsia="zh-CN"/>
              </w:rPr>
              <w:t>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264</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rPr>
              <w:t>202</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1</w:t>
            </w:r>
            <w:r>
              <w:rPr>
                <w:rFonts w:hint="eastAsia" w:ascii="Times New Roman" w:hAnsi="Times New Roman" w:eastAsia="仿宋_GB2312" w:cs="Times New Roman"/>
                <w:sz w:val="22"/>
                <w:lang w:val="en-US" w:eastAsia="zh-CN"/>
              </w:rPr>
              <w:t>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1378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681</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82</w:t>
            </w:r>
            <w:bookmarkStart w:id="3" w:name="_GoBack"/>
            <w:bookmarkEnd w:id="3"/>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4MDE2M2EzYmE4M2YzYzQzOTE0MWE2ZGE0ZWZlOGQifQ=="/>
  </w:docVars>
  <w:rsids>
    <w:rsidRoot w:val="00D347CC"/>
    <w:rsid w:val="000009B6"/>
    <w:rsid w:val="0007333E"/>
    <w:rsid w:val="001B4439"/>
    <w:rsid w:val="002B7879"/>
    <w:rsid w:val="00384CE0"/>
    <w:rsid w:val="004A54AA"/>
    <w:rsid w:val="006F6747"/>
    <w:rsid w:val="007B45E4"/>
    <w:rsid w:val="007F102F"/>
    <w:rsid w:val="00837312"/>
    <w:rsid w:val="00904FD0"/>
    <w:rsid w:val="00A75359"/>
    <w:rsid w:val="00B51DC3"/>
    <w:rsid w:val="00B80935"/>
    <w:rsid w:val="00CE0544"/>
    <w:rsid w:val="00D347CC"/>
    <w:rsid w:val="00DA212D"/>
    <w:rsid w:val="00DF634F"/>
    <w:rsid w:val="02732F88"/>
    <w:rsid w:val="03D21D3A"/>
    <w:rsid w:val="06301060"/>
    <w:rsid w:val="084C5D03"/>
    <w:rsid w:val="085F3A06"/>
    <w:rsid w:val="087F5C9E"/>
    <w:rsid w:val="0D3F70B6"/>
    <w:rsid w:val="0D4C4882"/>
    <w:rsid w:val="125101D4"/>
    <w:rsid w:val="1319299C"/>
    <w:rsid w:val="167B50C3"/>
    <w:rsid w:val="18B46CC0"/>
    <w:rsid w:val="1A8421AA"/>
    <w:rsid w:val="1F3E2DA6"/>
    <w:rsid w:val="30FA694F"/>
    <w:rsid w:val="33E87AEB"/>
    <w:rsid w:val="33F40188"/>
    <w:rsid w:val="34B27C39"/>
    <w:rsid w:val="363B7F15"/>
    <w:rsid w:val="3782666D"/>
    <w:rsid w:val="3F8A033F"/>
    <w:rsid w:val="40EF0837"/>
    <w:rsid w:val="44B70517"/>
    <w:rsid w:val="46E71798"/>
    <w:rsid w:val="49944035"/>
    <w:rsid w:val="4A0F425C"/>
    <w:rsid w:val="52301289"/>
    <w:rsid w:val="534D65DA"/>
    <w:rsid w:val="53D777E5"/>
    <w:rsid w:val="55E73D2F"/>
    <w:rsid w:val="58397431"/>
    <w:rsid w:val="59C0136C"/>
    <w:rsid w:val="5C01176E"/>
    <w:rsid w:val="61940EDD"/>
    <w:rsid w:val="62047ACC"/>
    <w:rsid w:val="66E429FC"/>
    <w:rsid w:val="673A51C4"/>
    <w:rsid w:val="676F42BF"/>
    <w:rsid w:val="678A0CEF"/>
    <w:rsid w:val="6992512C"/>
    <w:rsid w:val="6D0D4676"/>
    <w:rsid w:val="73EA761E"/>
    <w:rsid w:val="75866F7A"/>
    <w:rsid w:val="75A41D08"/>
    <w:rsid w:val="78234415"/>
    <w:rsid w:val="7A411B9B"/>
    <w:rsid w:val="7B700B04"/>
    <w:rsid w:val="7D261700"/>
    <w:rsid w:val="7F0F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36B16E-DF0A-4FD6-B079-F38E156520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10165</Words>
  <Characters>10920</Characters>
  <Lines>95</Lines>
  <Paragraphs>26</Paragraphs>
  <TotalTime>4</TotalTime>
  <ScaleCrop>false</ScaleCrop>
  <LinksUpToDate>false</LinksUpToDate>
  <CharactersWithSpaces>10933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木 南</cp:lastModifiedBy>
  <cp:lastPrinted>2018-01-30T06:12:00Z</cp:lastPrinted>
  <dcterms:modified xsi:type="dcterms:W3CDTF">2022-09-05T02:47:47Z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15C8C5E3D35D4E118A6D0883A0854706</vt:lpwstr>
  </property>
</Properties>
</file>