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880"/>
        <w:jc w:val="center"/>
        <w:rPr>
          <w:rFonts w:ascii="Times New Roman" w:eastAsia="方正小标宋简体" w:cs="Times New Roman" w:hAnsi="Times New Roman"/>
          <w:sz w:val="44"/>
          <w:szCs w:val="44"/>
        </w:rPr>
      </w:pPr>
      <w:r>
        <w:rPr>
          <w:rFonts w:ascii="Times New Roman" w:eastAsia="方正小标宋简体" w:cs="Times New Roman" w:hAnsi="Times New Roman" w:hint="eastAsia"/>
          <w:sz w:val="44"/>
          <w:szCs w:val="44"/>
        </w:rPr>
        <w:t>中国共产党大城县纪律检查委员会</w:t>
      </w:r>
      <w:r>
        <w:rPr>
          <w:rFonts w:ascii="Times New Roman" w:eastAsia="方正小标宋简体" w:cs="Times New Roman" w:hAnsi="Times New Roman"/>
          <w:sz w:val="44"/>
          <w:szCs w:val="44"/>
        </w:rPr>
        <w:t>20</w:t>
      </w:r>
      <w:r>
        <w:rPr>
          <w:rFonts w:ascii="Times New Roman" w:eastAsia="方正小标宋简体" w:cs="Times New Roman" w:hAnsi="Times New Roman" w:hint="eastAsia"/>
          <w:sz w:val="44"/>
          <w:szCs w:val="44"/>
        </w:rPr>
        <w:t>22</w:t>
      </w:r>
      <w:r>
        <w:rPr>
          <w:rFonts w:ascii="Times New Roman" w:eastAsia="方正小标宋简体" w:cs="Times New Roman" w:hAnsi="Times New Roman"/>
          <w:sz w:val="44"/>
          <w:szCs w:val="44"/>
        </w:rPr>
        <w:t>年部门预算信息公开</w:t>
      </w:r>
      <w:r>
        <w:rPr>
          <w:rFonts w:ascii="Times New Roman" w:eastAsia="方正小标宋简体" w:cs="Times New Roman" w:hAnsi="Times New Roman" w:hint="eastAsia"/>
          <w:sz w:val="44"/>
          <w:szCs w:val="44"/>
        </w:rPr>
        <w:t>情况说明</w:t>
      </w: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按照《中华人民共和国预算法》、《中华人民共和国预算法实施条例》、《地方预决算公开操作规程》和《河北省省级预算公开办法》规定，现将</w:t>
      </w:r>
      <w:r>
        <w:rPr>
          <w:rFonts w:ascii="Times New Roman" w:eastAsia="仿宋_GB2312" w:cs="Times New Roman" w:hAnsi="Times New Roman" w:hint="eastAsia"/>
          <w:sz w:val="32"/>
          <w:szCs w:val="32"/>
        </w:rPr>
        <w:t>中国共产党大城县纪律检查委员会</w:t>
      </w: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年部门预算公开如下：</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一、部门职责及机构设置情况</w:t>
      </w:r>
    </w:p>
    <w:p>
      <w:pPr>
        <w:spacing w:line="584" w:lineRule="exact"/>
        <w:ind w:firstLineChars="200" w:firstLine="640"/>
        <w:rPr>
          <w:rFonts w:ascii="Times New Roman" w:eastAsia="楷体_GB2312" w:cs="Times New Roman" w:hAnsi="Times New Roman"/>
          <w:b/>
          <w:sz w:val="32"/>
          <w:szCs w:val="32"/>
        </w:rPr>
      </w:pPr>
      <w:r>
        <w:rPr>
          <w:rFonts w:ascii="Times New Roman" w:eastAsia="楷体_GB2312" w:cs="Times New Roman" w:hAnsi="Times New Roman"/>
          <w:b/>
          <w:sz w:val="32"/>
          <w:szCs w:val="32"/>
        </w:rPr>
        <w:t>部门职责：</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中共大城县纪律检查委员会（简称县纪委）由中国共产党大城县代表大会选举产生，大城县监察委员会（简称县监委）由大城县人民代表大会产生，负责本行政区域内的纪检监察工作。县纪委与县监委合署办公，实行一套工作机构、两个机关名称，履行党的纪律检查和国家监察两项职责。县纪委在同级党的委员会和上级纪律检查委员会双重领导下进行工作，县监委对本级人民代表大会及其常务委员会和市监察委员会负责，并接受其监督。在市纪委监委和县委领导下，县纪委监委加强对下级纪检监察机构的领导。县委巡察工作领导小组办公室为县委工作机关，设在县纪委。主要职责是：</w:t>
      </w:r>
    </w:p>
    <w:p>
      <w:pPr>
        <w:spacing w:line="584" w:lineRule="exact"/>
        <w:ind w:firstLineChars="200" w:firstLine="640"/>
        <w:rPr>
          <w:rFonts w:ascii="楷体" w:eastAsia="楷体" w:cs="Times New Roman"/>
          <w:b/>
          <w:sz w:val="32"/>
          <w:szCs w:val="32"/>
        </w:rPr>
      </w:pP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负责全县党的纪律检查工作。贯彻落实党中央、省委、市委和县委关于纪律检查工作的决策部署，维护党的章程和其他党内法规，检查党的路线方针政策和决议的执行情况，协助县委推进全面从严治党、加强党风建设和组织协调反腐败工作。</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依照党的章程和其他党内法规履行监督、执纪、问责职责。负责经常对党员进行遵守纪律的教育，作出关于维护党纪的决定；对县委工作机关、县委批准设立的党组（党委），各镇（区）党（工）委、纪（工）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（三）支持配合巡视巡察工作。承担巡察整改日常监督责任，做好巡察整改督查督办工作，依规依纪依法处置巡视巡察移交的反映领导干部问题线索。</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负责全县监察工作。贯彻落实党中央、省委、市委和县委关于监察工作的决策部署，维护宪法法律，依法对县委管理的行使公权力的公职人员进行监察，调查职务违法和职务犯罪，开展廉政建设和反腐败工作。</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（六）负责组织协调全面从严治党、党风廉政建设和反腐败宣传教育工作。</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（七）负责综合分析全面从严治党、党风廉政建设和反腐败工作情况，对纪检监察工作重要理论及实践问题进行调查研究；制定或者修改全县纪检监察有关制度，参与起草有关规范性文件。</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（八）负责组织协调全县反腐败追逃追赃和防逃工作，督促有关单位做好相关工作。</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（九）根据干部管理权限，负责全县纪检监察系统领导班子建设、干部队伍建设和组织建设的综合规划、政策研究、制度建设和业务指导；</w:t>
      </w:r>
      <w:r>
        <w:rPr>
          <w:rFonts w:ascii="仿宋_GB2312" w:eastAsia="仿宋_GB2312" w:cs="仿宋_GB2312" w:hint="eastAsia"/>
          <w:color w:val="000000"/>
          <w:sz w:val="32"/>
          <w:szCs w:val="32"/>
        </w:rPr>
        <w:t>会同县委组织部负责县委巡察机构的科级干部提名、考察，报县委任免；根据干部管理权限负责县纪委监委机关、县委巡察机构、派驻（派出）机构股级及以下干部人事工作。会同有关方面做好县纪委监委派驻（派出）机构、镇纪检监察机构领导班子建设有关工作；</w:t>
      </w:r>
      <w:r>
        <w:rPr>
          <w:rFonts w:ascii="仿宋_GB2312" w:eastAsia="仿宋_GB2312" w:cs="仿宋_GB2312" w:hint="eastAsia"/>
          <w:sz w:val="32"/>
          <w:szCs w:val="32"/>
        </w:rPr>
        <w:t>组织和指导全县纪检监察系统干部教育培训工作等。</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（十）完成市纪委、市监委、县委交办的其他任务。</w:t>
      </w: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spacing w:line="560" w:lineRule="exact"/>
        <w:ind w:firstLineChars="200" w:firstLine="640"/>
        <w:rPr>
          <w:rFonts w:ascii="仿宋_GB2312" w:eastAsia="仿宋_GB2312" w:cs="仿宋_GB2312"/>
          <w:sz w:val="32"/>
          <w:szCs w:val="32"/>
        </w:rPr>
      </w:pPr>
    </w:p>
    <w:p>
      <w:pPr>
        <w:autoSpaceDE w:val="0"/>
        <w:autoSpaceDN w:val="0"/>
        <w:adjustRightInd w:val="0"/>
        <w:spacing w:line="584" w:lineRule="exact"/>
        <w:ind w:firstLineChars="196" w:firstLine="627"/>
        <w:jc w:val="left"/>
        <w:rPr>
          <w:rFonts w:ascii="Times New Roman" w:eastAsia="楷体_GB2312" w:cs="Times New Roman" w:hAnsi="Times New Roman"/>
          <w:b/>
          <w:sz w:val="32"/>
          <w:szCs w:val="32"/>
        </w:rPr>
      </w:pPr>
      <w:r>
        <w:rPr>
          <w:rFonts w:ascii="Times New Roman" w:eastAsia="楷体_GB2312" w:cs="Times New Roman" w:hAnsi="Times New Roman"/>
          <w:b/>
          <w:sz w:val="32"/>
          <w:szCs w:val="32"/>
        </w:rPr>
        <w:t>机构设置：</w:t>
      </w:r>
    </w:p>
    <w:p>
      <w:pPr>
        <w:spacing w:line="584" w:lineRule="exact"/>
        <w:jc w:val="center"/>
        <w:outlineLvl w:val="0"/>
        <w:rPr>
          <w:rFonts w:ascii="Times New Roman" w:eastAsia="仿宋_GB2312" w:cs="Times New Roman" w:hAnsi="Times New Roman"/>
          <w:b/>
          <w:sz w:val="32"/>
          <w:szCs w:val="24"/>
        </w:rPr>
      </w:pPr>
      <w:r>
        <w:rPr>
          <w:rFonts w:ascii="Times New Roman" w:eastAsia="仿宋_GB2312" w:cs="Times New Roman" w:hAnsi="Times New Roman"/>
          <w:b/>
          <w:sz w:val="32"/>
          <w:szCs w:val="24"/>
        </w:rPr>
        <w:t>部门机构设置情况</w:t>
      </w:r>
    </w:p>
    <w:tbl>
      <w:tblPr>
        <w:jc w:val="cent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443"/>
        <w:gridCol w:w="1134"/>
        <w:gridCol w:w="1276"/>
        <w:gridCol w:w="2902"/>
      </w:tblGrid>
      <w:tr>
        <w:trPr>
          <w:trHeight w:val="584"/>
          <w:tblHeader/>
        </w:trPr>
        <w:tc>
          <w:tcPr>
            <w:tcW w:w="4443"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单位名称</w:t>
            </w:r>
          </w:p>
        </w:tc>
        <w:tc>
          <w:tcPr>
            <w:tcW w:w="1134"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单位性质</w:t>
            </w:r>
          </w:p>
        </w:tc>
        <w:tc>
          <w:tcPr>
            <w:tcW w:w="1276"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单位规格</w:t>
            </w:r>
          </w:p>
        </w:tc>
        <w:tc>
          <w:tcPr>
            <w:tcW w:w="2902"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经费保障形式</w:t>
            </w:r>
          </w:p>
        </w:tc>
      </w:tr>
      <w:tr>
        <w:trPr>
          <w:trHeight w:val="584"/>
          <w:tblHeader/>
        </w:trPr>
        <w:tc>
          <w:tcPr>
            <w:tcW w:w="4443" w:type="dxa"/>
            <w:vMerge/>
            <w:shd w:val="clear" w:color="auto" w:fill="auto"/>
            <w:vAlign w:val="center"/>
          </w:tcPr>
          <w:p/>
        </w:tc>
        <w:tc>
          <w:tcPr>
            <w:tcW w:w="1134" w:type="dxa"/>
            <w:vMerge/>
            <w:shd w:val="clear" w:color="auto" w:fill="auto"/>
            <w:vAlign w:val="center"/>
          </w:tcPr>
          <w:p/>
        </w:tc>
        <w:tc>
          <w:tcPr>
            <w:tcW w:w="1276" w:type="dxa"/>
            <w:vMerge/>
            <w:shd w:val="clear" w:color="auto" w:fill="auto"/>
            <w:vAlign w:val="center"/>
          </w:tcPr>
          <w:p/>
        </w:tc>
        <w:tc>
          <w:tcPr>
            <w:tcW w:w="2902" w:type="dxa"/>
            <w:vMerge/>
            <w:shd w:val="clear" w:color="auto" w:fill="auto"/>
            <w:vAlign w:val="center"/>
          </w:tcPr>
          <w:p/>
        </w:tc>
      </w:tr>
      <w:tr>
        <w:trPr>
          <w:trHeight w:val="227"/>
        </w:trPr>
        <w:tc>
          <w:tcPr>
            <w:tcW w:w="4443"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hint="eastAsia"/>
                <w:b/>
              </w:rPr>
              <w:t>中国共产党大城县纪律检查委员会</w:t>
            </w:r>
          </w:p>
        </w:tc>
        <w:tc>
          <w:tcPr>
            <w:tcW w:w="1134"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hint="eastAsia"/>
                <w:b/>
              </w:rPr>
              <w:t>行政</w:t>
            </w:r>
          </w:p>
        </w:tc>
        <w:tc>
          <w:tcPr>
            <w:tcW w:w="1276"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hint="eastAsia"/>
                <w:b/>
              </w:rPr>
              <w:t>正科级</w:t>
            </w:r>
          </w:p>
        </w:tc>
        <w:tc>
          <w:tcPr>
            <w:tcW w:w="2902"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hint="eastAsia"/>
                <w:b/>
              </w:rPr>
              <w:t>财政拨款</w:t>
            </w:r>
            <w:r>
              <w:rPr>
                <w:rFonts w:ascii="Times New Roman" w:eastAsia="仿宋_GB2312" w:cs="Times New Roman" w:hAnsi="Times New Roman"/>
                <w:b/>
              </w:rPr>
              <w:t>（行政</w:t>
            </w:r>
            <w:bookmarkStart w:id="0" w:name="_GoBack"/>
            <w:bookmarkEnd w:id="0"/>
            <w:r>
              <w:rPr>
                <w:rFonts w:ascii="Times New Roman" w:eastAsia="仿宋_GB2312" w:cs="Times New Roman" w:hAnsi="Times New Roman"/>
                <w:b/>
              </w:rPr>
              <w:t>）</w:t>
            </w:r>
          </w:p>
        </w:tc>
      </w:tr>
      <w:tr>
        <w:trPr>
          <w:trHeight w:val="227"/>
        </w:trPr>
        <w:tc>
          <w:tcPr>
            <w:tcW w:w="4443" w:type="dxa"/>
            <w:shd w:val="clear" w:color="auto" w:fill="auto"/>
            <w:vAlign w:val="center"/>
          </w:tcPr>
          <w:p>
            <w:pPr>
              <w:spacing w:line="584" w:lineRule="exact"/>
              <w:jc w:val="left"/>
              <w:rPr>
                <w:rFonts w:ascii="Times New Roman" w:eastAsia="仿宋_GB2312" w:cs="Times New Roman" w:hAnsi="Times New Roman"/>
              </w:rPr>
            </w:pPr>
          </w:p>
        </w:tc>
        <w:tc>
          <w:tcPr>
            <w:tcW w:w="1134" w:type="dxa"/>
            <w:shd w:val="clear" w:color="auto" w:fill="auto"/>
            <w:vAlign w:val="center"/>
          </w:tcPr>
          <w:p>
            <w:pPr>
              <w:spacing w:line="584" w:lineRule="exact"/>
              <w:jc w:val="center"/>
              <w:rPr>
                <w:rFonts w:ascii="Times New Roman" w:eastAsia="仿宋_GB2312" w:cs="Times New Roman" w:hAnsi="Times New Roman"/>
              </w:rPr>
            </w:pPr>
          </w:p>
        </w:tc>
        <w:tc>
          <w:tcPr>
            <w:tcW w:w="1276" w:type="dxa"/>
            <w:shd w:val="clear" w:color="auto" w:fill="auto"/>
            <w:vAlign w:val="center"/>
          </w:tcPr>
          <w:p>
            <w:pPr>
              <w:spacing w:line="584" w:lineRule="exact"/>
              <w:jc w:val="center"/>
              <w:rPr>
                <w:rFonts w:ascii="Times New Roman" w:eastAsia="仿宋_GB2312" w:cs="Times New Roman" w:hAnsi="Times New Roman"/>
              </w:rPr>
            </w:pPr>
          </w:p>
        </w:tc>
        <w:tc>
          <w:tcPr>
            <w:tcW w:w="2902" w:type="dxa"/>
            <w:shd w:val="clear" w:color="auto" w:fill="auto"/>
            <w:vAlign w:val="center"/>
          </w:tcPr>
          <w:p>
            <w:pPr>
              <w:spacing w:line="584" w:lineRule="exact"/>
              <w:jc w:val="center"/>
              <w:rPr>
                <w:rFonts w:ascii="Times New Roman" w:eastAsia="仿宋_GB2312" w:cs="Times New Roman" w:hAnsi="Times New Roman"/>
              </w:rPr>
            </w:pPr>
          </w:p>
        </w:tc>
      </w:tr>
      <w:tr>
        <w:trPr>
          <w:trHeight w:val="227"/>
        </w:trPr>
        <w:tc>
          <w:tcPr>
            <w:tcW w:w="4443" w:type="dxa"/>
            <w:shd w:val="clear" w:color="auto" w:fill="auto"/>
            <w:vAlign w:val="center"/>
          </w:tcPr>
          <w:p>
            <w:pPr>
              <w:spacing w:line="584" w:lineRule="exact"/>
              <w:jc w:val="left"/>
              <w:rPr>
                <w:rFonts w:ascii="Times New Roman" w:eastAsia="仿宋_GB2312" w:cs="Times New Roman" w:hAnsi="Times New Roman"/>
              </w:rPr>
            </w:pPr>
          </w:p>
        </w:tc>
        <w:tc>
          <w:tcPr>
            <w:tcW w:w="1134" w:type="dxa"/>
            <w:shd w:val="clear" w:color="auto" w:fill="auto"/>
            <w:vAlign w:val="center"/>
          </w:tcPr>
          <w:p>
            <w:pPr>
              <w:spacing w:line="584" w:lineRule="exact"/>
              <w:jc w:val="center"/>
              <w:rPr>
                <w:rFonts w:ascii="Times New Roman" w:eastAsia="仿宋_GB2312" w:cs="Times New Roman" w:hAnsi="Times New Roman"/>
              </w:rPr>
            </w:pPr>
          </w:p>
        </w:tc>
        <w:tc>
          <w:tcPr>
            <w:tcW w:w="1276" w:type="dxa"/>
            <w:shd w:val="clear" w:color="auto" w:fill="auto"/>
            <w:vAlign w:val="center"/>
          </w:tcPr>
          <w:p>
            <w:pPr>
              <w:spacing w:line="584" w:lineRule="exact"/>
              <w:jc w:val="center"/>
              <w:rPr>
                <w:rFonts w:ascii="Times New Roman" w:eastAsia="仿宋_GB2312" w:cs="Times New Roman" w:hAnsi="Times New Roman"/>
              </w:rPr>
            </w:pPr>
          </w:p>
        </w:tc>
        <w:tc>
          <w:tcPr>
            <w:tcW w:w="2902" w:type="dxa"/>
            <w:shd w:val="clear" w:color="auto" w:fill="auto"/>
            <w:vAlign w:val="center"/>
          </w:tcPr>
          <w:p>
            <w:pPr>
              <w:spacing w:line="584" w:lineRule="exact"/>
              <w:jc w:val="center"/>
              <w:rPr>
                <w:rFonts w:ascii="Times New Roman" w:eastAsia="仿宋_GB2312" w:cs="Times New Roman" w:hAnsi="Times New Roman"/>
              </w:rPr>
            </w:pPr>
          </w:p>
        </w:tc>
      </w:tr>
    </w:tbl>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二、部门预算安排的总体情况</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按照预算管理有关规定，目前我</w:t>
      </w:r>
      <w:r>
        <w:rPr>
          <w:rFonts w:ascii="Times New Roman" w:eastAsia="仿宋_GB2312" w:cs="Times New Roman" w:hAnsi="Times New Roman" w:hint="eastAsia"/>
          <w:sz w:val="32"/>
          <w:szCs w:val="32"/>
        </w:rPr>
        <w:t>县</w:t>
      </w:r>
      <w:r>
        <w:rPr>
          <w:rFonts w:ascii="Times New Roman" w:eastAsia="仿宋_GB2312" w:cs="Times New Roman" w:hAnsi="Times New Roman"/>
          <w:sz w:val="32"/>
          <w:szCs w:val="32"/>
        </w:rPr>
        <w:t>部门预算的编制实行综合预算制度，即全部收入和支出都反映在预算中。</w:t>
      </w:r>
      <w:r>
        <w:rPr>
          <w:rFonts w:ascii="Times New Roman" w:eastAsia="仿宋_GB2312" w:cs="Times New Roman" w:hAnsi="Times New Roman" w:hint="eastAsia"/>
          <w:sz w:val="32"/>
          <w:szCs w:val="32"/>
        </w:rPr>
        <w:t>中国共产党大城县纪律检查委员会</w:t>
      </w:r>
      <w:r>
        <w:rPr>
          <w:rFonts w:ascii="Times New Roman" w:eastAsia="仿宋_GB2312" w:cs="Times New Roman" w:hAnsi="Times New Roman"/>
          <w:sz w:val="32"/>
          <w:szCs w:val="32"/>
        </w:rPr>
        <w:t>收支包含在部门预算中。</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1、收入说明</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反映本部门当年全部收入。20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年预算收入</w:t>
      </w:r>
      <w:r>
        <w:rPr>
          <w:rFonts w:ascii="Times New Roman" w:eastAsia="仿宋_GB2312" w:cs="Times New Roman" w:hAnsi="Times New Roman" w:hint="eastAsia"/>
          <w:sz w:val="32"/>
          <w:szCs w:val="32"/>
        </w:rPr>
        <w:t>1908.12</w:t>
      </w:r>
      <w:r>
        <w:rPr>
          <w:rFonts w:ascii="Times New Roman" w:eastAsia="仿宋_GB2312" w:cs="Times New Roman" w:hAnsi="Times New Roman"/>
          <w:sz w:val="32"/>
          <w:szCs w:val="32"/>
        </w:rPr>
        <w:t>万元，其中：一般公共预算收入</w:t>
      </w:r>
      <w:r>
        <w:rPr>
          <w:rFonts w:ascii="Times New Roman" w:eastAsia="仿宋_GB2312" w:cs="Times New Roman" w:hAnsi="Times New Roman" w:hint="eastAsia"/>
          <w:sz w:val="32"/>
          <w:szCs w:val="32"/>
        </w:rPr>
        <w:t>1908.12</w:t>
      </w:r>
      <w:r>
        <w:rPr>
          <w:rFonts w:ascii="Times New Roman" w:eastAsia="仿宋_GB2312" w:cs="Times New Roman" w:hAnsi="Times New Roman"/>
          <w:sz w:val="32"/>
          <w:szCs w:val="32"/>
        </w:rPr>
        <w:t>万元，基金预算收入</w:t>
      </w:r>
      <w:r>
        <w:rPr>
          <w:rFonts w:ascii="Times New Roman" w:eastAsia="仿宋_GB2312" w:cs="Times New Roman" w:hAnsi="Times New Roman" w:hint="eastAsia"/>
          <w:sz w:val="32"/>
          <w:szCs w:val="32"/>
        </w:rPr>
        <w:t>0</w:t>
      </w:r>
      <w:r>
        <w:rPr>
          <w:rFonts w:ascii="Times New Roman" w:eastAsia="仿宋_GB2312" w:cs="Times New Roman" w:hAnsi="Times New Roman"/>
          <w:sz w:val="32"/>
          <w:szCs w:val="32"/>
        </w:rPr>
        <w:t>万元，财政专户核拨收入</w:t>
      </w:r>
      <w:r>
        <w:rPr>
          <w:rFonts w:ascii="Times New Roman" w:eastAsia="仿宋_GB2312" w:cs="Times New Roman" w:hAnsi="Times New Roman" w:hint="eastAsia"/>
          <w:sz w:val="32"/>
          <w:szCs w:val="32"/>
        </w:rPr>
        <w:t>0</w:t>
      </w:r>
      <w:r>
        <w:rPr>
          <w:rFonts w:ascii="Times New Roman" w:eastAsia="仿宋_GB2312" w:cs="Times New Roman" w:hAnsi="Times New Roman"/>
          <w:sz w:val="32"/>
          <w:szCs w:val="32"/>
        </w:rPr>
        <w:t>万元，其他来源收入</w:t>
      </w:r>
      <w:r>
        <w:rPr>
          <w:rFonts w:ascii="Times New Roman" w:eastAsia="仿宋_GB2312" w:cs="Times New Roman" w:hAnsi="Times New Roman" w:hint="eastAsia"/>
          <w:sz w:val="32"/>
          <w:szCs w:val="32"/>
        </w:rPr>
        <w:t>0</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上年结转</w:t>
      </w:r>
      <w:r>
        <w:rPr>
          <w:rFonts w:ascii="Times New Roman" w:eastAsia="仿宋_GB2312" w:cs="Times New Roman" w:hAnsi="Times New Roman" w:hint="eastAsia"/>
          <w:sz w:val="32"/>
          <w:szCs w:val="32"/>
        </w:rPr>
        <w:t>0万元。</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2、支出说明</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收支预算总表支出栏、基本支出表、项目支出表按经济分类和支出功能分类科目编制，反映</w:t>
      </w:r>
      <w:r>
        <w:rPr>
          <w:rFonts w:ascii="Times New Roman" w:eastAsia="仿宋_GB2312" w:cs="Times New Roman" w:hAnsi="Times New Roman" w:hint="eastAsia"/>
          <w:sz w:val="32"/>
          <w:szCs w:val="32"/>
        </w:rPr>
        <w:t>我局2022</w:t>
      </w:r>
      <w:r>
        <w:rPr>
          <w:rFonts w:ascii="Times New Roman" w:eastAsia="仿宋_GB2312" w:cs="Times New Roman" w:hAnsi="Times New Roman"/>
          <w:sz w:val="32"/>
          <w:szCs w:val="32"/>
        </w:rPr>
        <w:t>年度部门预算中支出预算的总体情况。20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年支出预算</w:t>
      </w:r>
      <w:r>
        <w:rPr>
          <w:rFonts w:ascii="Times New Roman" w:eastAsia="仿宋_GB2312" w:cs="Times New Roman" w:hAnsi="Times New Roman" w:hint="eastAsia"/>
          <w:sz w:val="32"/>
          <w:szCs w:val="32"/>
        </w:rPr>
        <w:t>1908.12</w:t>
      </w:r>
      <w:r>
        <w:rPr>
          <w:rFonts w:ascii="Times New Roman" w:eastAsia="仿宋_GB2312" w:cs="Times New Roman" w:hAnsi="Times New Roman"/>
          <w:sz w:val="32"/>
          <w:szCs w:val="32"/>
        </w:rPr>
        <w:t>万元，其中基本支出</w:t>
      </w:r>
      <w:r>
        <w:rPr>
          <w:rFonts w:ascii="Times New Roman" w:eastAsia="仿宋_GB2312" w:cs="Times New Roman" w:hAnsi="Times New Roman" w:hint="eastAsia"/>
          <w:sz w:val="32"/>
          <w:szCs w:val="32"/>
        </w:rPr>
        <w:t>1553.62</w:t>
      </w:r>
      <w:r>
        <w:rPr>
          <w:rFonts w:ascii="Times New Roman" w:eastAsia="仿宋_GB2312" w:cs="Times New Roman" w:hAnsi="Times New Roman"/>
          <w:sz w:val="32"/>
          <w:szCs w:val="32"/>
        </w:rPr>
        <w:t>万元，包括人员类项目经费</w:t>
      </w:r>
      <w:r>
        <w:rPr>
          <w:rFonts w:ascii="Times New Roman" w:eastAsia="仿宋_GB2312" w:cs="Times New Roman" w:hAnsi="Times New Roman" w:hint="eastAsia"/>
          <w:sz w:val="32"/>
          <w:szCs w:val="32"/>
        </w:rPr>
        <w:t>1389.08</w:t>
      </w:r>
      <w:r>
        <w:rPr>
          <w:rFonts w:ascii="Times New Roman" w:eastAsia="仿宋_GB2312" w:cs="Times New Roman" w:hAnsi="Times New Roman"/>
          <w:sz w:val="32"/>
          <w:szCs w:val="32"/>
        </w:rPr>
        <w:t>万元和</w:t>
      </w:r>
      <w:r>
        <w:rPr>
          <w:rFonts w:ascii="Times New Roman" w:eastAsia="仿宋_GB2312" w:cs="Times New Roman" w:hAnsi="Times New Roman" w:hint="eastAsia"/>
          <w:sz w:val="32"/>
          <w:szCs w:val="32"/>
        </w:rPr>
        <w:t>运转类</w:t>
      </w:r>
      <w:r>
        <w:rPr>
          <w:rFonts w:ascii="Times New Roman" w:eastAsia="仿宋_GB2312" w:cs="Times New Roman" w:hAnsi="Times New Roman"/>
          <w:sz w:val="32"/>
          <w:szCs w:val="32"/>
        </w:rPr>
        <w:t>公用项目经费</w:t>
      </w:r>
      <w:r>
        <w:rPr>
          <w:rFonts w:ascii="Times New Roman" w:eastAsia="仿宋_GB2312" w:cs="Times New Roman" w:hAnsi="Times New Roman" w:hint="eastAsia"/>
          <w:sz w:val="32"/>
          <w:szCs w:val="32"/>
        </w:rPr>
        <w:t>164.54</w:t>
      </w:r>
      <w:r>
        <w:rPr>
          <w:rFonts w:ascii="Times New Roman" w:eastAsia="仿宋_GB2312" w:cs="Times New Roman" w:hAnsi="Times New Roman"/>
          <w:sz w:val="32"/>
          <w:szCs w:val="32"/>
        </w:rPr>
        <w:t>万元；运转类其他及特定目标类项目支出</w:t>
      </w:r>
      <w:r>
        <w:rPr>
          <w:rFonts w:ascii="Times New Roman" w:eastAsia="仿宋_GB2312" w:cs="Times New Roman" w:hAnsi="Times New Roman" w:hint="eastAsia"/>
          <w:sz w:val="32"/>
          <w:szCs w:val="32"/>
        </w:rPr>
        <w:t>354.50</w:t>
      </w:r>
      <w:r>
        <w:rPr>
          <w:rFonts w:ascii="Times New Roman" w:eastAsia="仿宋_GB2312" w:cs="Times New Roman" w:hAnsi="Times New Roman"/>
          <w:sz w:val="32"/>
          <w:szCs w:val="32"/>
        </w:rPr>
        <w:t>万元，包括本级支出，主要为</w:t>
      </w:r>
      <w:r>
        <w:rPr>
          <w:rFonts w:ascii="Times New Roman" w:eastAsia="仿宋_GB2312" w:cs="Times New Roman" w:hAnsi="Times New Roman" w:hint="eastAsia"/>
          <w:sz w:val="32"/>
          <w:szCs w:val="32"/>
        </w:rPr>
        <w:t>一般行政管理事务</w:t>
      </w:r>
      <w:r>
        <w:rPr>
          <w:rFonts w:ascii="Times New Roman" w:eastAsia="仿宋_GB2312" w:cs="Times New Roman" w:hAnsi="Times New Roman"/>
          <w:sz w:val="32"/>
          <w:szCs w:val="32"/>
        </w:rPr>
        <w:t>。</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3、比上年增减情况</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年预算收支安排</w:t>
      </w:r>
      <w:r>
        <w:rPr>
          <w:rFonts w:ascii="Times New Roman" w:eastAsia="仿宋_GB2312" w:cs="Times New Roman" w:hAnsi="Times New Roman" w:hint="eastAsia"/>
          <w:sz w:val="32"/>
          <w:szCs w:val="32"/>
        </w:rPr>
        <w:t>1908.12</w:t>
      </w:r>
      <w:r>
        <w:rPr>
          <w:rFonts w:ascii="Times New Roman" w:eastAsia="仿宋_GB2312" w:cs="Times New Roman" w:hAnsi="Times New Roman"/>
          <w:sz w:val="32"/>
          <w:szCs w:val="32"/>
        </w:rPr>
        <w:t>万元，较20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年预算增加</w:t>
      </w:r>
      <w:r>
        <w:rPr>
          <w:rFonts w:ascii="Times New Roman" w:eastAsia="仿宋_GB2312" w:cs="Times New Roman" w:hAnsi="Times New Roman" w:hint="eastAsia"/>
          <w:sz w:val="32"/>
          <w:szCs w:val="32"/>
        </w:rPr>
        <w:t>176.38</w:t>
      </w:r>
      <w:r>
        <w:rPr>
          <w:rFonts w:ascii="Times New Roman" w:eastAsia="仿宋_GB2312" w:cs="Times New Roman" w:hAnsi="Times New Roman"/>
          <w:sz w:val="32"/>
          <w:szCs w:val="32"/>
        </w:rPr>
        <w:t>万元，其中：基本支出增加</w:t>
      </w:r>
      <w:r>
        <w:rPr>
          <w:rFonts w:ascii="Times New Roman" w:eastAsia="仿宋_GB2312" w:cs="Times New Roman" w:hAnsi="Times New Roman" w:hint="eastAsia"/>
          <w:sz w:val="32"/>
          <w:szCs w:val="32"/>
        </w:rPr>
        <w:t>96.88</w:t>
      </w:r>
      <w:r>
        <w:rPr>
          <w:rFonts w:ascii="Times New Roman" w:eastAsia="仿宋_GB2312" w:cs="Times New Roman" w:hAnsi="Times New Roman"/>
          <w:sz w:val="32"/>
          <w:szCs w:val="32"/>
        </w:rPr>
        <w:t>万元，主要为</w:t>
      </w:r>
      <w:r>
        <w:rPr>
          <w:rFonts w:ascii="Times New Roman" w:eastAsia="仿宋_GB2312" w:cs="Times New Roman" w:hAnsi="Times New Roman" w:hint="eastAsia"/>
          <w:sz w:val="32"/>
          <w:szCs w:val="32"/>
        </w:rPr>
        <w:t>人员经费</w:t>
      </w:r>
      <w:r>
        <w:rPr>
          <w:rFonts w:ascii="Times New Roman" w:eastAsia="仿宋_GB2312" w:cs="Times New Roman" w:hAnsi="Times New Roman"/>
          <w:sz w:val="32"/>
          <w:szCs w:val="32"/>
        </w:rPr>
        <w:t>支出；项目支出增加</w:t>
      </w:r>
      <w:r>
        <w:rPr>
          <w:rFonts w:ascii="Times New Roman" w:eastAsia="仿宋_GB2312" w:cs="Times New Roman" w:hAnsi="Times New Roman" w:hint="eastAsia"/>
          <w:sz w:val="32"/>
          <w:szCs w:val="32"/>
        </w:rPr>
        <w:t>79.5</w:t>
      </w:r>
      <w:r>
        <w:rPr>
          <w:rFonts w:ascii="Times New Roman" w:eastAsia="仿宋_GB2312" w:cs="Times New Roman" w:hAnsi="Times New Roman"/>
          <w:sz w:val="32"/>
          <w:szCs w:val="32"/>
        </w:rPr>
        <w:t>万元，主要为</w:t>
      </w:r>
      <w:r>
        <w:rPr>
          <w:rFonts w:ascii="Times New Roman" w:eastAsia="仿宋_GB2312" w:cs="Times New Roman" w:hAnsi="Times New Roman" w:hint="eastAsia"/>
          <w:sz w:val="32"/>
          <w:szCs w:val="32"/>
        </w:rPr>
        <w:t>县委巡察机构涉密机房及涉密计算机购置项目、县委巡察机构办公楼装修项目、纪检监察内网系统整改</w:t>
      </w:r>
      <w:r>
        <w:rPr>
          <w:rFonts w:ascii="Times New Roman" w:eastAsia="仿宋_GB2312" w:cs="Times New Roman" w:hAnsi="Times New Roman"/>
          <w:sz w:val="32"/>
          <w:szCs w:val="32"/>
        </w:rPr>
        <w:t>项目支出。</w:t>
      </w:r>
    </w:p>
    <w:p>
      <w:pPr>
        <w:autoSpaceDE w:val="0"/>
        <w:autoSpaceDN w:val="0"/>
        <w:adjustRightInd w:val="0"/>
        <w:spacing w:line="584" w:lineRule="exact"/>
        <w:ind w:left="198"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三、机关运行经费安排情况</w:t>
      </w:r>
    </w:p>
    <w:p>
      <w:pPr>
        <w:autoSpaceDE w:val="0"/>
        <w:autoSpaceDN w:val="0"/>
        <w:adjustRightInd w:val="0"/>
        <w:spacing w:line="584" w:lineRule="exact"/>
        <w:ind w:left="198"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年，我局机关运行经费共计安排</w:t>
      </w:r>
      <w:r>
        <w:rPr>
          <w:rFonts w:ascii="Times New Roman" w:eastAsia="仿宋_GB2312" w:cs="Times New Roman" w:hAnsi="Times New Roman" w:hint="eastAsia"/>
          <w:sz w:val="32"/>
          <w:szCs w:val="32"/>
        </w:rPr>
        <w:t>164.54</w:t>
      </w:r>
      <w:r>
        <w:rPr>
          <w:rFonts w:ascii="Times New Roman" w:eastAsia="仿宋_GB2312" w:cs="Times New Roman" w:hAnsi="Times New Roman"/>
          <w:sz w:val="32"/>
          <w:szCs w:val="32"/>
        </w:rPr>
        <w:t>万元，主要用于</w:t>
      </w:r>
      <w:r>
        <w:rPr>
          <w:rFonts w:ascii="Times New Roman" w:eastAsia="仿宋_GB2312" w:cs="Times New Roman" w:hAnsi="Times New Roman" w:hint="eastAsia"/>
          <w:sz w:val="32"/>
          <w:szCs w:val="32"/>
        </w:rPr>
        <w:t>机关</w:t>
      </w:r>
      <w:r>
        <w:rPr>
          <w:rFonts w:ascii="Times New Roman" w:eastAsia="仿宋_GB2312" w:cs="Times New Roman" w:hAnsi="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Chars="196" w:firstLine="627"/>
        <w:jc w:val="left"/>
        <w:rPr>
          <w:rFonts w:ascii="Times New Roman" w:eastAsia="仿宋_GB2312" w:cs="Times New Roman" w:hAnsi="Times New Roman"/>
          <w:b/>
          <w:sz w:val="32"/>
          <w:szCs w:val="32"/>
        </w:rPr>
      </w:pPr>
      <w:r>
        <w:rPr>
          <w:rFonts w:ascii="Times New Roman" w:eastAsia="仿宋_GB2312" w:cs="Times New Roman" w:hAnsi="Times New Roman"/>
          <w:b/>
          <w:sz w:val="32"/>
          <w:szCs w:val="32"/>
        </w:rPr>
        <w:t>四、财政拨款“三公”经费预算情况及增减变化原因</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22</w:t>
      </w:r>
      <w:r>
        <w:rPr>
          <w:rFonts w:ascii="Times New Roman" w:eastAsia="仿宋_GB2312" w:cs="Times New Roman" w:hAnsi="Times New Roman"/>
          <w:sz w:val="32"/>
          <w:szCs w:val="32"/>
        </w:rPr>
        <w:t>年，我局财政拨款“三公”经费预算安排</w:t>
      </w:r>
      <w:r>
        <w:rPr>
          <w:rFonts w:ascii="Times New Roman" w:eastAsia="仿宋_GB2312" w:cs="Times New Roman" w:hAnsi="Times New Roman" w:hint="eastAsia"/>
          <w:sz w:val="32"/>
          <w:szCs w:val="32"/>
        </w:rPr>
        <w:t>26</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其中</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因公出国（境）费</w:t>
      </w:r>
      <w:r>
        <w:rPr>
          <w:rFonts w:ascii="Times New Roman" w:eastAsia="仿宋_GB2312" w:cs="Times New Roman" w:hAnsi="Times New Roman" w:hint="eastAsia"/>
          <w:sz w:val="32"/>
          <w:szCs w:val="32"/>
        </w:rPr>
        <w:t>0</w:t>
      </w:r>
      <w:r>
        <w:rPr>
          <w:rFonts w:ascii="Times New Roman" w:eastAsia="仿宋_GB2312" w:cs="Times New Roman" w:hAnsi="Times New Roman"/>
          <w:sz w:val="32"/>
          <w:szCs w:val="32"/>
        </w:rPr>
        <w:t>万元；公务用车购置及运维费</w:t>
      </w:r>
      <w:r>
        <w:rPr>
          <w:rFonts w:ascii="Times New Roman" w:eastAsia="仿宋_GB2312" w:cs="Times New Roman" w:hAnsi="Times New Roman" w:hint="eastAsia"/>
          <w:sz w:val="32"/>
          <w:szCs w:val="32"/>
        </w:rPr>
        <w:t>24</w:t>
      </w:r>
      <w:r>
        <w:rPr>
          <w:rFonts w:ascii="Times New Roman" w:eastAsia="仿宋_GB2312" w:cs="Times New Roman" w:hAnsi="Times New Roman"/>
          <w:sz w:val="32"/>
          <w:szCs w:val="32"/>
        </w:rPr>
        <w:t>万元（其中：公务用车购置费为</w:t>
      </w:r>
      <w:r>
        <w:rPr>
          <w:rFonts w:ascii="Times New Roman" w:eastAsia="仿宋_GB2312" w:cs="Times New Roman" w:hAnsi="Times New Roman" w:hint="eastAsia"/>
          <w:sz w:val="32"/>
          <w:szCs w:val="32"/>
        </w:rPr>
        <w:t>0</w:t>
      </w:r>
      <w:r>
        <w:rPr>
          <w:rFonts w:ascii="Times New Roman" w:eastAsia="仿宋_GB2312" w:cs="Times New Roman" w:hAnsi="Times New Roman"/>
          <w:sz w:val="32"/>
          <w:szCs w:val="32"/>
        </w:rPr>
        <w:t>万元，公务用车运维费</w:t>
      </w:r>
      <w:r>
        <w:rPr>
          <w:rFonts w:ascii="Times New Roman" w:eastAsia="仿宋_GB2312" w:cs="Times New Roman" w:hAnsi="Times New Roman" w:hint="eastAsia"/>
          <w:sz w:val="32"/>
          <w:szCs w:val="32"/>
        </w:rPr>
        <w:t>24</w:t>
      </w:r>
      <w:r>
        <w:rPr>
          <w:rFonts w:ascii="Times New Roman" w:eastAsia="仿宋_GB2312" w:cs="Times New Roman" w:hAnsi="Times New Roman"/>
          <w:sz w:val="32"/>
          <w:szCs w:val="32"/>
        </w:rPr>
        <w:t>万元)；公务接待费</w:t>
      </w:r>
      <w:r>
        <w:rPr>
          <w:rFonts w:ascii="Times New Roman" w:eastAsia="仿宋_GB2312" w:cs="Times New Roman" w:hAnsi="Times New Roman" w:hint="eastAsia"/>
          <w:sz w:val="32"/>
          <w:szCs w:val="32"/>
        </w:rPr>
        <w:t>2</w:t>
      </w:r>
      <w:r>
        <w:rPr>
          <w:rFonts w:ascii="Times New Roman" w:eastAsia="仿宋_GB2312" w:cs="Times New Roman" w:hAnsi="Times New Roman"/>
          <w:sz w:val="32"/>
          <w:szCs w:val="32"/>
        </w:rPr>
        <w:t>万元。与20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相比</w:t>
      </w:r>
      <w:r>
        <w:rPr>
          <w:rFonts w:ascii="Times New Roman" w:eastAsia="仿宋_GB2312" w:cs="Times New Roman" w:hAnsi="Times New Roman"/>
          <w:sz w:val="32"/>
          <w:szCs w:val="32"/>
        </w:rPr>
        <w:t>减</w:t>
      </w:r>
      <w:r>
        <w:rPr>
          <w:rFonts w:ascii="Times New Roman" w:eastAsia="仿宋_GB2312" w:cs="Times New Roman" w:hAnsi="Times New Roman" w:hint="eastAsia"/>
          <w:sz w:val="32"/>
          <w:szCs w:val="32"/>
        </w:rPr>
        <w:t>少14</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其中，</w:t>
      </w:r>
      <w:r>
        <w:rPr>
          <w:rFonts w:ascii="Times New Roman" w:eastAsia="仿宋_GB2312" w:cs="Times New Roman" w:hAnsi="Times New Roman"/>
          <w:sz w:val="32"/>
          <w:szCs w:val="32"/>
        </w:rPr>
        <w:t>公务用车购置及运维费减</w:t>
      </w:r>
      <w:r>
        <w:rPr>
          <w:rFonts w:ascii="Times New Roman" w:eastAsia="仿宋_GB2312" w:cs="Times New Roman" w:hAnsi="Times New Roman" w:hint="eastAsia"/>
          <w:sz w:val="32"/>
          <w:szCs w:val="32"/>
        </w:rPr>
        <w:t>少14</w:t>
      </w:r>
      <w:r>
        <w:rPr>
          <w:rFonts w:ascii="Times New Roman" w:eastAsia="仿宋_GB2312" w:cs="Times New Roman" w:hAnsi="Times New Roman"/>
          <w:sz w:val="32"/>
          <w:szCs w:val="32"/>
        </w:rPr>
        <w:t>万元（其中：公务用车购置费减</w:t>
      </w:r>
      <w:r>
        <w:rPr>
          <w:rFonts w:ascii="Times New Roman" w:eastAsia="仿宋_GB2312" w:cs="Times New Roman" w:hAnsi="Times New Roman" w:hint="eastAsia"/>
          <w:sz w:val="32"/>
          <w:szCs w:val="32"/>
        </w:rPr>
        <w:t>少0</w:t>
      </w:r>
      <w:r>
        <w:rPr>
          <w:rFonts w:ascii="Times New Roman" w:eastAsia="仿宋_GB2312" w:cs="Times New Roman" w:hAnsi="Times New Roman"/>
          <w:sz w:val="32"/>
          <w:szCs w:val="32"/>
        </w:rPr>
        <w:t>万元，公务用车运维费减</w:t>
      </w:r>
      <w:r>
        <w:rPr>
          <w:rFonts w:ascii="Times New Roman" w:eastAsia="仿宋_GB2312" w:cs="Times New Roman" w:hAnsi="Times New Roman" w:hint="eastAsia"/>
          <w:sz w:val="32"/>
          <w:szCs w:val="32"/>
        </w:rPr>
        <w:t>少14</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主要原因是</w:t>
      </w:r>
      <w:r>
        <w:rPr>
          <w:rFonts w:ascii="Times New Roman" w:eastAsia="仿宋_GB2312" w:cs="Times New Roman" w:hAnsi="Times New Roman" w:hint="eastAsia"/>
          <w:sz w:val="32"/>
          <w:szCs w:val="32"/>
        </w:rPr>
        <w:t>我部门切实落实勤俭节约各项规定，压减公车运行经费支出。</w:t>
      </w:r>
      <w:r>
        <w:rPr>
          <w:rFonts w:ascii="Times New Roman" w:eastAsia="仿宋_GB2312" w:cs="Times New Roman" w:hAnsi="Times New Roman"/>
          <w:sz w:val="32"/>
          <w:szCs w:val="32"/>
        </w:rPr>
        <w:t>公务接待费与20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年相比持平，无增减变化。</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五、绩效预算信息</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第一部分 部门整体绩效目标</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总体绩效目标</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 xml:space="preserve">贯彻落实党中央、省委、市委和县委关于纪律检查工作的决策部署，维护党的章程和其他党内法规, 加强党的纪律建设，推进全面从严治党、加强党风建设和组织协调反腐败工作。           </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 xml:space="preserve"> 健全监察体系，持续增强监察实效，承担巡察整改日常监督责任，做好巡察整改督查督办工作，依规依纪依法处置巡视巡察移交的反映领导干部问题线索, 承担巡察整改日常监督责任，做好巡察整改督查督办工作，依规依纪依法处置巡视巡察移交的反映领导干部问题线索。</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1、加强党的纪律建设，推进全面从严治党、加强党风建设和组织协调反腐败工作健全监察体系，持续增强监察实效。</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2、受理信访、举报，集中管理问题线索、组织协调案件查办，调查、审查违纪违法案件，对案件审理提出处理意见。维护党纪国法尊严，坚决惩处腐败分子，有效遏制腐败现象。</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3、组织协调全县党风廉政建设和反腐败宣传、教育、课题研究等工作；承担县委惩治和预防腐败体系领导小组办公室和县预防腐败局的日常工作。积极发挥职能作用，加强党风廉政建设，营造风清气正、干事创业的工作氛围。</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4、监督检查党内法规政策、国家法律法规、党风廉政建设等的执行情况；履行县政府纠正行业不正之风办公室职能；贯彻落实县委有关部署，开展常态化全覆盖监督。加大问责力度，促进“两个责任”有效落实。</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5、发挥日常监督职能，通过开展巡视巡察工作，及时发现党内存在的相应问题及时整改</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pPr>
        <w:ind w:firstLineChars="200" w:firstLine="640"/>
        <w:rPr>
          <w:rFonts w:ascii="Times New Roman" w:eastAsia="仿宋_GB2312" w:cs="Times New Roman" w:hAnsi="Times New Roman"/>
          <w:sz w:val="32"/>
          <w:szCs w:val="32"/>
        </w:rPr>
      </w:pPr>
      <w:r>
        <w:rPr>
          <w:rFonts w:ascii="Times New Roman" w:eastAsia="楷体_GB2312" w:hAnsi="Times New Roman" w:hint="eastAsia"/>
          <w:bCs/>
          <w:sz w:val="32"/>
          <w:szCs w:val="32"/>
        </w:rPr>
        <w:t>1</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聚焦“两个维护”，强化政治监督</w:t>
      </w:r>
      <w:r>
        <w:rPr>
          <w:rFonts w:ascii="Times New Roman" w:eastAsia="仿宋_GB2312" w:cs="Times New Roman" w:hAnsi="Times New Roman" w:hint="eastAsia"/>
          <w:sz w:val="32"/>
          <w:szCs w:val="32"/>
        </w:rPr>
        <w:t>，确保重大决策部署落地落实</w:t>
      </w:r>
      <w:r>
        <w:rPr>
          <w:rFonts w:ascii="Times New Roman" w:eastAsia="仿宋_GB2312" w:cs="Times New Roman" w:hAnsi="Times New Roman"/>
          <w:sz w:val="32"/>
          <w:szCs w:val="32"/>
        </w:rPr>
        <w:t>。立足监督首责，找准监督保障执行、促进完善发展的切入点</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关键点</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落脚点，切实增强服务大局的自觉和实效。</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2、一体推进“三不”，坚持标本兼治，提高治理效能。</w:t>
      </w:r>
      <w:r>
        <w:rPr>
          <w:rFonts w:ascii="Times New Roman" w:eastAsia="仿宋_GB2312" w:cs="Times New Roman" w:hAnsi="Times New Roman"/>
          <w:sz w:val="32"/>
          <w:szCs w:val="32"/>
        </w:rPr>
        <w:t>充分整合县纪委监委案件承办室、派驻（出）机构、乡镇纪委力量，坚持完善联合办案模式，着力提高工作质效。</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3、</w:t>
      </w:r>
      <w:r>
        <w:rPr>
          <w:rFonts w:ascii="Times New Roman" w:eastAsia="仿宋_GB2312" w:cs="Times New Roman" w:hAnsi="Times New Roman"/>
          <w:sz w:val="32"/>
          <w:szCs w:val="32"/>
        </w:rPr>
        <w:t>持续正风肃纪，坚持纠树并举</w:t>
      </w:r>
      <w:r>
        <w:rPr>
          <w:rFonts w:ascii="Times New Roman" w:eastAsia="仿宋_GB2312" w:cs="Times New Roman" w:hAnsi="Times New Roman" w:hint="eastAsia"/>
          <w:sz w:val="32"/>
          <w:szCs w:val="32"/>
        </w:rPr>
        <w:t>，不断</w:t>
      </w:r>
      <w:r>
        <w:rPr>
          <w:rFonts w:ascii="Times New Roman" w:eastAsia="仿宋_GB2312" w:cs="Times New Roman" w:hAnsi="Times New Roman"/>
          <w:sz w:val="32"/>
          <w:szCs w:val="32"/>
        </w:rPr>
        <w:t>优化营商环境。坚持长抓严治、精准靶向施治，</w:t>
      </w:r>
      <w:r>
        <w:rPr>
          <w:rFonts w:ascii="Times New Roman" w:eastAsia="仿宋_GB2312" w:cs="Times New Roman" w:hAnsi="Times New Roman" w:hint="eastAsia"/>
          <w:sz w:val="32"/>
          <w:szCs w:val="32"/>
        </w:rPr>
        <w:t>聚焦</w:t>
      </w:r>
      <w:r>
        <w:rPr>
          <w:rFonts w:ascii="Times New Roman" w:eastAsia="仿宋_GB2312" w:cs="Times New Roman" w:hAnsi="Times New Roman"/>
          <w:sz w:val="32"/>
          <w:szCs w:val="32"/>
        </w:rPr>
        <w:t>重要时间节点，强化监督检查。</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4、</w:t>
      </w:r>
      <w:r>
        <w:rPr>
          <w:rFonts w:ascii="Times New Roman" w:eastAsia="仿宋_GB2312" w:cs="Times New Roman" w:hAnsi="Times New Roman"/>
          <w:sz w:val="32"/>
          <w:szCs w:val="32"/>
        </w:rPr>
        <w:t>站稳人民立场，开展</w:t>
      </w:r>
      <w:r>
        <w:rPr>
          <w:rFonts w:ascii="Times New Roman" w:eastAsia="仿宋_GB2312" w:cs="Times New Roman" w:hAnsi="Times New Roman" w:hint="eastAsia"/>
          <w:sz w:val="32"/>
          <w:szCs w:val="32"/>
        </w:rPr>
        <w:t>集中</w:t>
      </w:r>
      <w:r>
        <w:rPr>
          <w:rFonts w:ascii="Times New Roman" w:eastAsia="仿宋_GB2312" w:cs="Times New Roman" w:hAnsi="Times New Roman"/>
          <w:sz w:val="32"/>
          <w:szCs w:val="32"/>
        </w:rPr>
        <w:t>整治</w:t>
      </w:r>
      <w:r>
        <w:rPr>
          <w:rFonts w:ascii="Times New Roman" w:eastAsia="仿宋_GB2312" w:cs="Times New Roman" w:hAnsi="Times New Roman" w:hint="eastAsia"/>
          <w:sz w:val="32"/>
          <w:szCs w:val="32"/>
        </w:rPr>
        <w:t>，解决“急难愁盼”</w:t>
      </w:r>
      <w:r>
        <w:rPr>
          <w:rFonts w:ascii="Times New Roman" w:eastAsia="仿宋_GB2312" w:cs="Times New Roman" w:hAnsi="Times New Roman"/>
          <w:sz w:val="32"/>
          <w:szCs w:val="32"/>
        </w:rPr>
        <w:t>。</w:t>
      </w:r>
      <w:r>
        <w:rPr>
          <w:rFonts w:ascii="Times New Roman" w:eastAsia="仿宋_GB2312" w:cs="Times New Roman" w:hAnsi="Times New Roman" w:hint="eastAsia"/>
          <w:sz w:val="32"/>
          <w:szCs w:val="32"/>
        </w:rPr>
        <w:t>认真</w:t>
      </w:r>
      <w:r>
        <w:rPr>
          <w:rFonts w:ascii="Times New Roman" w:eastAsia="仿宋_GB2312" w:cs="Times New Roman" w:hAnsi="Times New Roman"/>
          <w:sz w:val="32"/>
          <w:szCs w:val="32"/>
        </w:rPr>
        <w:t>贯彻以人民为中心的思想，持续</w:t>
      </w:r>
      <w:r>
        <w:rPr>
          <w:rFonts w:ascii="Times New Roman" w:eastAsia="仿宋_GB2312" w:cs="Times New Roman" w:hAnsi="Times New Roman" w:hint="eastAsia"/>
          <w:sz w:val="32"/>
          <w:szCs w:val="32"/>
        </w:rPr>
        <w:t>强化</w:t>
      </w:r>
      <w:r>
        <w:rPr>
          <w:rFonts w:ascii="Times New Roman" w:eastAsia="仿宋_GB2312" w:cs="Times New Roman" w:hAnsi="Times New Roman"/>
          <w:sz w:val="32"/>
          <w:szCs w:val="32"/>
        </w:rPr>
        <w:t>对各项惠民富民政策措施落实情况的监督检查，加强对群众反映强烈问题的集中整治。</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5、</w:t>
      </w:r>
      <w:r>
        <w:rPr>
          <w:rFonts w:ascii="Times New Roman" w:eastAsia="仿宋_GB2312" w:cs="Times New Roman" w:hAnsi="Times New Roman"/>
          <w:sz w:val="32"/>
          <w:szCs w:val="32"/>
        </w:rPr>
        <w:t>深化政治巡察，推进整改落实</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发挥</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利剑</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作用。一是完成上一届县委巡察“全覆盖”。在全市10个县（区、市）率先完成县本级五年巡察 “全覆盖”工作任务。</w:t>
      </w:r>
    </w:p>
    <w:p>
      <w:pPr>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6、</w:t>
      </w:r>
      <w:r>
        <w:rPr>
          <w:rFonts w:ascii="Times New Roman" w:eastAsia="仿宋_GB2312" w:cs="Times New Roman" w:hAnsi="Times New Roman"/>
          <w:sz w:val="32"/>
          <w:szCs w:val="32"/>
        </w:rPr>
        <w:t>坚持多措并举，加强队伍建设，提高履职能力。严格对标对表省市纪委监委工作要求，多措并举加强自身</w:t>
      </w:r>
      <w:r>
        <w:rPr>
          <w:rFonts w:ascii="Times New Roman" w:eastAsia="仿宋_GB2312" w:cs="Times New Roman" w:hAnsi="Times New Roman" w:hint="eastAsia"/>
          <w:sz w:val="32"/>
          <w:szCs w:val="32"/>
        </w:rPr>
        <w:t>“规范化、法治化、正规化”建设</w:t>
      </w:r>
      <w:r>
        <w:rPr>
          <w:rFonts w:ascii="Times New Roman" w:eastAsia="仿宋_GB2312" w:cs="Times New Roman" w:hAnsi="Times New Roman"/>
          <w:sz w:val="32"/>
          <w:szCs w:val="32"/>
        </w:rPr>
        <w:t>。</w:t>
      </w: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ind w:firstLineChars="200" w:firstLine="640"/>
        <w:rPr>
          <w:rFonts w:ascii="Times New Roman" w:eastAsia="仿宋_GB2312" w:cs="Times New Roman" w:hAnsi="Times New Roman"/>
          <w:sz w:val="32"/>
          <w:szCs w:val="32"/>
        </w:rPr>
      </w:pPr>
    </w:p>
    <w:p>
      <w:pPr>
        <w:numPr>
          <w:ilvl w:val="0"/>
          <w:numId w:val="1"/>
        </w:numPr>
        <w:overflowPunct w:val="0"/>
        <w:adjustRightInd w:val="0"/>
        <w:snapToGrid w:val="0"/>
        <w:spacing w:afterLines="50" w:after="156" w:line="580" w:lineRule="exact"/>
        <w:ind w:left="0" w:firstLineChars="196" w:firstLine="627"/>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tbl>
      <w:tblPr>
        <w:tblpPr w:leftFromText="180" w:rightFromText="180" w:vertAnchor="text" w:horzAnchor="page" w:tblpX="2054" w:tblpY="495"/>
        <w:tblW w:w="1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1" w:type="dxa"/>
          <w:bottom w:w="0" w:type="dxa"/>
          <w:right w:w="11" w:type="dxa"/>
        </w:tblCellMar>
      </w:tblPr>
      <w:tblGrid>
        <w:gridCol w:w="1120"/>
        <w:gridCol w:w="734"/>
        <w:gridCol w:w="709"/>
        <w:gridCol w:w="2268"/>
        <w:gridCol w:w="1417"/>
        <w:gridCol w:w="567"/>
        <w:gridCol w:w="1234"/>
        <w:gridCol w:w="1460"/>
        <w:gridCol w:w="2268"/>
      </w:tblGrid>
      <w:tr>
        <w:trPr>
          <w:trHeight w:val="326"/>
          <w:tblHeader/>
        </w:trPr>
        <w:tc>
          <w:tcPr>
            <w:tcW w:w="1120" w:type="dxa"/>
            <w:vMerge w:val="restart"/>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一级指标</w:t>
            </w:r>
          </w:p>
        </w:tc>
        <w:tc>
          <w:tcPr>
            <w:tcW w:w="734" w:type="dxa"/>
            <w:vMerge w:val="restart"/>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二级</w:t>
            </w:r>
          </w:p>
          <w:p>
            <w:pPr>
              <w:widowControl/>
              <w:adjustRightInd w:val="0"/>
              <w:snapToGrid w:val="0"/>
              <w:jc w:val="center"/>
              <w:rPr>
                <w:rFonts w:ascii="宋体" w:eastAsia="宋体"/>
                <w:b/>
                <w:sz w:val="18"/>
                <w:szCs w:val="18"/>
              </w:rPr>
            </w:pPr>
            <w:r>
              <w:rPr>
                <w:rFonts w:ascii="宋体" w:eastAsia="宋体"/>
                <w:b/>
                <w:sz w:val="18"/>
                <w:szCs w:val="18"/>
              </w:rPr>
              <w:t>指标</w:t>
            </w:r>
          </w:p>
        </w:tc>
        <w:tc>
          <w:tcPr>
            <w:tcW w:w="709" w:type="dxa"/>
            <w:vMerge w:val="restart"/>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三级</w:t>
            </w:r>
          </w:p>
          <w:p>
            <w:pPr>
              <w:widowControl/>
              <w:adjustRightInd w:val="0"/>
              <w:snapToGrid w:val="0"/>
              <w:jc w:val="center"/>
              <w:rPr>
                <w:rFonts w:ascii="宋体" w:eastAsia="宋体"/>
                <w:b/>
                <w:sz w:val="18"/>
                <w:szCs w:val="18"/>
              </w:rPr>
            </w:pPr>
            <w:r>
              <w:rPr>
                <w:rFonts w:ascii="宋体" w:eastAsia="宋体"/>
                <w:b/>
                <w:sz w:val="18"/>
                <w:szCs w:val="18"/>
              </w:rPr>
              <w:t>指标</w:t>
            </w:r>
          </w:p>
        </w:tc>
        <w:tc>
          <w:tcPr>
            <w:tcW w:w="2268" w:type="dxa"/>
            <w:vMerge w:val="restart"/>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评（扣）分标准</w:t>
            </w:r>
          </w:p>
        </w:tc>
        <w:tc>
          <w:tcPr>
            <w:tcW w:w="1417" w:type="dxa"/>
            <w:vMerge w:val="restart"/>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绩效指标</w:t>
            </w:r>
          </w:p>
          <w:p>
            <w:pPr>
              <w:widowControl/>
              <w:adjustRightInd w:val="0"/>
              <w:snapToGrid w:val="0"/>
              <w:jc w:val="center"/>
              <w:rPr>
                <w:rFonts w:ascii="宋体" w:eastAsia="宋体"/>
                <w:b/>
                <w:sz w:val="18"/>
                <w:szCs w:val="18"/>
              </w:rPr>
            </w:pPr>
            <w:r>
              <w:rPr>
                <w:rFonts w:ascii="宋体" w:eastAsia="宋体"/>
                <w:b/>
                <w:sz w:val="18"/>
                <w:szCs w:val="18"/>
              </w:rPr>
              <w:t>描述</w:t>
            </w:r>
          </w:p>
        </w:tc>
        <w:tc>
          <w:tcPr>
            <w:tcW w:w="3261" w:type="dxa"/>
            <w:gridSpan w:val="3"/>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指标值</w:t>
            </w:r>
          </w:p>
        </w:tc>
        <w:tc>
          <w:tcPr>
            <w:tcW w:w="2268" w:type="dxa"/>
            <w:vMerge w:val="restart"/>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指标值</w:t>
            </w:r>
          </w:p>
          <w:p>
            <w:pPr>
              <w:widowControl/>
              <w:adjustRightInd w:val="0"/>
              <w:snapToGrid w:val="0"/>
              <w:jc w:val="center"/>
              <w:rPr>
                <w:rFonts w:ascii="宋体" w:eastAsia="宋体"/>
                <w:b/>
                <w:sz w:val="18"/>
                <w:szCs w:val="18"/>
              </w:rPr>
            </w:pPr>
            <w:r>
              <w:rPr>
                <w:rFonts w:ascii="宋体" w:eastAsia="宋体"/>
                <w:b/>
                <w:sz w:val="18"/>
                <w:szCs w:val="18"/>
              </w:rPr>
              <w:t>确定依据</w:t>
            </w:r>
          </w:p>
        </w:tc>
      </w:tr>
      <w:tr>
        <w:trPr>
          <w:trHeight w:val="533"/>
          <w:tblHeader/>
        </w:trPr>
        <w:tc>
          <w:tcPr>
            <w:tcW w:w="1120" w:type="dxa"/>
            <w:vMerge/>
            <w:tcBorders>
              <w:tl2br w:val="nil"/>
              <w:tr2bl w:val="nil"/>
            </w:tcBorders>
            <w:vAlign w:val="center"/>
          </w:tcPr>
          <w:p/>
        </w:tc>
        <w:tc>
          <w:tcPr>
            <w:tcW w:w="734" w:type="dxa"/>
            <w:vMerge/>
            <w:tcBorders>
              <w:tl2br w:val="nil"/>
              <w:tr2bl w:val="nil"/>
            </w:tcBorders>
            <w:vAlign w:val="center"/>
          </w:tcPr>
          <w:p/>
        </w:tc>
        <w:tc>
          <w:tcPr>
            <w:tcW w:w="709" w:type="dxa"/>
            <w:vMerge/>
            <w:tcBorders>
              <w:tl2br w:val="nil"/>
              <w:tr2bl w:val="nil"/>
            </w:tcBorders>
            <w:vAlign w:val="center"/>
          </w:tcPr>
          <w:p/>
        </w:tc>
        <w:tc>
          <w:tcPr>
            <w:tcW w:w="2268" w:type="dxa"/>
            <w:vMerge/>
            <w:tcBorders>
              <w:tl2br w:val="nil"/>
              <w:tr2bl w:val="nil"/>
            </w:tcBorders>
            <w:vAlign w:val="center"/>
          </w:tcPr>
          <w:p/>
        </w:tc>
        <w:tc>
          <w:tcPr>
            <w:tcW w:w="1417" w:type="dxa"/>
            <w:vMerg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符号</w:t>
            </w:r>
          </w:p>
        </w:tc>
        <w:tc>
          <w:tcPr>
            <w:tcW w:w="1234" w:type="dxa"/>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值</w:t>
            </w:r>
          </w:p>
        </w:tc>
        <w:tc>
          <w:tcPr>
            <w:tcW w:w="1460" w:type="dxa"/>
            <w:tcBorders>
              <w:tl2br w:val="nil"/>
              <w:tr2bl w:val="nil"/>
            </w:tcBorders>
            <w:vAlign w:val="center"/>
          </w:tcPr>
          <w:p>
            <w:pPr>
              <w:widowControl/>
              <w:adjustRightInd w:val="0"/>
              <w:snapToGrid w:val="0"/>
              <w:jc w:val="center"/>
              <w:rPr>
                <w:rFonts w:ascii="宋体" w:eastAsia="宋体"/>
                <w:b/>
                <w:sz w:val="18"/>
                <w:szCs w:val="18"/>
              </w:rPr>
            </w:pPr>
            <w:r>
              <w:rPr>
                <w:rFonts w:ascii="宋体" w:eastAsia="宋体"/>
                <w:b/>
                <w:sz w:val="18"/>
                <w:szCs w:val="18"/>
              </w:rPr>
              <w:t>单位</w:t>
            </w:r>
          </w:p>
        </w:tc>
        <w:tc>
          <w:tcPr>
            <w:tcW w:w="2268" w:type="dxa"/>
            <w:vMerge/>
            <w:tcBorders>
              <w:tl2br w:val="nil"/>
              <w:tr2bl w:val="nil"/>
            </w:tcBorders>
            <w:vAlign w:val="center"/>
          </w:tcPr>
          <w:p/>
        </w:tc>
      </w:tr>
      <w:tr>
        <w:trPr>
          <w:trHeight w:val="594"/>
        </w:trPr>
        <w:tc>
          <w:tcPr>
            <w:tcW w:w="1120" w:type="dxa"/>
            <w:vMerge w:val="restart"/>
            <w:tcBorders>
              <w:tl2br w:val="nil"/>
              <w:tr2bl w:val="nil"/>
            </w:tcBorders>
            <w:vAlign w:val="center"/>
          </w:tcPr>
          <w:p>
            <w:pPr>
              <w:widowControl/>
              <w:adjustRightInd w:val="0"/>
              <w:snapToGrid w:val="0"/>
              <w:jc w:val="center"/>
              <w:rPr>
                <w:rFonts w:ascii="宋体" w:eastAsia="宋体"/>
                <w:sz w:val="18"/>
                <w:szCs w:val="18"/>
              </w:rPr>
            </w:pPr>
            <w:r>
              <w:rPr>
                <w:rFonts w:ascii="宋体" w:eastAsia="宋体"/>
                <w:sz w:val="18"/>
                <w:szCs w:val="18"/>
              </w:rPr>
              <w:t>部门产出</w:t>
            </w: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sz w:val="18"/>
                <w:szCs w:val="18"/>
              </w:rPr>
              <w:t>数量</w:t>
            </w:r>
          </w:p>
        </w:tc>
        <w:tc>
          <w:tcPr>
            <w:tcW w:w="709"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数量</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立案数量</w:t>
            </w:r>
          </w:p>
        </w:tc>
        <w:tc>
          <w:tcPr>
            <w:tcW w:w="141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全年立案数量</w:t>
            </w:r>
          </w:p>
        </w:tc>
        <w:tc>
          <w:tcPr>
            <w:tcW w:w="56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234"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150</w:t>
            </w:r>
          </w:p>
        </w:tc>
        <w:tc>
          <w:tcPr>
            <w:tcW w:w="1460"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件</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相关业务费实施方案</w:t>
            </w:r>
          </w:p>
        </w:tc>
      </w:tr>
      <w:tr>
        <w:trPr>
          <w:trHeight w:val="614"/>
        </w:trPr>
        <w:tc>
          <w:tcPr>
            <w:tcW w:w="1120" w:type="dxa"/>
            <w:vMerge/>
            <w:tcBorders>
              <w:tl2br w:val="nil"/>
              <w:tr2bl w:val="nil"/>
            </w:tcBorders>
            <w:vAlign w:val="center"/>
          </w:tcP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sz w:val="18"/>
                <w:szCs w:val="18"/>
              </w:rPr>
              <w:t>质量</w:t>
            </w:r>
          </w:p>
        </w:tc>
        <w:tc>
          <w:tcPr>
            <w:tcW w:w="709"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质量</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141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56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234"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90</w:t>
            </w:r>
          </w:p>
        </w:tc>
        <w:tc>
          <w:tcPr>
            <w:tcW w:w="1460"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2268" w:type="dxa"/>
            <w:tcBorders>
              <w:tl2br w:val="nil"/>
              <w:tr2bl w:val="nil"/>
            </w:tcBorders>
          </w:tcPr>
          <w:p>
            <w:pPr>
              <w:jc w:val="center"/>
              <w:rPr>
                <w:rFonts w:ascii="宋体" w:eastAsia="宋体"/>
                <w:sz w:val="18"/>
                <w:szCs w:val="18"/>
              </w:rPr>
            </w:pPr>
            <w:r>
              <w:rPr>
                <w:rFonts w:ascii="宋体" w:eastAsia="宋体" w:hint="eastAsia"/>
                <w:kern w:val="0"/>
                <w:sz w:val="18"/>
                <w:szCs w:val="18"/>
              </w:rPr>
              <w:t>相关业务费实施方案</w:t>
            </w:r>
          </w:p>
        </w:tc>
      </w:tr>
      <w:tr>
        <w:trPr>
          <w:trHeight w:val="458"/>
        </w:trPr>
        <w:tc>
          <w:tcPr>
            <w:tcW w:w="1120" w:type="dxa"/>
            <w:vMerge/>
            <w:tcBorders>
              <w:tl2br w:val="nil"/>
              <w:tr2bl w:val="nil"/>
            </w:tcBorders>
            <w:vAlign w:val="center"/>
          </w:tcP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sz w:val="18"/>
                <w:szCs w:val="18"/>
              </w:rPr>
              <w:t>时效</w:t>
            </w:r>
          </w:p>
        </w:tc>
        <w:tc>
          <w:tcPr>
            <w:tcW w:w="709"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时效</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141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56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234"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2022年11月</w:t>
            </w:r>
          </w:p>
        </w:tc>
        <w:tc>
          <w:tcPr>
            <w:tcW w:w="1460" w:type="dxa"/>
            <w:tcBorders>
              <w:tl2br w:val="nil"/>
              <w:tr2bl w:val="nil"/>
            </w:tcBorders>
            <w:vAlign w:val="center"/>
          </w:tcPr>
          <w:p>
            <w:pPr>
              <w:widowControl/>
              <w:jc w:val="center"/>
              <w:rPr>
                <w:rFonts w:ascii="宋体" w:eastAsia="宋体"/>
                <w:kern w:val="0"/>
                <w:sz w:val="18"/>
                <w:szCs w:val="18"/>
              </w:rPr>
            </w:pPr>
          </w:p>
        </w:tc>
        <w:tc>
          <w:tcPr>
            <w:tcW w:w="2268" w:type="dxa"/>
            <w:tcBorders>
              <w:tl2br w:val="nil"/>
              <w:tr2bl w:val="nil"/>
            </w:tcBorders>
          </w:tcPr>
          <w:p>
            <w:pPr>
              <w:jc w:val="center"/>
              <w:rPr>
                <w:rFonts w:ascii="宋体" w:eastAsia="宋体"/>
                <w:sz w:val="18"/>
                <w:szCs w:val="18"/>
              </w:rPr>
            </w:pPr>
            <w:r>
              <w:rPr>
                <w:rFonts w:ascii="宋体" w:eastAsia="宋体" w:hint="eastAsia"/>
                <w:kern w:val="0"/>
                <w:sz w:val="18"/>
                <w:szCs w:val="18"/>
              </w:rPr>
              <w:t>相关业务费实施方案</w:t>
            </w:r>
          </w:p>
        </w:tc>
      </w:tr>
      <w:tr>
        <w:trPr>
          <w:trHeight w:val="614"/>
        </w:trPr>
        <w:tc>
          <w:tcPr>
            <w:tcW w:w="1120" w:type="dxa"/>
            <w:vMerge/>
            <w:tcBorders>
              <w:tl2br w:val="nil"/>
              <w:tr2bl w:val="nil"/>
            </w:tcBorders>
            <w:vAlign w:val="center"/>
          </w:tcP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sz w:val="18"/>
                <w:szCs w:val="18"/>
              </w:rPr>
              <w:t>成本</w:t>
            </w:r>
          </w:p>
        </w:tc>
        <w:tc>
          <w:tcPr>
            <w:tcW w:w="709"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成本</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141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控制在预算额度内</w:t>
            </w:r>
          </w:p>
        </w:tc>
        <w:tc>
          <w:tcPr>
            <w:tcW w:w="56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234"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354.5</w:t>
            </w:r>
          </w:p>
        </w:tc>
        <w:tc>
          <w:tcPr>
            <w:tcW w:w="1460"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万元</w:t>
            </w:r>
          </w:p>
        </w:tc>
        <w:tc>
          <w:tcPr>
            <w:tcW w:w="2268" w:type="dxa"/>
            <w:tcBorders>
              <w:tl2br w:val="nil"/>
              <w:tr2bl w:val="nil"/>
            </w:tcBorders>
          </w:tcPr>
          <w:p>
            <w:pPr>
              <w:jc w:val="center"/>
              <w:rPr>
                <w:rFonts w:ascii="宋体" w:eastAsia="宋体"/>
                <w:sz w:val="18"/>
                <w:szCs w:val="18"/>
              </w:rPr>
            </w:pPr>
            <w:r>
              <w:rPr>
                <w:rFonts w:ascii="宋体" w:eastAsia="宋体" w:hint="eastAsia"/>
                <w:kern w:val="0"/>
                <w:sz w:val="18"/>
                <w:szCs w:val="18"/>
              </w:rPr>
              <w:t>相关业务费实施方案</w:t>
            </w:r>
          </w:p>
        </w:tc>
      </w:tr>
      <w:tr>
        <w:trPr>
          <w:trHeight w:val="614"/>
        </w:trPr>
        <w:tc>
          <w:tcPr>
            <w:tcW w:w="1120" w:type="dxa"/>
            <w:vMerge w:val="restart"/>
            <w:tcBorders>
              <w:tl2br w:val="nil"/>
              <w:tr2bl w:val="nil"/>
            </w:tcBorders>
            <w:vAlign w:val="center"/>
          </w:tcPr>
          <w:p>
            <w:pPr>
              <w:adjustRightInd w:val="0"/>
              <w:snapToGrid w:val="0"/>
              <w:jc w:val="center"/>
              <w:rPr>
                <w:rFonts w:ascii="宋体" w:eastAsia="宋体"/>
                <w:sz w:val="18"/>
                <w:szCs w:val="18"/>
              </w:rPr>
            </w:pPr>
            <w:r>
              <w:rPr>
                <w:rFonts w:ascii="宋体" w:eastAsia="宋体"/>
                <w:sz w:val="18"/>
                <w:szCs w:val="18"/>
              </w:rPr>
              <w:t>部门</w:t>
            </w:r>
            <w:r>
              <w:rPr>
                <w:rFonts w:ascii="宋体" w:eastAsia="宋体" w:hint="eastAsia"/>
                <w:sz w:val="18"/>
                <w:szCs w:val="18"/>
              </w:rPr>
              <w:t>效果</w:t>
            </w: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sz w:val="18"/>
                <w:szCs w:val="18"/>
              </w:rPr>
              <w:t>社会</w:t>
            </w:r>
          </w:p>
          <w:p>
            <w:pPr>
              <w:widowControl/>
              <w:adjustRightInd w:val="0"/>
              <w:snapToGrid w:val="0"/>
              <w:jc w:val="center"/>
              <w:rPr>
                <w:rFonts w:ascii="宋体" w:eastAsia="宋体"/>
                <w:sz w:val="18"/>
                <w:szCs w:val="18"/>
              </w:rPr>
            </w:pPr>
            <w:r>
              <w:rPr>
                <w:rFonts w:ascii="宋体" w:eastAsia="宋体"/>
                <w:sz w:val="18"/>
                <w:szCs w:val="18"/>
              </w:rPr>
              <w:t>效益</w:t>
            </w:r>
          </w:p>
        </w:tc>
        <w:tc>
          <w:tcPr>
            <w:tcW w:w="709"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社会</w:t>
            </w:r>
            <w:r>
              <w:rPr>
                <w:rFonts w:ascii="宋体" w:eastAsia="宋体"/>
                <w:kern w:val="0"/>
                <w:sz w:val="18"/>
                <w:szCs w:val="18"/>
              </w:rPr>
              <w:br/>
            </w:r>
            <w:r>
              <w:rPr>
                <w:rFonts w:ascii="宋体" w:eastAsia="宋体" w:hint="eastAsia"/>
                <w:kern w:val="0"/>
                <w:sz w:val="18"/>
                <w:szCs w:val="18"/>
              </w:rPr>
              <w:t>效益</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1417"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567" w:type="dxa"/>
            <w:tcBorders>
              <w:tl2br w:val="nil"/>
              <w:tr2bl w:val="nil"/>
            </w:tcBorders>
            <w:vAlign w:val="center"/>
          </w:tcPr>
          <w:p>
            <w:pPr>
              <w:widowControl/>
              <w:jc w:val="center"/>
              <w:rPr>
                <w:rFonts w:ascii="宋体" w:eastAsia="宋体"/>
                <w:kern w:val="0"/>
                <w:sz w:val="18"/>
                <w:szCs w:val="18"/>
              </w:rPr>
            </w:pPr>
          </w:p>
        </w:tc>
        <w:tc>
          <w:tcPr>
            <w:tcW w:w="1234" w:type="dxa"/>
            <w:tcBorders>
              <w:tl2br w:val="nil"/>
              <w:tr2bl w:val="nil"/>
            </w:tcBorders>
            <w:vAlign w:val="center"/>
          </w:tcPr>
          <w:p>
            <w:pPr>
              <w:widowControl/>
              <w:jc w:val="center"/>
              <w:rPr>
                <w:rFonts w:ascii="宋体" w:eastAsia="宋体"/>
                <w:kern w:val="0"/>
                <w:sz w:val="18"/>
                <w:szCs w:val="18"/>
              </w:rPr>
            </w:pPr>
          </w:p>
        </w:tc>
        <w:tc>
          <w:tcPr>
            <w:tcW w:w="1460"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良好</w:t>
            </w:r>
          </w:p>
        </w:tc>
        <w:tc>
          <w:tcPr>
            <w:tcW w:w="2268" w:type="dxa"/>
            <w:tcBorders>
              <w:tl2br w:val="nil"/>
              <w:tr2bl w:val="nil"/>
            </w:tcBorders>
          </w:tcPr>
          <w:p>
            <w:pPr>
              <w:jc w:val="center"/>
              <w:rPr>
                <w:rFonts w:ascii="宋体" w:eastAsia="宋体"/>
                <w:sz w:val="18"/>
                <w:szCs w:val="18"/>
              </w:rPr>
            </w:pPr>
            <w:r>
              <w:rPr>
                <w:rFonts w:ascii="宋体" w:eastAsia="宋体" w:hint="eastAsia"/>
                <w:kern w:val="0"/>
                <w:sz w:val="18"/>
                <w:szCs w:val="18"/>
              </w:rPr>
              <w:t>相关业务费实施方案</w:t>
            </w:r>
          </w:p>
        </w:tc>
      </w:tr>
      <w:tr>
        <w:trPr>
          <w:trHeight w:val="614"/>
        </w:trPr>
        <w:tc>
          <w:tcPr>
            <w:tcW w:w="1120" w:type="dxa"/>
            <w:vMerge/>
            <w:tcBorders>
              <w:tl2br w:val="nil"/>
              <w:tr2bl w:val="nil"/>
            </w:tcBorders>
            <w:vAlign w:val="center"/>
          </w:tcP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hint="eastAsia"/>
                <w:sz w:val="18"/>
                <w:szCs w:val="18"/>
              </w:rPr>
              <w:t>经济</w:t>
            </w:r>
          </w:p>
          <w:p>
            <w:pPr>
              <w:widowControl/>
              <w:adjustRightInd w:val="0"/>
              <w:snapToGrid w:val="0"/>
              <w:jc w:val="center"/>
              <w:rPr>
                <w:rFonts w:ascii="宋体" w:eastAsia="宋体"/>
                <w:sz w:val="18"/>
                <w:szCs w:val="18"/>
              </w:rPr>
            </w:pPr>
            <w:r>
              <w:rPr>
                <w:rFonts w:ascii="宋体" w:eastAsia="宋体" w:hint="eastAsia"/>
                <w:sz w:val="18"/>
                <w:szCs w:val="18"/>
              </w:rPr>
              <w:t>效益</w:t>
            </w:r>
          </w:p>
        </w:tc>
        <w:tc>
          <w:tcPr>
            <w:tcW w:w="709" w:type="dxa"/>
            <w:tcBorders>
              <w:tl2br w:val="nil"/>
              <w:tr2bl w:val="nil"/>
            </w:tcBorders>
            <w:vAlign w:val="center"/>
          </w:tcPr>
          <w:p>
            <w:pPr>
              <w:widowControl/>
              <w:adjustRightInd w:val="0"/>
              <w:snapToGrid w:val="0"/>
              <w:jc w:val="center"/>
              <w:rPr>
                <w:rFonts w:ascii="宋体" w:eastAsia="宋体"/>
                <w:sz w:val="18"/>
                <w:szCs w:val="18"/>
              </w:rPr>
            </w:pPr>
          </w:p>
        </w:tc>
        <w:tc>
          <w:tcPr>
            <w:tcW w:w="2268" w:type="dxa"/>
            <w:tcBorders>
              <w:tl2br w:val="nil"/>
              <w:tr2bl w:val="nil"/>
            </w:tcBorders>
            <w:vAlign w:val="center"/>
          </w:tcPr>
          <w:p>
            <w:pPr>
              <w:widowControl/>
              <w:adjustRightInd w:val="0"/>
              <w:snapToGrid w:val="0"/>
              <w:jc w:val="center"/>
              <w:rPr>
                <w:rFonts w:ascii="宋体" w:eastAsia="宋体"/>
                <w:sz w:val="18"/>
                <w:szCs w:val="18"/>
              </w:rPr>
            </w:pPr>
          </w:p>
        </w:tc>
        <w:tc>
          <w:tcPr>
            <w:tcW w:w="1417" w:type="dxa"/>
            <w:tcBorders>
              <w:tl2br w:val="nil"/>
              <w:tr2bl w:val="nil"/>
            </w:tcBorders>
            <w:vAlign w:val="center"/>
          </w:tcPr>
          <w:p>
            <w:pPr>
              <w:widowControl/>
              <w:adjustRightInd w:val="0"/>
              <w:snapToGrid w:val="0"/>
              <w:jc w:val="center"/>
              <w:rPr>
                <w:rFonts w:ascii="宋体" w:eastAsia="宋体"/>
                <w:sz w:val="18"/>
                <w:szCs w:val="18"/>
              </w:rPr>
            </w:pPr>
          </w:p>
        </w:tc>
        <w:tc>
          <w:tcPr>
            <w:tcW w:w="567" w:type="dxa"/>
            <w:tcBorders>
              <w:tl2br w:val="nil"/>
              <w:tr2bl w:val="nil"/>
            </w:tcBorders>
            <w:vAlign w:val="center"/>
          </w:tcPr>
          <w:p>
            <w:pPr>
              <w:widowControl/>
              <w:adjustRightInd w:val="0"/>
              <w:snapToGrid w:val="0"/>
              <w:jc w:val="center"/>
              <w:rPr>
                <w:rFonts w:ascii="宋体" w:eastAsia="宋体"/>
                <w:sz w:val="18"/>
                <w:szCs w:val="18"/>
              </w:rPr>
            </w:pPr>
          </w:p>
        </w:tc>
        <w:tc>
          <w:tcPr>
            <w:tcW w:w="1234" w:type="dxa"/>
            <w:tcBorders>
              <w:tl2br w:val="nil"/>
              <w:tr2bl w:val="nil"/>
            </w:tcBorders>
            <w:vAlign w:val="center"/>
          </w:tcPr>
          <w:p>
            <w:pPr>
              <w:widowControl/>
              <w:adjustRightInd w:val="0"/>
              <w:snapToGrid w:val="0"/>
              <w:jc w:val="center"/>
              <w:rPr>
                <w:rFonts w:ascii="宋体" w:eastAsia="宋体"/>
                <w:sz w:val="18"/>
                <w:szCs w:val="18"/>
              </w:rPr>
            </w:pPr>
          </w:p>
        </w:tc>
        <w:tc>
          <w:tcPr>
            <w:tcW w:w="1460" w:type="dxa"/>
            <w:tcBorders>
              <w:tl2br w:val="nil"/>
              <w:tr2bl w:val="nil"/>
            </w:tcBorders>
            <w:vAlign w:val="center"/>
          </w:tcPr>
          <w:p>
            <w:pPr>
              <w:widowControl/>
              <w:adjustRightInd w:val="0"/>
              <w:snapToGrid w:val="0"/>
              <w:jc w:val="center"/>
              <w:rPr>
                <w:rFonts w:ascii="宋体" w:eastAsia="宋体"/>
                <w:sz w:val="18"/>
                <w:szCs w:val="18"/>
              </w:rPr>
            </w:pPr>
          </w:p>
        </w:tc>
        <w:tc>
          <w:tcPr>
            <w:tcW w:w="2268" w:type="dxa"/>
            <w:tcBorders>
              <w:tl2br w:val="nil"/>
              <w:tr2bl w:val="nil"/>
            </w:tcBorders>
            <w:vAlign w:val="center"/>
          </w:tcPr>
          <w:p>
            <w:pPr>
              <w:widowControl/>
              <w:adjustRightInd w:val="0"/>
              <w:snapToGrid w:val="0"/>
              <w:jc w:val="center"/>
              <w:rPr>
                <w:rFonts w:ascii="宋体" w:eastAsia="宋体"/>
                <w:sz w:val="18"/>
                <w:szCs w:val="18"/>
              </w:rPr>
            </w:pPr>
          </w:p>
        </w:tc>
      </w:tr>
      <w:tr>
        <w:trPr>
          <w:trHeight w:val="614"/>
        </w:trPr>
        <w:tc>
          <w:tcPr>
            <w:tcW w:w="1120" w:type="dxa"/>
            <w:vMerge/>
            <w:tcBorders>
              <w:tl2br w:val="nil"/>
              <w:tr2bl w:val="nil"/>
            </w:tcBorders>
            <w:vAlign w:val="center"/>
          </w:tcP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hint="eastAsia"/>
                <w:sz w:val="18"/>
                <w:szCs w:val="18"/>
              </w:rPr>
              <w:t>生态</w:t>
            </w:r>
          </w:p>
          <w:p>
            <w:pPr>
              <w:widowControl/>
              <w:adjustRightInd w:val="0"/>
              <w:snapToGrid w:val="0"/>
              <w:jc w:val="center"/>
              <w:rPr>
                <w:rFonts w:ascii="宋体" w:eastAsia="宋体"/>
                <w:sz w:val="18"/>
                <w:szCs w:val="18"/>
              </w:rPr>
            </w:pPr>
            <w:r>
              <w:rPr>
                <w:rFonts w:ascii="宋体" w:eastAsia="宋体" w:hint="eastAsia"/>
                <w:sz w:val="18"/>
                <w:szCs w:val="18"/>
              </w:rPr>
              <w:t>效益</w:t>
            </w:r>
          </w:p>
        </w:tc>
        <w:tc>
          <w:tcPr>
            <w:tcW w:w="709" w:type="dxa"/>
            <w:tcBorders>
              <w:tl2br w:val="nil"/>
              <w:tr2bl w:val="nil"/>
            </w:tcBorders>
            <w:vAlign w:val="center"/>
          </w:tcPr>
          <w:p>
            <w:pPr>
              <w:widowControl/>
              <w:adjustRightInd w:val="0"/>
              <w:snapToGrid w:val="0"/>
              <w:jc w:val="center"/>
              <w:rPr>
                <w:rFonts w:ascii="宋体" w:eastAsia="宋体"/>
                <w:sz w:val="18"/>
                <w:szCs w:val="18"/>
              </w:rPr>
            </w:pPr>
          </w:p>
        </w:tc>
        <w:tc>
          <w:tcPr>
            <w:tcW w:w="2268" w:type="dxa"/>
            <w:tcBorders>
              <w:tl2br w:val="nil"/>
              <w:tr2bl w:val="nil"/>
            </w:tcBorders>
            <w:vAlign w:val="center"/>
          </w:tcPr>
          <w:p>
            <w:pPr>
              <w:widowControl/>
              <w:adjustRightInd w:val="0"/>
              <w:snapToGrid w:val="0"/>
              <w:jc w:val="center"/>
              <w:rPr>
                <w:rFonts w:ascii="宋体" w:eastAsia="宋体"/>
                <w:sz w:val="18"/>
                <w:szCs w:val="18"/>
              </w:rPr>
            </w:pPr>
          </w:p>
        </w:tc>
        <w:tc>
          <w:tcPr>
            <w:tcW w:w="1417" w:type="dxa"/>
            <w:tcBorders>
              <w:tl2br w:val="nil"/>
              <w:tr2bl w:val="nil"/>
            </w:tcBorders>
            <w:vAlign w:val="center"/>
          </w:tcPr>
          <w:p>
            <w:pPr>
              <w:widowControl/>
              <w:adjustRightInd w:val="0"/>
              <w:snapToGrid w:val="0"/>
              <w:jc w:val="center"/>
              <w:rPr>
                <w:rFonts w:ascii="宋体" w:eastAsia="宋体"/>
                <w:sz w:val="18"/>
                <w:szCs w:val="18"/>
              </w:rPr>
            </w:pPr>
          </w:p>
        </w:tc>
        <w:tc>
          <w:tcPr>
            <w:tcW w:w="567" w:type="dxa"/>
            <w:tcBorders>
              <w:tl2br w:val="nil"/>
              <w:tr2bl w:val="nil"/>
            </w:tcBorders>
            <w:vAlign w:val="center"/>
          </w:tcPr>
          <w:p>
            <w:pPr>
              <w:widowControl/>
              <w:adjustRightInd w:val="0"/>
              <w:snapToGrid w:val="0"/>
              <w:jc w:val="center"/>
              <w:rPr>
                <w:rFonts w:ascii="宋体" w:eastAsia="宋体"/>
                <w:sz w:val="18"/>
                <w:szCs w:val="18"/>
              </w:rPr>
            </w:pPr>
          </w:p>
        </w:tc>
        <w:tc>
          <w:tcPr>
            <w:tcW w:w="1234" w:type="dxa"/>
            <w:tcBorders>
              <w:tl2br w:val="nil"/>
              <w:tr2bl w:val="nil"/>
            </w:tcBorders>
            <w:vAlign w:val="center"/>
          </w:tcPr>
          <w:p>
            <w:pPr>
              <w:widowControl/>
              <w:adjustRightInd w:val="0"/>
              <w:snapToGrid w:val="0"/>
              <w:jc w:val="center"/>
              <w:rPr>
                <w:rFonts w:ascii="宋体" w:eastAsia="宋体"/>
                <w:sz w:val="18"/>
                <w:szCs w:val="18"/>
              </w:rPr>
            </w:pPr>
          </w:p>
        </w:tc>
        <w:tc>
          <w:tcPr>
            <w:tcW w:w="1460" w:type="dxa"/>
            <w:tcBorders>
              <w:tl2br w:val="nil"/>
              <w:tr2bl w:val="nil"/>
            </w:tcBorders>
            <w:vAlign w:val="center"/>
          </w:tcPr>
          <w:p>
            <w:pPr>
              <w:widowControl/>
              <w:adjustRightInd w:val="0"/>
              <w:snapToGrid w:val="0"/>
              <w:jc w:val="center"/>
              <w:rPr>
                <w:rFonts w:ascii="宋体" w:eastAsia="宋体"/>
                <w:sz w:val="18"/>
                <w:szCs w:val="18"/>
              </w:rPr>
            </w:pPr>
          </w:p>
        </w:tc>
        <w:tc>
          <w:tcPr>
            <w:tcW w:w="2268" w:type="dxa"/>
            <w:tcBorders>
              <w:tl2br w:val="nil"/>
              <w:tr2bl w:val="nil"/>
            </w:tcBorders>
            <w:vAlign w:val="center"/>
          </w:tcPr>
          <w:p>
            <w:pPr>
              <w:widowControl/>
              <w:adjustRightInd w:val="0"/>
              <w:snapToGrid w:val="0"/>
              <w:jc w:val="center"/>
              <w:rPr>
                <w:rFonts w:ascii="宋体" w:eastAsia="宋体"/>
                <w:sz w:val="18"/>
                <w:szCs w:val="18"/>
              </w:rPr>
            </w:pPr>
          </w:p>
        </w:tc>
      </w:tr>
      <w:tr>
        <w:trPr>
          <w:trHeight w:val="770"/>
        </w:trPr>
        <w:tc>
          <w:tcPr>
            <w:tcW w:w="1120" w:type="dxa"/>
            <w:vMerge/>
            <w:tcBorders>
              <w:tl2br w:val="nil"/>
              <w:tr2bl w:val="nil"/>
            </w:tcBorders>
            <w:vAlign w:val="center"/>
          </w:tcPr>
          <w:p/>
        </w:tc>
        <w:tc>
          <w:tcPr>
            <w:tcW w:w="734" w:type="dxa"/>
            <w:tcBorders>
              <w:tl2br w:val="nil"/>
              <w:tr2bl w:val="nil"/>
            </w:tcBorders>
            <w:vAlign w:val="center"/>
          </w:tcPr>
          <w:p>
            <w:pPr>
              <w:adjustRightInd w:val="0"/>
              <w:snapToGrid w:val="0"/>
              <w:jc w:val="center"/>
              <w:rPr>
                <w:rFonts w:ascii="宋体" w:eastAsia="宋体"/>
                <w:sz w:val="18"/>
                <w:szCs w:val="18"/>
              </w:rPr>
            </w:pPr>
            <w:r>
              <w:rPr>
                <w:rFonts w:ascii="宋体" w:eastAsia="宋体" w:hint="eastAsia"/>
                <w:sz w:val="18"/>
                <w:szCs w:val="18"/>
              </w:rPr>
              <w:t>可持续影响</w:t>
            </w:r>
          </w:p>
        </w:tc>
        <w:tc>
          <w:tcPr>
            <w:tcW w:w="709" w:type="dxa"/>
            <w:tcBorders>
              <w:tl2br w:val="nil"/>
              <w:tr2bl w:val="nil"/>
            </w:tcBorders>
            <w:noWrap/>
            <w:vAlign w:val="center"/>
          </w:tcPr>
          <w:p>
            <w:pPr>
              <w:widowControl/>
              <w:adjustRightInd w:val="0"/>
              <w:snapToGrid w:val="0"/>
              <w:jc w:val="center"/>
              <w:rPr>
                <w:rFonts w:ascii="宋体" w:eastAsia="宋体"/>
                <w:sz w:val="18"/>
                <w:szCs w:val="18"/>
              </w:rPr>
            </w:pPr>
          </w:p>
        </w:tc>
        <w:tc>
          <w:tcPr>
            <w:tcW w:w="2268" w:type="dxa"/>
            <w:tcBorders>
              <w:tl2br w:val="nil"/>
              <w:tr2bl w:val="nil"/>
            </w:tcBorders>
            <w:noWrap/>
            <w:vAlign w:val="center"/>
          </w:tcPr>
          <w:p>
            <w:pPr>
              <w:widowControl/>
              <w:adjustRightInd w:val="0"/>
              <w:snapToGrid w:val="0"/>
              <w:jc w:val="center"/>
              <w:rPr>
                <w:rFonts w:ascii="宋体" w:eastAsia="宋体"/>
                <w:sz w:val="18"/>
                <w:szCs w:val="18"/>
              </w:rPr>
            </w:pPr>
          </w:p>
        </w:tc>
        <w:tc>
          <w:tcPr>
            <w:tcW w:w="1417" w:type="dxa"/>
            <w:tcBorders>
              <w:tl2br w:val="nil"/>
              <w:tr2bl w:val="nil"/>
            </w:tcBorders>
            <w:noWrap/>
            <w:vAlign w:val="center"/>
          </w:tcPr>
          <w:p>
            <w:pPr>
              <w:widowControl/>
              <w:adjustRightInd w:val="0"/>
              <w:snapToGrid w:val="0"/>
              <w:jc w:val="center"/>
              <w:rPr>
                <w:rFonts w:ascii="宋体" w:eastAsia="宋体"/>
                <w:sz w:val="18"/>
                <w:szCs w:val="18"/>
              </w:rPr>
            </w:pPr>
          </w:p>
        </w:tc>
        <w:tc>
          <w:tcPr>
            <w:tcW w:w="567" w:type="dxa"/>
            <w:tcBorders>
              <w:tl2br w:val="nil"/>
              <w:tr2bl w:val="nil"/>
            </w:tcBorders>
            <w:vAlign w:val="center"/>
          </w:tcPr>
          <w:p>
            <w:pPr>
              <w:widowControl/>
              <w:adjustRightInd w:val="0"/>
              <w:snapToGrid w:val="0"/>
              <w:jc w:val="center"/>
              <w:rPr>
                <w:rFonts w:ascii="宋体" w:eastAsia="宋体"/>
                <w:sz w:val="18"/>
                <w:szCs w:val="18"/>
              </w:rPr>
            </w:pPr>
          </w:p>
        </w:tc>
        <w:tc>
          <w:tcPr>
            <w:tcW w:w="1234" w:type="dxa"/>
            <w:tcBorders>
              <w:tl2br w:val="nil"/>
              <w:tr2bl w:val="nil"/>
            </w:tcBorders>
            <w:vAlign w:val="center"/>
          </w:tcPr>
          <w:p>
            <w:pPr>
              <w:widowControl/>
              <w:adjustRightInd w:val="0"/>
              <w:snapToGrid w:val="0"/>
              <w:jc w:val="center"/>
              <w:rPr>
                <w:rFonts w:ascii="宋体" w:eastAsia="宋体"/>
                <w:sz w:val="18"/>
                <w:szCs w:val="18"/>
              </w:rPr>
            </w:pPr>
          </w:p>
        </w:tc>
        <w:tc>
          <w:tcPr>
            <w:tcW w:w="1460" w:type="dxa"/>
            <w:tcBorders>
              <w:tl2br w:val="nil"/>
              <w:tr2bl w:val="nil"/>
            </w:tcBorders>
            <w:vAlign w:val="center"/>
          </w:tcPr>
          <w:p>
            <w:pPr>
              <w:widowControl/>
              <w:adjustRightInd w:val="0"/>
              <w:snapToGrid w:val="0"/>
              <w:jc w:val="center"/>
              <w:rPr>
                <w:rFonts w:ascii="宋体" w:eastAsia="宋体"/>
                <w:sz w:val="18"/>
                <w:szCs w:val="18"/>
              </w:rPr>
            </w:pPr>
          </w:p>
        </w:tc>
        <w:tc>
          <w:tcPr>
            <w:tcW w:w="2268" w:type="dxa"/>
            <w:tcBorders>
              <w:tl2br w:val="nil"/>
              <w:tr2bl w:val="nil"/>
            </w:tcBorders>
            <w:vAlign w:val="center"/>
          </w:tcPr>
          <w:p>
            <w:pPr>
              <w:widowControl/>
              <w:adjustRightInd w:val="0"/>
              <w:snapToGrid w:val="0"/>
              <w:jc w:val="center"/>
              <w:rPr>
                <w:rFonts w:ascii="宋体" w:eastAsia="宋体"/>
                <w:sz w:val="18"/>
                <w:szCs w:val="18"/>
              </w:rPr>
            </w:pPr>
          </w:p>
        </w:tc>
      </w:tr>
      <w:tr>
        <w:trPr>
          <w:trHeight w:val="604"/>
        </w:trPr>
        <w:tc>
          <w:tcPr>
            <w:tcW w:w="1120" w:type="dxa"/>
            <w:vMerge/>
            <w:tcBorders>
              <w:tl2br w:val="nil"/>
              <w:tr2bl w:val="nil"/>
            </w:tcBorders>
            <w:vAlign w:val="center"/>
          </w:tcPr>
          <w:p/>
        </w:tc>
        <w:tc>
          <w:tcPr>
            <w:tcW w:w="734" w:type="dxa"/>
            <w:tcBorders>
              <w:tl2br w:val="nil"/>
              <w:tr2bl w:val="nil"/>
            </w:tcBorders>
            <w:vAlign w:val="center"/>
          </w:tcPr>
          <w:p>
            <w:pPr>
              <w:widowControl/>
              <w:adjustRightInd w:val="0"/>
              <w:snapToGrid w:val="0"/>
              <w:jc w:val="center"/>
              <w:rPr>
                <w:rFonts w:ascii="宋体" w:eastAsia="宋体"/>
                <w:sz w:val="18"/>
                <w:szCs w:val="18"/>
              </w:rPr>
            </w:pPr>
            <w:r>
              <w:rPr>
                <w:rFonts w:ascii="宋体" w:eastAsia="宋体" w:hint="eastAsia"/>
                <w:sz w:val="18"/>
                <w:szCs w:val="18"/>
              </w:rPr>
              <w:t>满意度</w:t>
            </w:r>
          </w:p>
        </w:tc>
        <w:tc>
          <w:tcPr>
            <w:tcW w:w="709" w:type="dxa"/>
            <w:tcBorders>
              <w:tl2br w:val="nil"/>
              <w:tr2bl w:val="nil"/>
            </w:tcBorders>
            <w:noWrap/>
            <w:vAlign w:val="center"/>
          </w:tcPr>
          <w:p>
            <w:pPr>
              <w:widowControl/>
              <w:jc w:val="center"/>
              <w:rPr>
                <w:rFonts w:ascii="宋体" w:eastAsia="宋体"/>
                <w:kern w:val="0"/>
                <w:sz w:val="18"/>
                <w:szCs w:val="18"/>
              </w:rPr>
            </w:pPr>
            <w:r>
              <w:rPr>
                <w:rFonts w:ascii="宋体" w:eastAsia="宋体" w:hint="eastAsia"/>
                <w:kern w:val="0"/>
                <w:sz w:val="18"/>
                <w:szCs w:val="18"/>
              </w:rPr>
              <w:t>满意度</w:t>
            </w:r>
          </w:p>
        </w:tc>
        <w:tc>
          <w:tcPr>
            <w:tcW w:w="2268" w:type="dxa"/>
            <w:tcBorders>
              <w:tl2br w:val="nil"/>
              <w:tr2bl w:val="nil"/>
            </w:tcBorders>
            <w:noWrap/>
            <w:vAlign w:val="center"/>
          </w:tcPr>
          <w:p>
            <w:pPr>
              <w:widowControl/>
              <w:jc w:val="center"/>
              <w:rPr>
                <w:rFonts w:ascii="宋体" w:eastAsia="宋体"/>
                <w:kern w:val="0"/>
                <w:sz w:val="18"/>
                <w:szCs w:val="18"/>
              </w:rPr>
            </w:pPr>
            <w:r>
              <w:rPr>
                <w:rFonts w:ascii="宋体" w:eastAsia="宋体" w:hint="eastAsia"/>
                <w:kern w:val="0"/>
                <w:sz w:val="18"/>
                <w:szCs w:val="18"/>
              </w:rPr>
              <w:t>群众访谈及问卷调查</w:t>
            </w:r>
          </w:p>
        </w:tc>
        <w:tc>
          <w:tcPr>
            <w:tcW w:w="1417" w:type="dxa"/>
            <w:tcBorders>
              <w:tl2br w:val="nil"/>
              <w:tr2bl w:val="nil"/>
            </w:tcBorders>
            <w:noWrap/>
            <w:vAlign w:val="center"/>
          </w:tcPr>
          <w:p>
            <w:pPr>
              <w:widowControl/>
              <w:jc w:val="center"/>
              <w:rPr>
                <w:rFonts w:ascii="宋体" w:eastAsia="宋体"/>
                <w:kern w:val="0"/>
                <w:sz w:val="18"/>
                <w:szCs w:val="18"/>
              </w:rPr>
            </w:pPr>
            <w:r>
              <w:rPr>
                <w:rFonts w:ascii="宋体" w:eastAsia="宋体" w:hint="eastAsia"/>
                <w:kern w:val="0"/>
                <w:sz w:val="18"/>
                <w:szCs w:val="18"/>
              </w:rPr>
              <w:t>群众对查办案件结果满意</w:t>
            </w:r>
          </w:p>
        </w:tc>
        <w:tc>
          <w:tcPr>
            <w:tcW w:w="567" w:type="dxa"/>
            <w:tcBorders>
              <w:tl2br w:val="nil"/>
              <w:tr2bl w:val="nil"/>
            </w:tcBorders>
            <w:vAlign w:val="center"/>
          </w:tcPr>
          <w:p>
            <w:pPr>
              <w:widowControl/>
              <w:jc w:val="center"/>
              <w:rPr>
                <w:rFonts w:ascii="宋体" w:eastAsia="宋体"/>
                <w:kern w:val="0"/>
                <w:sz w:val="18"/>
                <w:szCs w:val="18"/>
              </w:rPr>
            </w:pPr>
          </w:p>
        </w:tc>
        <w:tc>
          <w:tcPr>
            <w:tcW w:w="1234" w:type="dxa"/>
            <w:tcBorders>
              <w:tl2br w:val="nil"/>
              <w:tr2bl w:val="nil"/>
            </w:tcBorders>
            <w:vAlign w:val="center"/>
          </w:tcPr>
          <w:p>
            <w:pPr>
              <w:widowControl/>
              <w:jc w:val="center"/>
              <w:rPr>
                <w:rFonts w:ascii="宋体" w:eastAsia="宋体"/>
                <w:kern w:val="0"/>
                <w:sz w:val="18"/>
                <w:szCs w:val="18"/>
              </w:rPr>
            </w:pPr>
          </w:p>
        </w:tc>
        <w:tc>
          <w:tcPr>
            <w:tcW w:w="1460"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满意</w:t>
            </w:r>
          </w:p>
        </w:tc>
        <w:tc>
          <w:tcPr>
            <w:tcW w:w="2268" w:type="dxa"/>
            <w:tcBorders>
              <w:tl2br w:val="nil"/>
              <w:tr2bl w:val="nil"/>
            </w:tcBorders>
            <w:vAlign w:val="center"/>
          </w:tcPr>
          <w:p>
            <w:pPr>
              <w:widowControl/>
              <w:jc w:val="center"/>
              <w:rPr>
                <w:rFonts w:ascii="宋体" w:eastAsia="宋体"/>
                <w:kern w:val="0"/>
                <w:sz w:val="18"/>
                <w:szCs w:val="18"/>
              </w:rPr>
            </w:pPr>
            <w:r>
              <w:rPr>
                <w:rFonts w:ascii="宋体" w:eastAsia="宋体" w:hint="eastAsia"/>
                <w:kern w:val="0"/>
                <w:sz w:val="18"/>
                <w:szCs w:val="18"/>
              </w:rPr>
              <w:t>相关业务费实施方案</w:t>
            </w:r>
          </w:p>
        </w:tc>
      </w:tr>
    </w:tbl>
    <w:p>
      <w:pPr>
        <w:overflowPunct w:val="0"/>
        <w:adjustRightInd w:val="0"/>
        <w:snapToGrid w:val="0"/>
        <w:spacing w:afterLines="50" w:after="156" w:line="580" w:lineRule="exact"/>
        <w:jc w:val="left"/>
        <w:rPr>
          <w:rFonts w:ascii="楷体_GB2312" w:eastAsia="楷体_GB2312" w:cs="Times New Roman"/>
          <w:b/>
          <w:sz w:val="32"/>
          <w:szCs w:val="32"/>
        </w:rPr>
      </w:pPr>
    </w:p>
    <w:p>
      <w:pPr>
        <w:spacing w:line="584" w:lineRule="exact"/>
        <w:rPr>
          <w:rFonts w:ascii="仿宋_GB2312" w:eastAsia="仿宋_GB2312" w:cs="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第二部分 资金绩效目标</w:t>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w:t>
      </w:r>
      <w:r>
        <w:rPr>
          <w:rFonts w:ascii="Times New Roman" w:eastAsia="仿宋_GB2312" w:cs="Times New Roman" w:hAnsi="Times New Roman" w:hint="eastAsia"/>
          <w:sz w:val="28"/>
        </w:rPr>
        <w:t>办案业务费</w:t>
      </w:r>
      <w:r>
        <w:rPr>
          <w:rFonts w:ascii="Times New Roman" w:eastAsia="仿宋_GB2312" w:cs="Times New Roman" w:hAnsi="Times New Roman"/>
          <w:sz w:val="28"/>
        </w:rPr>
        <w:t>绩效目标表</w:t>
      </w:r>
      <w:bookmarkStart w:id="1" w:name="_Toc29799657"/>
      <w:bookmarkEnd w:id="1"/>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36"/>
        <w:gridCol w:w="1836"/>
        <w:gridCol w:w="3703"/>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办案业务费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100万元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2022年组织协调案件查办工作，维护党纪国法，预防及整治腐败现象的发生</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37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7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产出指标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立案数量</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全年立案数量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150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件</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办案业务费方案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办案业务费方案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时效</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2022年11月</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办案业务费方案</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成本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100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办案业务费方案</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社会效益</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良好</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办案业务费方案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rPr>
                <w:rFonts w:ascii="宋体" w:eastAsia="宋体"/>
                <w:kern w:val="0"/>
                <w:sz w:val="18"/>
                <w:szCs w:val="18"/>
              </w:rPr>
            </w:pPr>
            <w:r>
              <w:rPr>
                <w:rFonts w:ascii="宋体" w:eastAsia="宋体" w:hint="eastAsia"/>
                <w:kern w:val="0"/>
                <w:sz w:val="18"/>
                <w:szCs w:val="18"/>
              </w:rPr>
              <w:t>群众访谈及问卷调查</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群众对查办案件结果满意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办案业务费方案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bl>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vanish/>
          <w:sz w:val="28"/>
        </w:rPr>
        <w:t>{ TC 2、办公自动化（OA）和督查督办系统升级及推广费绩效目标表 \f C \l 1 }</w:t>
      </w:r>
    </w:p>
    <w:p>
      <w:pPr>
        <w:spacing w:line="14" w:lineRule="exact"/>
        <w:ind w:firstLineChars="200" w:firstLine="420"/>
        <w:jc w:val="center"/>
        <w:rPr>
          <w:rFonts w:ascii="Times New Roman" w:eastAsia="仿宋_GB2312" w:cs="Times New Roman" w:hAnsi="Times New Roman"/>
        </w:rPr>
      </w:pPr>
    </w:p>
    <w:p>
      <w:pPr>
        <w:ind w:firstLineChars="200" w:firstLine="560"/>
        <w:jc w:val="left"/>
        <w:outlineLvl w:val="1"/>
        <w:rPr>
          <w:rFonts w:ascii="Times New Roman" w:eastAsia="仿宋_GB2312" w:cs="Times New Roman" w:hAnsi="Times New Roman"/>
          <w:sz w:val="28"/>
        </w:rPr>
      </w:pPr>
    </w:p>
    <w:p>
      <w:pPr>
        <w:numPr>
          <w:ilvl w:val="0"/>
          <w:numId w:val="2"/>
        </w:numPr>
        <w:ind w:left="0"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乡镇专项经费</w:t>
      </w:r>
      <w:r>
        <w:rPr>
          <w:rFonts w:ascii="Times New Roman" w:eastAsia="仿宋_GB2312" w:cs="Times New Roman" w:hAnsi="Times New Roman"/>
          <w:sz w:val="28"/>
        </w:rPr>
        <w:t>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36"/>
        <w:gridCol w:w="1836"/>
        <w:gridCol w:w="3703"/>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乡镇专项经费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50万元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加强装备设施建设，加大乡镇反腐力度，减少违反纪律的行为</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37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7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3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产出指标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乡镇办案数量</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乡镇监察次数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cs="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20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次</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乡镇专项</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乡镇专项</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时效</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2022年11月前完成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及时完成</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乡镇专项</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成本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cs="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50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乡镇专项</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社会效益</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良好</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乡镇专项</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群众访谈及问卷调查</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群众对案件查处结果</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乡镇专项</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cs="宋体"/>
                <w:color w:val="000000"/>
                <w:sz w:val="15"/>
                <w:szCs w:val="15"/>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cs="宋体"/>
                <w:color w:val="000000"/>
                <w:sz w:val="15"/>
                <w:szCs w:val="15"/>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cs="宋体"/>
                <w:color w:val="000000"/>
                <w:sz w:val="15"/>
                <w:szCs w:val="15"/>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cs="宋体"/>
                <w:color w:val="000000"/>
                <w:sz w:val="15"/>
                <w:szCs w:val="15"/>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cs="宋体"/>
                <w:color w:val="000000"/>
                <w:sz w:val="15"/>
                <w:szCs w:val="15"/>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cs="宋体"/>
                <w:color w:val="000000"/>
                <w:sz w:val="15"/>
                <w:szCs w:val="15"/>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cs="宋体"/>
                <w:color w:val="000000"/>
                <w:sz w:val="15"/>
                <w:szCs w:val="15"/>
              </w:rPr>
            </w:pPr>
          </w:p>
        </w:tc>
      </w:tr>
    </w:tbl>
    <w:p>
      <w:pPr>
        <w:jc w:val="left"/>
        <w:outlineLvl w:val="1"/>
        <w:rPr>
          <w:rFonts w:ascii="Times New Roman" w:eastAsia="仿宋_GB2312" w:cs="Times New Roman" w:hAnsi="Times New Roman"/>
          <w:sz w:val="28"/>
        </w:rPr>
      </w:pPr>
      <w:r>
        <w:rPr>
          <w:rFonts w:ascii="Times New Roman" w:eastAsia="仿宋_GB2312" w:cs="Times New Roman" w:hAnsi="Times New Roman"/>
          <w:vanish/>
          <w:sz w:val="28"/>
        </w:rPr>
        <w:t>{ TC 2、办公自动化（OA）和督查督办系统升级及推广费绩效目标表 \f C \l 1 }</w:t>
      </w:r>
    </w:p>
    <w:p>
      <w:pPr>
        <w:spacing w:line="14" w:lineRule="exact"/>
        <w:ind w:firstLineChars="200" w:firstLine="420"/>
        <w:jc w:val="center"/>
        <w:rPr>
          <w:rFonts w:ascii="Times New Roman" w:eastAsia="仿宋_GB2312" w:cs="Times New Roman" w:hAnsi="Times New Roman"/>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tabs>
          <w:tab w:val="left" w:pos="312"/>
        </w:tabs>
        <w:ind w:firstLineChars="200" w:firstLine="560"/>
        <w:jc w:val="left"/>
        <w:outlineLvl w:val="1"/>
        <w:rPr>
          <w:rFonts w:ascii="Times New Roman" w:eastAsia="仿宋_GB2312" w:cs="Times New Roman" w:hAnsi="Times New Roman"/>
          <w:sz w:val="28"/>
        </w:rPr>
      </w:pPr>
    </w:p>
    <w:p>
      <w:pPr>
        <w:tabs>
          <w:tab w:val="left" w:pos="312"/>
        </w:tabs>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3．巡察办业务经费</w:t>
      </w:r>
      <w:r>
        <w:rPr>
          <w:rFonts w:ascii="Times New Roman" w:eastAsia="仿宋_GB2312" w:cs="Times New Roman" w:hAnsi="Times New Roman"/>
          <w:sz w:val="28"/>
        </w:rPr>
        <w:t>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36"/>
        <w:gridCol w:w="1836"/>
        <w:gridCol w:w="3703"/>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color w:val="000000"/>
                <w:kern w:val="0"/>
                <w:sz w:val="18"/>
                <w:szCs w:val="18"/>
              </w:rPr>
              <w:t>巡察办业务经费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共产党大城县纪律检查委员会中国</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40万元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2022年加强本县巡察及各县交叉互查力度，贯彻落实县委有关部署，开展常态化全覆盖监督。</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37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7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3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产出指标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巡查次数</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本县自查各县交叉互查次数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4</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次</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巡察办业务方案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巡察办业务方案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时效</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2022年11月前完成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及时完成</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巡察办业务方案</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成本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40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巡察办业务方案</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社会效益</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良好</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巡察办业务方案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群众访谈及问卷调查</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群众对巡察处理结果</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巡察办业务方案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bl>
    <w:p>
      <w:pPr>
        <w:tabs>
          <w:tab w:val="left" w:pos="312"/>
        </w:tabs>
        <w:ind w:left="560"/>
        <w:jc w:val="left"/>
        <w:outlineLvl w:val="1"/>
        <w:rPr>
          <w:rFonts w:ascii="Times New Roman" w:eastAsia="仿宋_GB2312" w:cs="Times New Roman" w:hAnsi="Times New Roman"/>
          <w:sz w:val="28"/>
        </w:rPr>
      </w:pPr>
    </w:p>
    <w:p>
      <w:pPr>
        <w:tabs>
          <w:tab w:val="left" w:pos="312"/>
        </w:tabs>
        <w:ind w:left="560"/>
        <w:jc w:val="left"/>
        <w:outlineLvl w:val="1"/>
        <w:rPr>
          <w:rFonts w:ascii="Times New Roman" w:eastAsia="仿宋_GB2312" w:cs="Times New Roman" w:hAnsi="Times New Roman"/>
          <w:sz w:val="28"/>
        </w:rPr>
      </w:pPr>
    </w:p>
    <w:p>
      <w:pPr>
        <w:tabs>
          <w:tab w:val="left" w:pos="312"/>
        </w:tabs>
        <w:ind w:left="560"/>
        <w:jc w:val="left"/>
        <w:outlineLvl w:val="1"/>
        <w:rPr>
          <w:rFonts w:ascii="Times New Roman" w:eastAsia="仿宋_GB2312" w:cs="Times New Roman" w:hAnsi="Times New Roman"/>
          <w:sz w:val="28"/>
        </w:rPr>
      </w:pPr>
    </w:p>
    <w:p>
      <w:pPr>
        <w:tabs>
          <w:tab w:val="left" w:pos="312"/>
        </w:tabs>
        <w:ind w:left="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4.异地办案经费</w:t>
      </w:r>
      <w:r>
        <w:rPr>
          <w:rFonts w:ascii="Times New Roman" w:eastAsia="仿宋_GB2312" w:cs="Times New Roman" w:hAnsi="Times New Roman"/>
          <w:sz w:val="28"/>
        </w:rPr>
        <w:t>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36"/>
        <w:gridCol w:w="1836"/>
        <w:gridCol w:w="3703"/>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异地办案经费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按照省市纪委查办大案要案要求，2022年查办异地案件</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37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7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3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产出指标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数量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办理大案要案件数</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按照市纪委要求异地办理案件件数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异地办案方案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质量合格率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异地办案方案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时效</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完成业务时间</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2022年11月前完成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及时完成</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异地办案方案</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成本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控制在预算额度内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cs="宋体" w:hint="eastAsia"/>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5</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异地办案方案</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社会效益</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保障工作正常运转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良好</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异地办案方案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群众访谈及问卷调查</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群众对违法违纪查处结果</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满意</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异地办案方案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tabs>
          <w:tab w:val="left" w:pos="312"/>
        </w:tabs>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5.纪检监察内网系统整改经费</w:t>
      </w:r>
      <w:r>
        <w:rPr>
          <w:rFonts w:ascii="Times New Roman" w:eastAsia="仿宋_GB2312" w:cs="Times New Roman" w:hAnsi="Times New Roman"/>
          <w:sz w:val="28"/>
        </w:rPr>
        <w:t>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36"/>
        <w:gridCol w:w="1656"/>
        <w:gridCol w:w="3883"/>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纪检监察内网系统整改经费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25万元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color w:val="000000"/>
                <w:kern w:val="0"/>
                <w:sz w:val="18"/>
                <w:szCs w:val="18"/>
              </w:rPr>
              <w:t>在项目实施计划的时间范围内完成验收及资金支付工作</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38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8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3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产出指标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数量</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内网系统</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监察内网系统</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个</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质量</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合格率</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验收合格率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100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验收报告</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时效</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资金支付及时率</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资金支付及时率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100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成本</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预算控制数</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kern w:val="0"/>
                <w:sz w:val="18"/>
                <w:szCs w:val="18"/>
              </w:rPr>
              <w:t>预算数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sz w:val="18"/>
                <w:szCs w:val="18"/>
              </w:rPr>
              <w:t>25</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年初预算</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社会效益</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sz w:val="18"/>
                <w:szCs w:val="18"/>
              </w:rPr>
              <w:t>保障工作正常运转</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kern w:val="0"/>
                <w:sz w:val="18"/>
                <w:szCs w:val="18"/>
              </w:rPr>
            </w:pPr>
            <w:r>
              <w:rPr>
                <w:rFonts w:ascii="宋体" w:eastAsia="宋体" w:hint="eastAsia"/>
                <w:sz w:val="18"/>
                <w:szCs w:val="18"/>
              </w:rPr>
              <w:t>保障工作正常运转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kern w:val="0"/>
                <w:sz w:val="18"/>
                <w:szCs w:val="18"/>
              </w:rPr>
              <w:t>良好</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rPr>
                <w:rFonts w:ascii="宋体" w:eastAsia="宋体"/>
                <w:color w:val="000000"/>
                <w:kern w:val="0"/>
                <w:sz w:val="18"/>
                <w:szCs w:val="18"/>
              </w:rPr>
            </w:pPr>
            <w:r>
              <w:rPr>
                <w:rFonts w:ascii="宋体" w:eastAsia="宋体" w:hint="eastAsia"/>
                <w:color w:val="000000"/>
                <w:kern w:val="0"/>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满意度</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群众满意度测评</w:t>
            </w: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群众满意度测评</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rPr>
                <w:rFonts w:ascii="宋体" w:eastAsia="宋体"/>
                <w:color w:val="000000"/>
                <w:kern w:val="0"/>
                <w:sz w:val="18"/>
                <w:szCs w:val="18"/>
              </w:rPr>
            </w:pPr>
            <w:r>
              <w:rPr>
                <w:rFonts w:ascii="宋体" w:eastAsia="宋体" w:hint="eastAsia"/>
                <w:color w:val="000000"/>
                <w:kern w:val="0"/>
                <w:sz w:val="18"/>
                <w:szCs w:val="18"/>
              </w:rPr>
              <w:t>随机抽查</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tabs>
          <w:tab w:val="left" w:pos="312"/>
        </w:tabs>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6.</w:t>
      </w:r>
      <w:r>
        <w:rPr>
          <w:rFonts w:hint="eastAsia"/>
        </w:rPr>
        <w:t xml:space="preserve"> </w:t>
      </w:r>
      <w:r>
        <w:rPr>
          <w:rFonts w:ascii="Times New Roman" w:eastAsia="仿宋_GB2312" w:cs="Times New Roman" w:hAnsi="Times New Roman" w:hint="eastAsia"/>
          <w:sz w:val="28"/>
        </w:rPr>
        <w:t>县委巡察机构涉密机房及涉密计算机购置项目</w:t>
      </w:r>
      <w:r>
        <w:rPr>
          <w:rFonts w:ascii="Times New Roman" w:eastAsia="仿宋_GB2312" w:cs="Times New Roman" w:hAnsi="Times New Roman"/>
          <w:sz w:val="28"/>
        </w:rPr>
        <w:t>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22"/>
        <w:gridCol w:w="1116"/>
        <w:gridCol w:w="4437"/>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县委巡察机构涉密机房及涉密计算机购置项目</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100万元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7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color w:val="000000"/>
                <w:kern w:val="0"/>
                <w:sz w:val="18"/>
                <w:szCs w:val="18"/>
              </w:rPr>
              <w:t>通过项目的开展，保障县委巡察机构涉密机房及涉密计算机的购置</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7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44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43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38"/>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jc w:val="center"/>
              <w:textAlignment w:val="center"/>
              <w:rPr>
                <w:rFonts w:ascii="宋体" w:eastAsia="宋体" w:cs="宋体"/>
                <w:b/>
                <w:bCs/>
                <w:color w:val="000000"/>
                <w:kern w:val="0"/>
                <w:sz w:val="18"/>
                <w:szCs w:val="18"/>
              </w:rPr>
            </w:pPr>
            <w:r>
              <w:rPr>
                <w:rFonts w:ascii="宋体" w:eastAsia="宋体" w:cs="宋体" w:hint="eastAsia"/>
                <w:b/>
                <w:bCs/>
                <w:color w:val="000000"/>
                <w:kern w:val="0"/>
                <w:sz w:val="18"/>
                <w:szCs w:val="18"/>
              </w:rPr>
              <w:t>产出指标</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数量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计算机数量</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涉密计算机数量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olor w:val="000000"/>
                <w:kern w:val="0"/>
                <w:sz w:val="18"/>
                <w:szCs w:val="18"/>
              </w:rPr>
            </w:pPr>
            <w:r>
              <w:rPr>
                <w:rFonts w:ascii="宋体" w:eastAsia="宋体"/>
                <w:color w:val="000000"/>
                <w:kern w:val="0"/>
                <w:sz w:val="18"/>
                <w:szCs w:val="18"/>
              </w:rPr>
              <w:t>16</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台</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38"/>
        </w:trPr>
        <w:tc>
          <w:tcPr>
            <w:tcW w:w="1656" w:type="dxa"/>
            <w:vMerge/>
            <w:tcBorders>
              <w:left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数量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密码机数量</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密码机数量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台</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00"/>
        </w:trPr>
        <w:tc>
          <w:tcPr>
            <w:tcW w:w="1656" w:type="dxa"/>
            <w:vMerge/>
            <w:tcBorders>
              <w:left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质量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合格率</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验收合格率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100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验收报告</w:t>
            </w:r>
          </w:p>
        </w:tc>
      </w:tr>
      <w:tr>
        <w:trPr>
          <w:trHeight w:val="300"/>
        </w:trPr>
        <w:tc>
          <w:tcPr>
            <w:tcW w:w="1656" w:type="dxa"/>
            <w:vMerge/>
            <w:tcBorders>
              <w:left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时效</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时间</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采购时间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60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天</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ind w:firstLineChars="100" w:firstLine="180"/>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3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成本</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项目成本</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项目成本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100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项目预算金额</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数量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密码机数量</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密码机数量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台</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满意度</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满意度调查</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职工满意度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随机问答</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tabs>
          <w:tab w:val="left" w:pos="312"/>
        </w:tabs>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hint="eastAsia"/>
          <w:sz w:val="28"/>
        </w:rPr>
        <w:t>7.县委巡察机构办公楼装修项目</w:t>
      </w:r>
      <w:r>
        <w:rPr>
          <w:rFonts w:ascii="Times New Roman" w:eastAsia="仿宋_GB2312" w:cs="Times New Roman" w:hAnsi="Times New Roman"/>
          <w:sz w:val="28"/>
        </w:rPr>
        <w:t>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936"/>
        <w:gridCol w:w="1116"/>
        <w:gridCol w:w="4423"/>
        <w:gridCol w:w="1304"/>
        <w:gridCol w:w="1304"/>
        <w:gridCol w:w="1626"/>
        <w:gridCol w:w="2284"/>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kern w:val="0"/>
                <w:sz w:val="18"/>
                <w:szCs w:val="18"/>
              </w:rPr>
              <w:t>县委巡察机构办公楼装修项目</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中国共产党大城县纪律检查委员会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34.5万元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sz w:val="18"/>
                <w:szCs w:val="18"/>
              </w:rPr>
              <w:t>业务类</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资金支出计划</w:t>
              <w:br/>
              <w:t>（累计支出比例）</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3月底</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6月底</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10月底</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25%</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50%</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sz w:val="18"/>
                <w:szCs w:val="1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color w:val="000000"/>
                <w:sz w:val="18"/>
                <w:szCs w:val="18"/>
              </w:rPr>
            </w:pPr>
            <w:r>
              <w:rPr>
                <w:rFonts w:ascii="宋体" w:eastAsia="宋体" w:cs="宋体" w:hint="eastAsia"/>
                <w:color w:val="000000"/>
                <w:sz w:val="18"/>
                <w:szCs w:val="18"/>
              </w:rPr>
              <w:t>100%</w:t>
            </w:r>
          </w:p>
        </w:tc>
      </w:tr>
      <w:tr>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年度绩效目标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目标1</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r>
              <w:rPr>
                <w:rFonts w:ascii="宋体" w:eastAsia="宋体" w:hint="eastAsia"/>
                <w:color w:val="000000"/>
                <w:kern w:val="0"/>
                <w:sz w:val="18"/>
                <w:szCs w:val="18"/>
              </w:rPr>
              <w:t>对县委巡察机构办公楼整体维修改造，在</w:t>
            </w:r>
            <w:r>
              <w:rPr>
                <w:rFonts w:ascii="宋体" w:eastAsia="宋体"/>
                <w:color w:val="000000"/>
                <w:kern w:val="0"/>
                <w:sz w:val="18"/>
                <w:szCs w:val="18"/>
              </w:rPr>
              <w:t>100%</w:t>
            </w:r>
            <w:r>
              <w:rPr>
                <w:rFonts w:ascii="宋体" w:eastAsia="宋体" w:hint="eastAsia"/>
                <w:color w:val="000000"/>
                <w:kern w:val="0"/>
                <w:sz w:val="18"/>
                <w:szCs w:val="18"/>
              </w:rPr>
              <w:t>合格验收后，确保项目资金不超</w:t>
            </w:r>
            <w:r>
              <w:rPr>
                <w:rFonts w:ascii="宋体" w:eastAsia="宋体"/>
                <w:color w:val="000000"/>
                <w:kern w:val="0"/>
                <w:sz w:val="18"/>
                <w:szCs w:val="18"/>
              </w:rPr>
              <w:t>34.5</w:t>
            </w:r>
            <w:r>
              <w:rPr>
                <w:rFonts w:ascii="宋体" w:eastAsia="宋体" w:hint="eastAsia"/>
                <w:color w:val="000000"/>
                <w:kern w:val="0"/>
                <w:sz w:val="18"/>
                <w:szCs w:val="18"/>
              </w:rPr>
              <w:t>万元，并达职工满意度</w:t>
            </w:r>
            <w:r>
              <w:rPr>
                <w:rFonts w:ascii="宋体" w:eastAsia="宋体"/>
                <w:color w:val="000000"/>
                <w:kern w:val="0"/>
                <w:sz w:val="18"/>
                <w:szCs w:val="18"/>
              </w:rPr>
              <w:t>90%</w:t>
            </w:r>
            <w:r>
              <w:rPr>
                <w:rFonts w:ascii="宋体" w:eastAsia="宋体" w:hint="eastAsia"/>
                <w:color w:val="000000"/>
                <w:kern w:val="0"/>
                <w:sz w:val="18"/>
                <w:szCs w:val="18"/>
              </w:rPr>
              <w:t>以上</w:t>
            </w:r>
          </w:p>
        </w:tc>
      </w:tr>
      <w:tr>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kern w:val="0"/>
                <w:sz w:val="18"/>
                <w:szCs w:val="18"/>
              </w:rPr>
            </w:pPr>
            <w:r>
              <w:rPr>
                <w:rFonts w:ascii="宋体" w:eastAsia="宋体" w:cs="宋体" w:hint="eastAsia"/>
                <w:color w:val="000000"/>
                <w:kern w:val="0"/>
                <w:sz w:val="18"/>
                <w:szCs w:val="18"/>
              </w:rPr>
              <w:t>目标2</w:t>
            </w:r>
          </w:p>
        </w:tc>
        <w:tc>
          <w:tcPr>
            <w:tcW w:w="120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left"/>
              <w:textAlignment w:val="center"/>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一级指标</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二级指标</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三级指标</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绩效指标描述（指标内容）</w:t>
            </w:r>
          </w:p>
        </w:tc>
        <w:tc>
          <w:tcPr>
            <w:tcW w:w="42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指标值</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4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值</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单位（文字描述）</w:t>
            </w: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38"/>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pPr>
              <w:jc w:val="center"/>
              <w:textAlignment w:val="center"/>
              <w:rPr>
                <w:rFonts w:ascii="宋体" w:eastAsia="宋体" w:cs="宋体"/>
                <w:b/>
                <w:bCs/>
                <w:color w:val="000000"/>
                <w:kern w:val="0"/>
                <w:sz w:val="18"/>
                <w:szCs w:val="18"/>
              </w:rPr>
            </w:pPr>
            <w:r>
              <w:rPr>
                <w:rFonts w:ascii="宋体" w:eastAsia="宋体" w:cs="宋体" w:hint="eastAsia"/>
                <w:b/>
                <w:bCs/>
                <w:color w:val="000000"/>
                <w:kern w:val="0"/>
                <w:sz w:val="18"/>
                <w:szCs w:val="18"/>
              </w:rPr>
              <w:t>产出指标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数量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面积</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粉刷面积</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2527</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s="宋体" w:hint="eastAsia"/>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38"/>
        </w:trPr>
        <w:tc>
          <w:tcPr>
            <w:tcW w:w="1656" w:type="dxa"/>
            <w:vMerge/>
            <w:tcBorders>
              <w:left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数量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厕所数量</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改造厕所数量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个</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00"/>
        </w:trPr>
        <w:tc>
          <w:tcPr>
            <w:tcW w:w="1656" w:type="dxa"/>
            <w:vMerge/>
            <w:tcBorders>
              <w:left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质量</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合格率</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验收合格率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100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验收报告</w:t>
            </w:r>
          </w:p>
        </w:tc>
      </w:tr>
      <w:tr>
        <w:trPr>
          <w:trHeight w:val="300"/>
        </w:trPr>
        <w:tc>
          <w:tcPr>
            <w:tcW w:w="1656" w:type="dxa"/>
            <w:vMerge/>
            <w:tcBorders>
              <w:left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时效</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工期</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施工工期</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120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天</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ind w:firstLineChars="100" w:firstLine="180"/>
              <w:jc w:val="center"/>
              <w:rPr>
                <w:rFonts w:ascii="宋体" w:eastAsia="宋体"/>
                <w:color w:val="000000"/>
                <w:kern w:val="0"/>
                <w:sz w:val="18"/>
                <w:szCs w:val="18"/>
              </w:rPr>
            </w:pPr>
            <w:r>
              <w:rPr>
                <w:rFonts w:ascii="宋体" w:eastAsia="宋体" w:hint="eastAsia"/>
                <w:color w:val="000000"/>
                <w:kern w:val="0"/>
                <w:sz w:val="18"/>
                <w:szCs w:val="18"/>
              </w:rPr>
              <w:t>合同规定</w:t>
            </w:r>
          </w:p>
        </w:tc>
      </w:tr>
      <w:tr>
        <w:trPr>
          <w:trHeight w:val="330"/>
        </w:trPr>
        <w:tc>
          <w:tcPr>
            <w:tcW w:w="1656" w:type="dxa"/>
            <w:vMerge/>
            <w:tcBorders>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成本</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项目成本</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项目成本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34.5</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万元</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项目预算金额</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效益指标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社会效益</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受益职工</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受益职工</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16</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人</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单位职工数</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jc w:val="center"/>
              <w:textAlignment w:val="center"/>
              <w:rPr>
                <w:rFonts w:ascii="宋体" w:eastAsia="宋体" w:cs="宋体"/>
                <w:b/>
                <w:bCs/>
                <w:color w:val="000000"/>
                <w:sz w:val="18"/>
                <w:szCs w:val="18"/>
              </w:rPr>
            </w:pPr>
            <w:r>
              <w:rPr>
                <w:rFonts w:ascii="宋体" w:eastAsia="宋体" w:cs="宋体" w:hint="eastAsia"/>
                <w:b/>
                <w:bCs/>
                <w:color w:val="000000"/>
                <w:kern w:val="0"/>
                <w:sz w:val="18"/>
                <w:szCs w:val="18"/>
              </w:rPr>
              <w:t>满意度指标</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满意度</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满意度调查</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职工满意度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90</w:t>
            </w: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color w:val="000000"/>
                <w:kern w:val="0"/>
                <w:sz w:val="18"/>
                <w:szCs w:val="1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olor w:val="000000"/>
                <w:kern w:val="0"/>
                <w:sz w:val="18"/>
                <w:szCs w:val="18"/>
              </w:rPr>
            </w:pPr>
            <w:r>
              <w:rPr>
                <w:rFonts w:ascii="宋体" w:eastAsia="宋体" w:hint="eastAsia"/>
                <w:color w:val="000000"/>
                <w:kern w:val="0"/>
                <w:sz w:val="18"/>
                <w:szCs w:val="18"/>
              </w:rPr>
              <w:t>随机问答</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right"/>
              <w:rPr>
                <w:rFonts w:ascii="宋体" w:eastAsia="宋体" w:cs="宋体"/>
                <w:color w:val="000000"/>
                <w:sz w:val="18"/>
                <w:szCs w:val="18"/>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left"/>
              <w:rPr>
                <w:rFonts w:ascii="宋体" w:eastAsia="宋体" w:cs="宋体"/>
                <w:color w:val="000000"/>
                <w:sz w:val="18"/>
                <w:szCs w:val="18"/>
              </w:rPr>
            </w:pP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六、政府采购预算情况</w:t>
      </w:r>
    </w:p>
    <w:p>
      <w:pPr>
        <w:spacing w:line="584" w:lineRule="exact"/>
        <w:ind w:firstLineChars="200" w:firstLine="640"/>
        <w:outlineLvl w:val="0"/>
        <w:rPr>
          <w:rFonts w:ascii="Times New Roman" w:eastAsia="仿宋_GB2312" w:cs="Times New Roman" w:hAnsi="Times New Roman"/>
          <w:sz w:val="32"/>
          <w:szCs w:val="24"/>
        </w:rPr>
      </w:pPr>
      <w:bookmarkStart w:id="2" w:name="_Toc471398468"/>
      <w:r>
        <w:rPr>
          <w:rFonts w:ascii="Times New Roman" w:eastAsia="仿宋_GB2312" w:cs="Times New Roman" w:hAnsi="Times New Roman"/>
          <w:sz w:val="32"/>
          <w:szCs w:val="24"/>
        </w:rPr>
        <w:t>20</w:t>
      </w:r>
      <w:r>
        <w:rPr>
          <w:rFonts w:ascii="Times New Roman" w:eastAsia="仿宋_GB2312" w:cs="Times New Roman" w:hAnsi="Times New Roman" w:hint="eastAsia"/>
          <w:sz w:val="32"/>
          <w:szCs w:val="24"/>
        </w:rPr>
        <w:t>22</w:t>
      </w:r>
      <w:r>
        <w:rPr>
          <w:rFonts w:ascii="Times New Roman" w:eastAsia="仿宋_GB2312" w:cs="Times New Roman" w:hAnsi="Times New Roman"/>
          <w:sz w:val="32"/>
          <w:szCs w:val="24"/>
        </w:rPr>
        <w:t>年，我部门安排政府采购预算</w:t>
      </w:r>
      <w:r>
        <w:rPr>
          <w:rFonts w:ascii="Times New Roman" w:eastAsia="仿宋_GB2312" w:cs="Times New Roman" w:hAnsi="Times New Roman" w:hint="eastAsia"/>
          <w:sz w:val="32"/>
          <w:szCs w:val="24"/>
        </w:rPr>
        <w:t>0</w:t>
      </w:r>
      <w:r>
        <w:rPr>
          <w:rFonts w:ascii="Times New Roman" w:eastAsia="仿宋_GB2312" w:cs="Times New Roman" w:hAnsi="Times New Roman"/>
          <w:sz w:val="32"/>
          <w:szCs w:val="24"/>
        </w:rPr>
        <w:t>万元。具体内容见下表。</w:t>
      </w:r>
    </w:p>
    <w:p>
      <w:pPr>
        <w:spacing w:line="584" w:lineRule="exact"/>
        <w:jc w:val="left"/>
        <w:outlineLvl w:val="0"/>
        <w:rPr>
          <w:rFonts w:ascii="Times New Roman" w:eastAsia="仿宋_GB2312" w:cs="Times New Roman" w:hAnsi="Times New Roman"/>
        </w:rPr>
      </w:pPr>
      <w:bookmarkEnd w:id="2"/>
    </w:p>
    <w:p>
      <w:pPr>
        <w:jc w:val="center"/>
        <w:outlineLvl w:val="1"/>
        <w:rPr>
          <w:rFonts w:ascii="Times New Roman" w:cs="Times New Roman" w:hAnsi="Times New Roman"/>
          <w:sz w:val="32"/>
        </w:rPr>
      </w:pPr>
      <w:bookmarkStart w:id="3" w:name="_Toc64920910"/>
      <w:r>
        <w:rPr>
          <w:rFonts w:ascii="方正小标宋_GBK" w:eastAsia="方正小标宋_GBK" w:cs="Times New Roman" w:hint="eastAsia"/>
          <w:sz w:val="32"/>
        </w:rPr>
        <w:t>部门政府采购预算</w:t>
      </w:r>
      <w:bookmarkEnd w:id="3"/>
    </w:p>
    <w:tbl>
      <w:tblPr>
        <w:jc w:val="center"/>
        <w:tblW w:w="15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rPr>
          <w:cantSplit/>
          <w:tblHeader/>
        </w:trPr>
        <w:tc>
          <w:tcPr>
            <w:tcW w:w="8703" w:type="dxa"/>
            <w:gridSpan w:val="7"/>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中国共产党大城县纪律检查委员会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rPr>
          <w:cantSplit/>
          <w:tblHead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rPr>
          <w:cantSplit/>
          <w:tblHead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tc>
        <w:tc>
          <w:tcPr>
            <w:tcW w:w="1531" w:type="dxa"/>
            <w:vMerge/>
            <w:shd w:val="clear" w:color="auto" w:fill="auto"/>
            <w:vAlign w:val="center"/>
          </w:tcPr>
          <w:p/>
        </w:tc>
        <w:tc>
          <w:tcPr>
            <w:tcW w:w="709" w:type="dxa"/>
            <w:vMerge/>
            <w:shd w:val="clear" w:color="auto" w:fill="auto"/>
            <w:vAlign w:val="center"/>
          </w:tcPr>
          <w:p/>
        </w:tc>
        <w:tc>
          <w:tcPr>
            <w:tcW w:w="907" w:type="dxa"/>
            <w:vMerge/>
            <w:shd w:val="clear" w:color="auto" w:fill="auto"/>
            <w:vAlign w:val="center"/>
          </w:tcPr>
          <w:p/>
        </w:tc>
        <w:tc>
          <w:tcPr>
            <w:tcW w:w="907" w:type="dxa"/>
            <w:vMerg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rPr>
          <w:cantSplit/>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rPr>
          <w:cantSplit/>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outlineLvl w:val="1"/>
        <w:rPr>
          <w:rFonts w:ascii="仿宋" w:eastAsia="仿宋" w:cs="Times New Roman"/>
          <w:sz w:val="24"/>
          <w:szCs w:val="24"/>
        </w:rPr>
      </w:pPr>
    </w:p>
    <w:p>
      <w:pPr>
        <w:outlineLvl w:val="1"/>
        <w:rPr>
          <w:rFonts w:ascii="仿宋" w:eastAsia="仿宋" w:cs="Times New Roman" w:hint="eastAsia"/>
          <w:sz w:val="24"/>
          <w:szCs w:val="24"/>
        </w:rPr>
        <w:sectPr>
          <w:footerReference w:type="default" r:id="rId2"/>
          <w:pgSz w:w="16839" w:h="11907" w:orient="landscape"/>
          <w:pgMar w:top="1361" w:right="1020" w:bottom="1361" w:left="1020" w:header="851" w:footer="992" w:gutter="0"/>
          <w:docGrid w:type="lines" w:linePitch="312" w:charSpace="0"/>
        </w:sectPr>
      </w:pPr>
      <w:r>
        <w:rPr>
          <w:rFonts w:ascii="仿宋" w:eastAsia="仿宋" w:cs="Times New Roman" w:hint="eastAsia"/>
          <w:sz w:val="24"/>
          <w:szCs w:val="24"/>
        </w:rPr>
        <w:t>注：无部门政府采购预算，空表列示</w:t>
      </w: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七、国有资产信息</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我部门</w:t>
      </w:r>
      <w:r>
        <w:rPr>
          <w:rFonts w:ascii="Times New Roman" w:eastAsia="仿宋_GB2312" w:cs="Times New Roman" w:hAnsi="Times New Roman"/>
          <w:sz w:val="32"/>
          <w:szCs w:val="32"/>
        </w:rPr>
        <w:t>（含所属单位）上年末固定资产金额为</w:t>
      </w:r>
      <w:r>
        <w:rPr>
          <w:rFonts w:ascii="Times New Roman" w:eastAsia="仿宋_GB2312" w:cs="Times New Roman" w:hAnsi="Times New Roman" w:hint="eastAsia"/>
          <w:sz w:val="32"/>
          <w:szCs w:val="32"/>
        </w:rPr>
        <w:t>848.10</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（详见下表）</w:t>
      </w:r>
      <w:r>
        <w:rPr>
          <w:rFonts w:ascii="Times New Roman" w:eastAsia="仿宋_GB2312" w:cs="Times New Roman" w:hAnsi="Times New Roman"/>
          <w:sz w:val="32"/>
          <w:szCs w:val="32"/>
        </w:rPr>
        <w:t>，本年度我部门拟购置固定资产</w:t>
      </w:r>
      <w:r>
        <w:rPr>
          <w:rFonts w:ascii="Times New Roman" w:eastAsia="仿宋_GB2312" w:cs="Times New Roman" w:hAnsi="Times New Roman" w:hint="eastAsia"/>
          <w:sz w:val="32"/>
          <w:szCs w:val="32"/>
        </w:rPr>
        <w:t>总额为0万元</w:t>
      </w:r>
      <w:r>
        <w:rPr>
          <w:rFonts w:ascii="Times New Roman" w:eastAsia="仿宋_GB2312" w:cs="Times New Roman" w:hAnsi="Times New Roman"/>
          <w:sz w:val="32"/>
          <w:szCs w:val="32"/>
        </w:rPr>
        <w:t>。</w:t>
      </w:r>
    </w:p>
    <w:p>
      <w:pPr>
        <w:spacing w:line="584" w:lineRule="exact"/>
        <w:ind w:firstLine="640"/>
        <w:rPr>
          <w:rFonts w:ascii="Times New Roman" w:eastAsia="仿宋_GB2312" w:cs="Times New Roman" w:hAnsi="Times New Roman"/>
          <w:sz w:val="32"/>
          <w:szCs w:val="32"/>
        </w:rPr>
      </w:pPr>
    </w:p>
    <w:tbl>
      <w:tblPr>
        <w:jc w:val="left"/>
        <w:tblInd w:w="93" w:type="dxa"/>
        <w:tblW w:w="1332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eastAsia="仿宋_GB2312" w:cs="Times New Roman" w:hAnsi="Times New Roman"/>
                <w:b/>
                <w:bCs/>
                <w:kern w:val="0"/>
                <w:sz w:val="32"/>
                <w:szCs w:val="32"/>
              </w:rPr>
            </w:pPr>
            <w:r>
              <w:rPr>
                <w:rFonts w:ascii="Times New Roman" w:eastAsia="仿宋_GB2312" w:cs="Times New Roman" w:hAnsi="Times New Roman" w:hint="eastAsia"/>
                <w:b/>
                <w:bCs/>
                <w:kern w:val="0"/>
                <w:sz w:val="32"/>
                <w:szCs w:val="32"/>
              </w:rPr>
              <w:t>中国共产党大城县纪律检查委员会部</w:t>
            </w:r>
            <w:r>
              <w:rPr>
                <w:rFonts w:ascii="Times New Roman" w:eastAsia="仿宋_GB2312" w:cs="Times New Roman" w:hAnsi="Times New Roman"/>
                <w:b/>
                <w:bCs/>
                <w:kern w:val="0"/>
                <w:sz w:val="32"/>
                <w:szCs w:val="32"/>
              </w:rPr>
              <w:t>门固定资产占用情况表</w:t>
            </w:r>
          </w:p>
        </w:tc>
      </w:tr>
      <w:tr>
        <w:trPr>
          <w:trHeight w:val="510"/>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编制部门：</w:t>
            </w:r>
            <w:r>
              <w:rPr>
                <w:rFonts w:ascii="Times New Roman" w:eastAsia="仿宋_GB2312" w:cs="Times New Roman" w:hAnsi="Times New Roman" w:hint="eastAsia"/>
                <w:kern w:val="0"/>
                <w:sz w:val="22"/>
              </w:rPr>
              <w:t>中国共产党大城县纪律检查委员会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截止时间：20</w:t>
            </w:r>
            <w:r>
              <w:rPr>
                <w:rFonts w:ascii="Times New Roman" w:eastAsia="仿宋_GB2312" w:cs="Times New Roman" w:hAnsi="Times New Roman" w:hint="eastAsia"/>
                <w:kern w:val="0"/>
                <w:sz w:val="22"/>
              </w:rPr>
              <w:t>21</w:t>
            </w:r>
            <w:r>
              <w:rPr>
                <w:rFonts w:ascii="Times New Roman" w:eastAsia="仿宋_GB2312" w:cs="Times New Roman" w:hAnsi="Times New Roman"/>
                <w:kern w:val="0"/>
                <w:sz w:val="22"/>
              </w:rPr>
              <w:t xml:space="preserve">年12月31日  </w:t>
            </w:r>
          </w:p>
        </w:tc>
      </w:tr>
      <w:tr>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价值（金额单位：万元）</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848.10</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2342</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559</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2000</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540</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7</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85.79</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711</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hint="eastAsia"/>
                <w:sz w:val="22"/>
              </w:rPr>
              <w:t>203.31</w:t>
            </w: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八、名词解释</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1、一般公共预算拨款收入：</w:t>
      </w:r>
      <w:r>
        <w:rPr>
          <w:rFonts w:ascii="Times New Roman" w:eastAsia="仿宋_GB2312" w:cs="Times New Roman" w:hAnsi="Times New Roman"/>
          <w:sz w:val="32"/>
          <w:szCs w:val="32"/>
        </w:rPr>
        <w:t>指</w:t>
      </w:r>
      <w:r>
        <w:rPr>
          <w:rFonts w:ascii="Times New Roman" w:eastAsia="仿宋_GB2312" w:cs="Times New Roman" w:hAnsi="Times New Roman" w:hint="eastAsia"/>
          <w:sz w:val="32"/>
          <w:szCs w:val="32"/>
        </w:rPr>
        <w:t>县</w:t>
      </w:r>
      <w:r>
        <w:rPr>
          <w:rFonts w:ascii="Times New Roman" w:eastAsia="仿宋_GB2312" w:cs="Times New Roman" w:hAnsi="Times New Roman"/>
          <w:sz w:val="32"/>
          <w:szCs w:val="32"/>
        </w:rPr>
        <w:t>级财政当年拨付的资金。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2、事业收入：</w:t>
      </w:r>
      <w:r>
        <w:rPr>
          <w:rFonts w:ascii="Times New Roman" w:eastAsia="仿宋_GB2312" w:cs="Times New Roman" w:hAnsi="Times New Roman"/>
          <w:sz w:val="32"/>
          <w:szCs w:val="32"/>
        </w:rPr>
        <w:t>指事业单位开展专业业务活动及辅助活动所取得的收入。</w:t>
      </w:r>
    </w:p>
    <w:p>
      <w:pPr>
        <w:tabs>
          <w:tab w:val="left" w:pos="11490"/>
        </w:tabs>
        <w:spacing w:line="584" w:lineRule="exact"/>
        <w:ind w:firstLineChars="200"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3、其他收入：</w:t>
      </w:r>
      <w:r>
        <w:rPr>
          <w:rFonts w:ascii="Times New Roman" w:eastAsia="仿宋_GB2312" w:cs="Times New Roman" w:hAnsi="Times New Roman"/>
          <w:sz w:val="32"/>
          <w:szCs w:val="32"/>
        </w:rPr>
        <w:t>指除“一般公共预算拨款收入”、“事业收入”等以外的收入。主要是按规定动用的租房收入、存款利息收入等。</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4、基本支出：</w:t>
      </w:r>
      <w:r>
        <w:rPr>
          <w:rFonts w:ascii="Times New Roman" w:eastAsia="仿宋_GB2312" w:cs="Times New Roman" w:hAnsi="Times New Roman"/>
          <w:sz w:val="32"/>
          <w:szCs w:val="32"/>
        </w:rPr>
        <w:t>指为保障机构正常运转、完成日常工作任务而发生的人员支出和公用支出。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5、项目支出：</w:t>
      </w:r>
      <w:r>
        <w:rPr>
          <w:rFonts w:ascii="Times New Roman" w:eastAsia="仿宋_GB2312" w:cs="Times New Roman" w:hAnsi="Times New Roman"/>
          <w:sz w:val="32"/>
          <w:szCs w:val="32"/>
        </w:rPr>
        <w:t>指在基本支出之外为完成特定行政任务和事业发展目标所发生的支出。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6、上缴上级支出：</w:t>
      </w:r>
      <w:r>
        <w:rPr>
          <w:rFonts w:ascii="Times New Roman" w:eastAsia="仿宋_GB2312" w:cs="Times New Roman" w:hAnsi="Times New Roman"/>
          <w:sz w:val="32"/>
          <w:szCs w:val="32"/>
        </w:rPr>
        <w:t>指下级单位上缴上级的支出。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7、“三公”经费：</w:t>
      </w:r>
      <w:r>
        <w:rPr>
          <w:rFonts w:ascii="Times New Roman" w:eastAsia="仿宋_GB2312" w:cs="Times New Roman" w:hAnsi="Times New Roman"/>
          <w:sz w:val="32"/>
          <w:szCs w:val="32"/>
        </w:rPr>
        <w:t>纳入</w:t>
      </w:r>
      <w:r>
        <w:rPr>
          <w:rFonts w:ascii="Times New Roman" w:eastAsia="仿宋_GB2312" w:cs="Times New Roman" w:hAnsi="Times New Roman" w:hint="eastAsia"/>
          <w:sz w:val="32"/>
          <w:szCs w:val="32"/>
        </w:rPr>
        <w:t>县</w:t>
      </w:r>
      <w:r>
        <w:rPr>
          <w:rFonts w:ascii="Times New Roman" w:eastAsia="仿宋_GB2312" w:cs="Times New Roman" w:hAnsi="Times New Roman"/>
          <w:sz w:val="32"/>
          <w:szCs w:val="32"/>
        </w:rPr>
        <w:t>级财政预算管理的“三公”经费，是指</w:t>
      </w:r>
      <w:r>
        <w:rPr>
          <w:rFonts w:ascii="Times New Roman" w:eastAsia="仿宋_GB2312" w:cs="Times New Roman" w:hAnsi="Times New Roman" w:hint="eastAsia"/>
          <w:sz w:val="32"/>
          <w:szCs w:val="32"/>
        </w:rPr>
        <w:t>县</w:t>
      </w:r>
      <w:r>
        <w:rPr>
          <w:rFonts w:ascii="Times New Roman" w:eastAsia="仿宋_GB2312" w:cs="Times New Roman" w:hAnsi="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8、机关运行费：</w:t>
      </w:r>
      <w:r>
        <w:rPr>
          <w:rFonts w:ascii="Times New Roman" w:eastAsia="仿宋_GB2312" w:cs="Times New Roman" w:hAnsi="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9、上年结转：</w:t>
      </w:r>
      <w:r>
        <w:rPr>
          <w:rFonts w:ascii="Times New Roman" w:eastAsia="仿宋_GB2312" w:cs="Times New Roman" w:hAnsi="Times New Roman"/>
          <w:sz w:val="32"/>
          <w:szCs w:val="32"/>
        </w:rPr>
        <w:t>指以前年度尚未完成、结转到本年仍按原规定用途继续使用的资金。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10、事业单位经营支出：</w:t>
      </w:r>
      <w:r>
        <w:rPr>
          <w:rFonts w:ascii="Times New Roman" w:eastAsia="仿宋_GB2312" w:cs="Times New Roman" w:hAnsi="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九、其他需要说明的事项</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我部门无其他需要说明的事项。</w:t>
      </w:r>
    </w:p>
    <w:sectPr>
      <w:pgSz w:w="16838" w:h="11906" w:orient="landscape"/>
      <w:pgMar w:top="1800" w:right="1440" w:bottom="1800" w:left="144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0" w:usb1="00000000" w:usb2="00000000" w:usb3="00000000" w:csb0="00040000" w:csb1="00000000"/>
  </w:font>
  <w:font w:name="楷体">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方正书宋_GBK">
    <w:altName w:val="微软雅黑"/>
    <w:panose1 w:val="00000000000000000000"/>
    <w:charset w:val="86"/>
    <w:family w:val="auto"/>
    <w:pitch w:val="variable"/>
    <w:sig w:usb0="00000001" w:usb1="080E0000" w:usb2="00000010" w:usb3="00000000" w:csb0="00040000" w:csb1="00000000"/>
  </w:font>
  <w:font w:name="仿宋">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pPr>
    <w:r>
      <w:rPr>
        <w:rFonts w:hint="eastAsia"/>
      </w:rPr>
      <w:t>-</w:t>
    </w:r>
    <w:r>
      <w:fldChar w:fldCharType="begin"/>
    </w:r>
    <w:r>
      <w:instrText>PAGE   \* MERGEFORMAT</w:instrText>
    </w:r>
    <w:r>
      <w:fldChar w:fldCharType="separate"/>
    </w:r>
    <w:r>
      <w:rPr>
        <w:lang w:val="zh-CN"/>
      </w:rPr>
      <w:t>16</w:t>
    </w:r>
    <w:r>
      <w:rPr>
        <w:lang w:val="zh-CN"/>
      </w:rPr>
      <w:fldChar w:fldCharType="end"/>
    </w:r>
    <w:r>
      <w:rPr>
        <w:rFonts w:hint="eastAsia"/>
      </w:rPr>
      <w:t>-</w:t>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EA97FD6"/>
    <w:multiLevelType w:val="singleLevel"/>
    <w:tmpl w:val="3EA97FD6"/>
    <w:lvl w:ilvl="0">
      <w:start w:val="4"/>
      <w:numFmt w:val="chineseCounting"/>
      <w:lvlRestart w:val="0"/>
      <w:suff w:val="nothing"/>
      <w:lvlText w:val="（%1）"/>
      <w:lvlJc w:val="left"/>
      <w:pPr>
        <w:ind w:left="0" w:hanging="0"/>
      </w:pPr>
      <w:rPr>
        <w:rFonts w:hint="eastAsia"/>
      </w:rPr>
    </w:lvl>
  </w:abstractNum>
  <w:abstractNum w:abstractNumId="1">
    <w:nsid w:val="ED7631FF"/>
    <w:multiLevelType w:val="singleLevel"/>
    <w:tmpl w:val="ED7631FF"/>
    <w:lvl w:ilvl="0">
      <w:start w:val="2"/>
      <w:numFmt w:val="decimal"/>
      <w:lvlRestart w:val="0"/>
      <w:lvlText w:val="%1."/>
      <w:lvlJc w:val="left"/>
      <w:pPr>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8">
    <w:name w:val="toc 1"/>
    <w:basedOn w:val="0"/>
    <w:next w:val="0"/>
    <w:rPr>
      <w:rFonts w:ascii="Times New Roman" w:cs="Times New Roman" w:hAnsi="Times New Roman"/>
      <w:szCs w:val="24"/>
    </w:rPr>
  </w:style>
  <w:style w:type="paragraph" w:styleId="19">
    <w:name w:val="footnote text"/>
    <w:basedOn w:val="0"/>
    <w:pPr>
      <w:snapToGrid w:val="0"/>
      <w:jc w:val="left"/>
    </w:pPr>
    <w:rPr>
      <w:rFonts w:cs="Times New Roman"/>
      <w:sz w:val="18"/>
      <w:szCs w:val="18"/>
    </w:rPr>
  </w:style>
  <w:style w:type="paragraph" w:styleId="20">
    <w:name w:val="toc 2"/>
    <w:basedOn w:val="0"/>
    <w:next w:val="0"/>
    <w:pPr>
      <w:ind w:leftChars="200" w:left="200"/>
    </w:pPr>
    <w:rPr>
      <w:rFonts w:ascii="Times New Roman" w:cs="Times New Roman" w:hAnsi="Times New Roman"/>
      <w:szCs w:val="24"/>
    </w:rPr>
  </w:style>
  <w:style w:type="character" w:styleId="21">
    <w:name w:val="footnote reference"/>
    <w:rPr>
      <w:vertAlign w:val="superscript"/>
    </w:rPr>
  </w:style>
  <w:style w:type="paragraph" w:customStyle="1" w:styleId="22">
    <w:name w:val="Default"/>
    <w:pPr>
      <w:widowControl w:val="0"/>
      <w:autoSpaceDE w:val="0"/>
      <w:autoSpaceDN w:val="0"/>
      <w:adjustRightInd w:val="0"/>
    </w:pPr>
    <w:rPr>
      <w:rFonts w:ascii="Times New Roman" w:eastAsia="宋体" w:cs="Times New Roman" w:hAnsi="Times New Roman"/>
      <w:color w:val="000000"/>
      <w:sz w:val="24"/>
      <w:szCs w:val="24"/>
      <w:lang w:val="en-US" w:eastAsia="zh-CN" w:bidi="ar-SA"/>
    </w:rPr>
  </w:style>
  <w:style w:type="paragraph" w:styleId="23">
    <w:name w:val="List Paragraph"/>
    <w:basedOn w:val="0"/>
    <w:pPr>
      <w:ind w:firstLineChars="200" w:firstLine="200"/>
    </w:pPr>
    <w:rPr>
      <w:rFonts w:ascii="Calibri" w:eastAsia="宋体" w:cs="Arial" w:hAnsi="Calibr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47</TotalTime>
  <Application>Yozo_Office27021597764231179</Application>
  <Pages>20</Pages>
  <Words>7159</Words>
  <Characters>7478</Characters>
  <Lines>1217</Lines>
  <Paragraphs>715</Paragraphs>
  <CharactersWithSpaces>7513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FJ</cp:lastModifiedBy>
  <cp:revision>13</cp:revision>
  <cp:lastPrinted>2022-04-01T08:29:00Z</cp:lastPrinted>
  <dcterms:created xsi:type="dcterms:W3CDTF">2022-04-01T02:53:00Z</dcterms:created>
  <dcterms:modified xsi:type="dcterms:W3CDTF">2022-09-02T03:54:57Z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2052-11.1.0.10938</vt:lpwstr>
  </property>
  <property fmtid="{D5CDD505-2E9C-101B-9397-08002B2CF9AE}" pid="3" name="ICV">
    <vt:lpwstr>E8F324BF07EC42B0B2159CBB4BE17433</vt:lpwstr>
  </property>
</Properties>
</file>