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大城县权村镇人民政府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大城县权村镇人民政府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权村</w:t>
      </w:r>
      <w:r>
        <w:rPr>
          <w:rFonts w:hint="eastAsia" w:ascii="仿宋_GB2312" w:hAnsi="仿宋_GB2312" w:eastAsia="仿宋_GB2312" w:cs="仿宋_GB2312"/>
          <w:sz w:val="32"/>
          <w:szCs w:val="32"/>
        </w:rPr>
        <w:t>镇党委、人大、政府主要职责：</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做好人才服务工作。</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w:t>
      </w:r>
      <w:r>
        <w:rPr>
          <w:rFonts w:hint="eastAsia" w:ascii="仿宋_GB2312" w:hAnsi="仿宋_GB2312" w:eastAsia="仿宋_GB2312" w:cs="仿宋_GB2312"/>
          <w:sz w:val="32"/>
          <w:szCs w:val="32"/>
          <w:lang w:val="en-US" w:eastAsia="zh-CN"/>
        </w:rPr>
        <w:t>婚姻</w:t>
      </w:r>
      <w:r>
        <w:rPr>
          <w:rFonts w:hint="eastAsia" w:ascii="仿宋_GB2312" w:hAnsi="仿宋_GB2312" w:eastAsia="仿宋_GB2312" w:cs="仿宋_GB2312"/>
          <w:sz w:val="32"/>
          <w:szCs w:val="32"/>
        </w:rPr>
        <w:t>自由等各项权利。</w:t>
      </w:r>
    </w:p>
    <w:p>
      <w:pPr>
        <w:widowControl w:val="0"/>
        <w:adjustRightInd/>
        <w:snapToGrid/>
        <w:spacing w:line="560" w:lineRule="exact"/>
        <w:ind w:left="0" w:leftChars="0" w:right="0" w:firstLine="640" w:firstLineChars="200"/>
        <w:jc w:val="both"/>
        <w:textAlignment w:val="auto"/>
        <w:outlineLvl w:val="9"/>
        <w:rPr>
          <w:rFonts w:ascii="Times New Roman" w:hAnsi="Times New Roman" w:eastAsia="楷体_GB2312" w:cs="Times New Roman"/>
          <w:b/>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2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35"/>
        <w:gridCol w:w="1785"/>
        <w:gridCol w:w="1830"/>
        <w:gridCol w:w="4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035" w:type="dxa"/>
            <w:vMerge w:val="restart"/>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单位名称</w:t>
            </w:r>
          </w:p>
        </w:tc>
        <w:tc>
          <w:tcPr>
            <w:tcW w:w="1785" w:type="dxa"/>
            <w:vMerge w:val="restart"/>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单位性质</w:t>
            </w:r>
          </w:p>
        </w:tc>
        <w:tc>
          <w:tcPr>
            <w:tcW w:w="1830" w:type="dxa"/>
            <w:vMerge w:val="restart"/>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单位规格</w:t>
            </w:r>
          </w:p>
        </w:tc>
        <w:tc>
          <w:tcPr>
            <w:tcW w:w="4089" w:type="dxa"/>
            <w:vMerge w:val="restart"/>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035" w:type="dxa"/>
            <w:vMerge w:val="continue"/>
            <w:vAlign w:val="center"/>
          </w:tcPr>
          <w:p>
            <w:pPr>
              <w:rPr>
                <w:sz w:val="21"/>
                <w:szCs w:val="22"/>
              </w:rPr>
            </w:pPr>
          </w:p>
        </w:tc>
        <w:tc>
          <w:tcPr>
            <w:tcW w:w="1785" w:type="dxa"/>
            <w:vMerge w:val="continue"/>
            <w:vAlign w:val="center"/>
          </w:tcPr>
          <w:p>
            <w:pPr>
              <w:rPr>
                <w:sz w:val="21"/>
                <w:szCs w:val="22"/>
              </w:rPr>
            </w:pPr>
          </w:p>
        </w:tc>
        <w:tc>
          <w:tcPr>
            <w:tcW w:w="1830" w:type="dxa"/>
            <w:vMerge w:val="continue"/>
            <w:vAlign w:val="center"/>
          </w:tcPr>
          <w:p>
            <w:pPr>
              <w:rPr>
                <w:sz w:val="21"/>
                <w:szCs w:val="22"/>
              </w:rPr>
            </w:pPr>
          </w:p>
        </w:tc>
        <w:tc>
          <w:tcPr>
            <w:tcW w:w="4089" w:type="dxa"/>
            <w:vMerge w:val="continue"/>
            <w:vAlign w:val="center"/>
          </w:tcPr>
          <w:p>
            <w:pPr>
              <w:rPr>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035" w:type="dxa"/>
            <w:vAlign w:val="center"/>
          </w:tcPr>
          <w:p>
            <w:pPr>
              <w:spacing w:line="584" w:lineRule="exact"/>
              <w:jc w:val="center"/>
              <w:rPr>
                <w:rFonts w:hint="eastAsia" w:ascii="Times New Roman" w:hAnsi="Times New Roman" w:eastAsia="仿宋_GB2312" w:cs="Times New Roman"/>
                <w:b w:val="0"/>
                <w:bCs w:val="0"/>
                <w:sz w:val="20"/>
                <w:szCs w:val="21"/>
                <w:lang w:eastAsia="zh-CN"/>
              </w:rPr>
            </w:pPr>
            <w:r>
              <w:rPr>
                <w:rFonts w:hint="eastAsia" w:ascii="楷体_GB2312" w:hAnsi="楷体_GB2312" w:eastAsia="楷体_GB2312" w:cs="楷体_GB2312"/>
                <w:b w:val="0"/>
                <w:bCs w:val="0"/>
                <w:sz w:val="28"/>
                <w:szCs w:val="28"/>
                <w:lang w:eastAsia="zh-CN"/>
              </w:rPr>
              <w:t>大城县权村镇人民政府（本级）</w:t>
            </w:r>
          </w:p>
        </w:tc>
        <w:tc>
          <w:tcPr>
            <w:tcW w:w="1785" w:type="dxa"/>
            <w:vAlign w:val="center"/>
          </w:tcPr>
          <w:p>
            <w:pPr>
              <w:spacing w:line="584" w:lineRule="exact"/>
              <w:jc w:val="center"/>
              <w:rPr>
                <w:rFonts w:hint="eastAsia" w:ascii="Times New Roman" w:hAnsi="Times New Roman" w:eastAsia="仿宋_GB2312" w:cs="Times New Roman"/>
                <w:b w:val="0"/>
                <w:bCs/>
                <w:sz w:val="28"/>
                <w:szCs w:val="32"/>
                <w:lang w:eastAsia="zh-CN"/>
              </w:rPr>
            </w:pPr>
            <w:r>
              <w:rPr>
                <w:rFonts w:hint="eastAsia" w:ascii="Times New Roman" w:hAnsi="Times New Roman" w:eastAsia="仿宋_GB2312" w:cs="Times New Roman"/>
                <w:b w:val="0"/>
                <w:bCs/>
                <w:sz w:val="28"/>
                <w:szCs w:val="32"/>
                <w:lang w:eastAsia="zh-CN"/>
              </w:rPr>
              <w:t>行政</w:t>
            </w:r>
          </w:p>
        </w:tc>
        <w:tc>
          <w:tcPr>
            <w:tcW w:w="1830" w:type="dxa"/>
            <w:vAlign w:val="center"/>
          </w:tcPr>
          <w:p>
            <w:pPr>
              <w:spacing w:line="584" w:lineRule="exact"/>
              <w:jc w:val="center"/>
              <w:rPr>
                <w:rFonts w:hint="eastAsia" w:ascii="Times New Roman" w:hAnsi="Times New Roman" w:eastAsia="仿宋_GB2312" w:cs="Times New Roman"/>
                <w:b w:val="0"/>
                <w:bCs/>
                <w:sz w:val="28"/>
                <w:szCs w:val="32"/>
                <w:lang w:eastAsia="zh-CN"/>
              </w:rPr>
            </w:pPr>
            <w:r>
              <w:rPr>
                <w:rFonts w:hint="eastAsia" w:ascii="Times New Roman" w:hAnsi="Times New Roman" w:eastAsia="仿宋_GB2312" w:cs="Times New Roman"/>
                <w:b w:val="0"/>
                <w:bCs/>
                <w:sz w:val="28"/>
                <w:szCs w:val="32"/>
                <w:lang w:eastAsia="zh-CN"/>
              </w:rPr>
              <w:t>正科级</w:t>
            </w:r>
          </w:p>
        </w:tc>
        <w:tc>
          <w:tcPr>
            <w:tcW w:w="4089" w:type="dxa"/>
            <w:vAlign w:val="center"/>
          </w:tcPr>
          <w:p>
            <w:pPr>
              <w:spacing w:line="584" w:lineRule="exact"/>
              <w:jc w:val="center"/>
              <w:rPr>
                <w:rFonts w:ascii="Times New Roman" w:hAnsi="Times New Roman" w:eastAsia="仿宋_GB2312" w:cs="Times New Roman"/>
                <w:b/>
                <w:color w:val="auto"/>
                <w:sz w:val="21"/>
                <w:szCs w:val="22"/>
              </w:rPr>
            </w:pPr>
            <w:r>
              <w:rPr>
                <w:rFonts w:ascii="Times New Roman" w:hAnsi="Times New Roman" w:eastAsia="仿宋" w:cs="Times New Roman"/>
                <w:color w:val="auto"/>
                <w:sz w:val="32"/>
                <w:szCs w:val="32"/>
              </w:rPr>
              <w:t>财政拨款（行政）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权村镇人民政府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1110.15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1069.14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1110.15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1006.54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885.35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121.19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103.61</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农村环境治理、安监、环保</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1110.15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lang w:eastAsia="zh-CN"/>
        </w:rPr>
        <w:t>少</w:t>
      </w:r>
      <w:r>
        <w:rPr>
          <w:rFonts w:hint="eastAsia" w:ascii="Times New Roman" w:hAnsi="Times New Roman" w:eastAsia="仿宋_GB2312" w:cs="Times New Roman"/>
          <w:sz w:val="32"/>
          <w:szCs w:val="32"/>
          <w:highlight w:val="none"/>
          <w:lang w:val="en-US" w:eastAsia="zh-CN"/>
        </w:rPr>
        <w:t>192.01</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18.49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210.05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三砖厂大坑治理、信访维稳</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121.19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ascii="Times New Roman" w:hAnsi="Times New Roman" w:eastAsia="仿宋_GB2312" w:cs="Times New Roman"/>
          <w:sz w:val="32"/>
          <w:szCs w:val="32"/>
          <w:highlight w:val="none"/>
        </w:rPr>
        <w:t>，公务用车运维费减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2021年持平</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lang w:eastAsia="zh-CN"/>
        </w:rPr>
        <w:t>无增减变化</w:t>
      </w:r>
      <w:r>
        <w:rPr>
          <w:rFonts w:ascii="Times New Roman" w:hAnsi="Times New Roman" w:eastAsia="仿宋_GB2312" w:cs="Times New Roman"/>
          <w:color w:val="auto"/>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2022年，是</w:t>
      </w:r>
      <w:r>
        <w:rPr>
          <w:rFonts w:hint="eastAsia" w:ascii="Times New Roman" w:hAnsi="Times New Roman" w:eastAsia="仿宋_GB2312" w:cs="Times New Roman"/>
          <w:kern w:val="2"/>
          <w:sz w:val="32"/>
          <w:szCs w:val="32"/>
          <w:lang w:val="en-US" w:eastAsia="zh-CN" w:bidi="ar-SA"/>
        </w:rPr>
        <w:t>党的二十大</w:t>
      </w:r>
      <w:r>
        <w:rPr>
          <w:rFonts w:ascii="Times New Roman" w:hAnsi="Times New Roman" w:eastAsia="仿宋_GB2312" w:cs="Times New Roman"/>
          <w:kern w:val="2"/>
          <w:sz w:val="32"/>
          <w:szCs w:val="32"/>
          <w:lang w:val="en-US" w:eastAsia="zh-CN" w:bidi="ar-SA"/>
        </w:rPr>
        <w:t>之年，是</w:t>
      </w:r>
      <w:r>
        <w:rPr>
          <w:rFonts w:hint="eastAsia" w:ascii="Times New Roman" w:hAnsi="Times New Roman" w:eastAsia="仿宋_GB2312" w:cs="Times New Roman"/>
          <w:kern w:val="2"/>
          <w:sz w:val="32"/>
          <w:szCs w:val="32"/>
          <w:lang w:val="en-US" w:eastAsia="zh-CN" w:bidi="ar-SA"/>
        </w:rPr>
        <w:t>贯彻省第十次党代会精神的开局之年</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也是落实市第十一次党代会决策部署，推动经济总量过万亿、实现弯道超车的支撑之年、关键之年</w:t>
      </w:r>
      <w:r>
        <w:rPr>
          <w:rFonts w:ascii="Times New Roman" w:hAnsi="Times New Roman" w:eastAsia="仿宋_GB2312" w:cs="Times New Roman"/>
          <w:kern w:val="2"/>
          <w:sz w:val="32"/>
          <w:szCs w:val="32"/>
          <w:lang w:val="en-US" w:eastAsia="zh-CN" w:bidi="ar-SA"/>
        </w:rPr>
        <w:t>。权村镇将全面贯彻党的十九大和十九届二中、三中、四中全会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tabs>
          <w:tab w:val="left" w:pos="6792"/>
        </w:tabs>
        <w:spacing w:line="584" w:lineRule="exact"/>
        <w:ind w:firstLine="643" w:firstLineChars="200"/>
        <w:rPr>
          <w:rFonts w:hint="eastAsia" w:ascii="楷体_GB2312" w:eastAsia="楷体_GB2312" w:cs="Times New Roman"/>
          <w:b/>
          <w:color w:val="auto"/>
          <w:sz w:val="32"/>
          <w:szCs w:val="32"/>
          <w:lang w:eastAsia="zh-CN"/>
        </w:rPr>
      </w:pPr>
      <w:r>
        <w:rPr>
          <w:rFonts w:hint="eastAsia" w:ascii="楷体_GB2312" w:eastAsia="楷体_GB2312" w:cs="Times New Roman"/>
          <w:b/>
          <w:sz w:val="32"/>
          <w:szCs w:val="32"/>
        </w:rPr>
        <w:t>（二）分项绩效目标</w:t>
      </w:r>
      <w:r>
        <w:rPr>
          <w:rFonts w:hint="eastAsia" w:ascii="楷体_GB2312" w:eastAsia="楷体_GB2312" w:cs="Times New Roman"/>
          <w:b/>
          <w:sz w:val="32"/>
          <w:szCs w:val="32"/>
          <w:lang w:eastAsia="zh-CN"/>
        </w:rPr>
        <w:tab/>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08"/>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lang w:eastAsia="zh-CN"/>
        </w:rPr>
        <w:t>通过开展安全生产工作，发现安全隐患，减少事故发生。</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0" w:firstLine="640"/>
        <w:rPr>
          <w:rFonts w:hint="eastAsia" w:ascii="仿宋" w:hAnsi="仿宋" w:eastAsia="仿宋" w:cs="仿宋"/>
          <w:b w:val="0"/>
          <w:color w:val="000000"/>
          <w:sz w:val="32"/>
          <w:szCs w:val="32"/>
          <w:lang w:eastAsia="zh-CN"/>
        </w:rPr>
      </w:pPr>
      <w:r>
        <w:rPr>
          <w:rFonts w:hint="eastAsia" w:ascii="仿宋" w:hAnsi="仿宋" w:eastAsia="仿宋" w:cs="仿宋"/>
          <w:sz w:val="32"/>
          <w:szCs w:val="32"/>
          <w:lang w:eastAsia="zh-CN"/>
        </w:rPr>
        <w:t>绩效目标：</w:t>
      </w:r>
      <w:r>
        <w:rPr>
          <w:rFonts w:hint="eastAsia" w:ascii="仿宋" w:hAnsi="仿宋" w:eastAsia="仿宋" w:cs="仿宋"/>
          <w:b w:val="0"/>
          <w:sz w:val="32"/>
          <w:szCs w:val="32"/>
          <w:lang w:eastAsia="zh-CN"/>
        </w:rPr>
        <w:t xml:space="preserve"> </w:t>
      </w:r>
      <w:r>
        <w:rPr>
          <w:rFonts w:hint="eastAsia" w:ascii="仿宋" w:hAnsi="仿宋" w:eastAsia="仿宋" w:cs="仿宋"/>
          <w:b w:val="0"/>
          <w:color w:val="000000"/>
          <w:sz w:val="32"/>
          <w:szCs w:val="32"/>
          <w:lang w:eastAsia="zh-CN"/>
        </w:rPr>
        <w:t>通过开展安全生产巡查、宣传等工作，及时处理安全生产事故，提高辖区内企业安全生产意识，实现创造一个安全生产生活环境的目标。</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0" w:firstLine="640"/>
        <w:rPr>
          <w:rFonts w:hint="eastAsia" w:ascii="仿宋" w:hAnsi="仿宋" w:eastAsia="仿宋" w:cs="仿宋"/>
          <w:b w:val="0"/>
          <w:sz w:val="32"/>
          <w:szCs w:val="32"/>
          <w:lang w:eastAsia="zh-CN"/>
        </w:rPr>
      </w:pPr>
      <w:r>
        <w:rPr>
          <w:rFonts w:hint="eastAsia" w:ascii="仿宋" w:hAnsi="仿宋" w:eastAsia="仿宋" w:cs="仿宋"/>
          <w:sz w:val="32"/>
          <w:szCs w:val="32"/>
          <w:lang w:eastAsia="zh-CN"/>
        </w:rPr>
        <w:t>绩效指标：</w:t>
      </w:r>
      <w:r>
        <w:rPr>
          <w:rFonts w:hint="eastAsia" w:ascii="仿宋" w:hAnsi="仿宋" w:eastAsia="仿宋" w:cs="仿宋"/>
          <w:b w:val="0"/>
          <w:sz w:val="32"/>
          <w:szCs w:val="32"/>
          <w:lang w:eastAsia="zh-CN"/>
        </w:rPr>
        <w:t>通过开展安全生产巡查，每年不低于48次，及时发现处理安全生产隐患，使事故处理及时率达到95%以上；开展宣传法律法规工作，提高辖区内企业安全生产意识，实现健全安监制度，隐患整改率不低于95%，创造一个安全生产生活环境的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lang w:eastAsia="zh-CN"/>
        </w:rPr>
        <w:t>通过开展农村环境治理工作，提升农村居民生活质量。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color w:val="000000"/>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color w:val="000000"/>
          <w:sz w:val="32"/>
          <w:szCs w:val="32"/>
          <w:lang w:eastAsia="zh-CN"/>
        </w:rPr>
        <w:t>通过项目的开展使我镇垃圾及时有效处理，环境质量达到明显改善，建立农村环境整治长效管理机制，实现群众得到满意效果目标。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通过对我镇22个村街进行摸底排查，开展农村环境整治工作，使我镇垃圾及时有效处理，发现一处，整理一处，不留死角，实现我镇环境质量明显改善，建立农村环境整治长效管理机制，打造绿色宜居乡村。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通过开展妇联工作，加强妇联基层组织建设。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360" w:lineRule="auto"/>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通过举办相关妇联培训及评选活动，确保镇区内妇女之家建设数量不低于10个，提升妇联工作水平，加强后备干部建设，推动我镇妇女工作和妇女事业的更好发展。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4、</w:t>
      </w:r>
      <w:r>
        <w:rPr>
          <w:rFonts w:hint="eastAsia" w:ascii="仿宋" w:hAnsi="仿宋" w:eastAsia="仿宋" w:cs="仿宋"/>
          <w:b/>
          <w:sz w:val="32"/>
          <w:szCs w:val="32"/>
          <w:lang w:eastAsia="zh-CN"/>
        </w:rPr>
        <w:t>通过开展环保工作，实现环保形势稳步提升。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5、</w:t>
      </w:r>
      <w:r>
        <w:rPr>
          <w:rFonts w:hint="eastAsia" w:ascii="仿宋" w:hAnsi="仿宋" w:eastAsia="仿宋" w:cs="仿宋"/>
          <w:b/>
          <w:sz w:val="32"/>
          <w:szCs w:val="32"/>
          <w:lang w:eastAsia="zh-CN"/>
        </w:rPr>
        <w:t>通过开展基层党建带团建工作，带动团组织建设。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6、</w:t>
      </w:r>
      <w:r>
        <w:rPr>
          <w:rFonts w:hint="eastAsia" w:ascii="仿宋" w:hAnsi="仿宋" w:eastAsia="仿宋" w:cs="仿宋"/>
          <w:b/>
          <w:sz w:val="32"/>
          <w:szCs w:val="32"/>
          <w:lang w:eastAsia="zh-CN"/>
        </w:rPr>
        <w:t>通过开展贫困户帮扶工作，提高贫困户生活质量。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通过实施建档立卡贫困户帮扶项目，改善贫困户在日常生活，解决实际困难，最终实现贫困户不愁吃、不愁穿、保障子女义务教育、基本医疗、保障住房目标。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对18户建档立卡贫困户及时有效发放慰问资金，全年慰问金金额不低于2000元，建立长效机制，使贫困户生活质量有效提高，实现贫困户家庭收入有效增长，使贫困户对政府扶贫工作达到满意，提升贫困户家庭幸福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7、</w:t>
      </w:r>
      <w:r>
        <w:rPr>
          <w:rFonts w:hint="eastAsia" w:ascii="仿宋" w:hAnsi="仿宋" w:eastAsia="仿宋" w:cs="仿宋"/>
          <w:b/>
          <w:sz w:val="32"/>
          <w:szCs w:val="32"/>
          <w:lang w:eastAsia="zh-CN"/>
        </w:rPr>
        <w:t>通过开展退役军人服务工作，切实维护退役军人合法利益。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切实维护好退役军人合法权益，成立退役军人服务站，保证机构、人员、经费，切实把广大退役军人工作和生活保障好，激励他们为改革发展和社会稳定作出积极贡献。</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通过开展坑塘污水治理，提高人民健康水平</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color w:val="000000"/>
          <w:sz w:val="32"/>
          <w:szCs w:val="32"/>
          <w:lang w:eastAsia="zh-CN"/>
        </w:rPr>
        <w:t>通过对三砖厂坑塘和烟村干渠污水的治理，达到（GB8978-1996）中一级标准，改善当地环境，提高人民健康水平，最终保障社会可持续发展。</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color w:val="000000"/>
          <w:sz w:val="32"/>
          <w:szCs w:val="32"/>
          <w:lang w:eastAsia="zh-CN"/>
        </w:rPr>
        <w:t>通过项目的开展完成68万m³坑塘污水的治理，实现水生态环境明显改善，提高人民健康水平。</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9、</w:t>
      </w:r>
      <w:r>
        <w:rPr>
          <w:rFonts w:hint="eastAsia" w:ascii="仿宋" w:hAnsi="仿宋" w:eastAsia="仿宋" w:cs="仿宋"/>
          <w:b/>
          <w:sz w:val="32"/>
          <w:szCs w:val="32"/>
          <w:lang w:eastAsia="zh-CN"/>
        </w:rPr>
        <w:t>通过开展荣庆污水处理厂维护，</w:t>
      </w:r>
      <w:r>
        <w:rPr>
          <w:rFonts w:hint="eastAsia" w:ascii="仿宋" w:hAnsi="仿宋" w:eastAsia="仿宋" w:cs="仿宋"/>
          <w:b/>
          <w:color w:val="000000"/>
          <w:sz w:val="32"/>
          <w:szCs w:val="32"/>
          <w:lang w:eastAsia="zh-CN"/>
        </w:rPr>
        <w:t>达到污水处理厂设备正常运转。</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color w:val="000000"/>
          <w:sz w:val="32"/>
          <w:szCs w:val="32"/>
          <w:lang w:eastAsia="zh-CN"/>
        </w:rPr>
        <w:t>通过项目的开展使我镇垃圾及时有效处理，环境质量达到明显改善，建立农村环境整治长效管理机制，实现群众得到满意效果目标。</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color w:val="000000"/>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color w:val="000000"/>
          <w:sz w:val="32"/>
          <w:szCs w:val="32"/>
          <w:lang w:eastAsia="zh-CN"/>
        </w:rPr>
        <w:t>通过对荣庆污水处理厂的日常管理及维护，每季度不低于4次对设备进行维护，使污水处理厂设备能够正常运转，提升生态环境。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10、</w:t>
      </w:r>
      <w:r>
        <w:rPr>
          <w:rFonts w:hint="eastAsia" w:ascii="仿宋" w:hAnsi="仿宋" w:eastAsia="仿宋" w:cs="仿宋"/>
          <w:b/>
          <w:sz w:val="32"/>
          <w:szCs w:val="32"/>
          <w:lang w:eastAsia="zh-CN"/>
        </w:rPr>
        <w:t>通过创建人大代表联络站，方便代表联系群众，拉近代表与群众的距离，提升辖区社会稳定水平。</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通过联系辖区内的人民代表大会代表、组织代表开展活动，使人大工作正常运行, 为群众解决了大量最关心、最直接、最现实的问题的同时，进一步拉近了人大代表和群众之间的距离，有效促进了基层社会的和谐稳定。</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通过按期举办代表接待日活动和代表小组活动，人达代表参与率达到90%，选民覆盖率100%，提高人民满意度。</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11、</w:t>
      </w:r>
      <w:r>
        <w:rPr>
          <w:rFonts w:hint="eastAsia" w:ascii="仿宋" w:hAnsi="仿宋" w:eastAsia="仿宋" w:cs="仿宋"/>
          <w:b/>
          <w:sz w:val="32"/>
          <w:szCs w:val="32"/>
          <w:lang w:eastAsia="zh-CN"/>
        </w:rPr>
        <w:t>通过开展乡镇武装部武装工作，进一步扎实推进镇村武装工作，全面提升基层武装工作建设水平。</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通过组织开展国防教育，增强适龄青年依法参加民兵预备役部队组织、履行国防义务的自觉性。规范民兵整组，调整和改进民兵组织建设。有序做好兵役登记，扎实抓好年度征兵工作重点抓好征兵工作。加强村级民兵连营部规范化建设，严格抓好民兵军事训练，全面提高应急迎战能力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bCs/>
          <w:sz w:val="32"/>
          <w:szCs w:val="32"/>
          <w:lang w:eastAsia="zh-CN"/>
        </w:rPr>
        <w:t>绩效指标：</w:t>
      </w:r>
      <w:r>
        <w:rPr>
          <w:rFonts w:hint="eastAsia" w:ascii="仿宋" w:hAnsi="仿宋" w:eastAsia="仿宋" w:cs="仿宋"/>
          <w:sz w:val="32"/>
          <w:szCs w:val="32"/>
          <w:lang w:eastAsia="zh-CN"/>
        </w:rPr>
        <w:t>通过开展乡镇武装部武装工作，确保民兵训练人数，在规定时间内完成符合上级部门训练要求的训练工作。提高国防宣传、征兵工作知晓率。</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12.</w:t>
      </w:r>
      <w:r>
        <w:rPr>
          <w:rFonts w:hint="eastAsia" w:ascii="仿宋" w:hAnsi="仿宋" w:eastAsia="仿宋" w:cs="仿宋"/>
          <w:b/>
          <w:sz w:val="32"/>
          <w:szCs w:val="32"/>
          <w:lang w:eastAsia="zh-CN"/>
        </w:rPr>
        <w:t>通过开展文化站免费开放工作</w:t>
      </w:r>
      <w:r>
        <w:rPr>
          <w:rFonts w:hint="eastAsia" w:ascii="仿宋" w:hAnsi="仿宋" w:eastAsia="仿宋" w:cs="仿宋"/>
          <w:b/>
          <w:sz w:val="32"/>
          <w:szCs w:val="32"/>
          <w:lang w:val="en-US" w:eastAsia="zh-CN"/>
        </w:rPr>
        <w:t>促进群众文化事业发展，面向公众提供各类科普文化知识，提高群众基本文化素质</w:t>
      </w:r>
      <w:r>
        <w:rPr>
          <w:rFonts w:hint="eastAsia" w:ascii="仿宋" w:hAnsi="仿宋" w:eastAsia="仿宋" w:cs="仿宋"/>
          <w:b/>
          <w:sz w:val="32"/>
          <w:szCs w:val="32"/>
          <w:lang w:eastAsia="zh-CN"/>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lang w:val="en-US" w:eastAsia="zh-CN"/>
        </w:rPr>
      </w:pPr>
      <w:r>
        <w:rPr>
          <w:rFonts w:hint="eastAsia" w:ascii="仿宋" w:hAnsi="仿宋" w:eastAsia="仿宋" w:cs="仿宋"/>
          <w:b/>
          <w:sz w:val="32"/>
          <w:szCs w:val="32"/>
          <w:lang w:eastAsia="zh-CN"/>
        </w:rPr>
        <w:t>绩效目标：</w:t>
      </w:r>
      <w:r>
        <w:rPr>
          <w:rFonts w:hint="eastAsia" w:ascii="仿宋" w:hAnsi="仿宋" w:eastAsia="仿宋" w:cs="仿宋"/>
          <w:b w:val="0"/>
          <w:bCs/>
          <w:sz w:val="32"/>
          <w:szCs w:val="32"/>
          <w:lang w:eastAsia="zh-CN"/>
        </w:rPr>
        <w:t>通过开展文化站免费开放工作</w:t>
      </w:r>
      <w:r>
        <w:rPr>
          <w:rFonts w:hint="eastAsia" w:ascii="仿宋_GB2312" w:hAnsi="仿宋_GB2312" w:eastAsia="仿宋_GB2312" w:cs="仿宋_GB2312"/>
          <w:sz w:val="32"/>
          <w:szCs w:val="32"/>
          <w:lang w:eastAsia="zh-CN"/>
        </w:rPr>
        <w:t>一是开展</w:t>
      </w:r>
      <w:r>
        <w:rPr>
          <w:rFonts w:hint="eastAsia" w:ascii="仿宋_GB2312" w:hAnsi="仿宋_GB2312" w:eastAsia="仿宋_GB2312" w:cs="仿宋_GB2312"/>
          <w:sz w:val="32"/>
          <w:szCs w:val="32"/>
          <w:lang w:val="en-US" w:eastAsia="zh-CN"/>
        </w:rPr>
        <w:t>文化站组织公益性群众文化活动，举办公益性讲座和展览宣传；二是面向公众提供各类科普文化知识，丰富群众生活，提高群众基本文化素质，促进群众文化事业发展</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绩效指标：</w:t>
      </w:r>
      <w:r>
        <w:rPr>
          <w:rFonts w:hint="eastAsia" w:ascii="仿宋" w:hAnsi="仿宋" w:eastAsia="仿宋" w:cs="仿宋"/>
          <w:sz w:val="32"/>
          <w:szCs w:val="32"/>
          <w:lang w:eastAsia="zh-CN"/>
        </w:rPr>
        <w:t>通过开展文化站免费开放工作</w:t>
      </w:r>
      <w:r>
        <w:rPr>
          <w:rFonts w:hint="eastAsia" w:ascii="仿宋_GB2312" w:hAnsi="仿宋_GB2312" w:eastAsia="仿宋_GB2312" w:cs="仿宋_GB2312"/>
          <w:sz w:val="32"/>
          <w:szCs w:val="32"/>
          <w:lang w:eastAsia="zh-CN"/>
        </w:rPr>
        <w:t>下一步改进措施拓宽活动宣传渠道，创新丰富文化活动形式，群众参与率达到</w:t>
      </w:r>
      <w:r>
        <w:rPr>
          <w:rFonts w:hint="eastAsia" w:ascii="仿宋_GB2312" w:hAnsi="仿宋_GB2312" w:eastAsia="仿宋_GB2312" w:cs="仿宋_GB2312"/>
          <w:sz w:val="32"/>
          <w:szCs w:val="32"/>
          <w:lang w:val="en-US" w:eastAsia="zh-CN"/>
        </w:rPr>
        <w:t>95%以上，</w:t>
      </w:r>
      <w:r>
        <w:rPr>
          <w:rFonts w:hint="eastAsia" w:ascii="仿宋_GB2312" w:hAnsi="仿宋_GB2312" w:eastAsia="仿宋_GB2312" w:cs="仿宋_GB2312"/>
          <w:sz w:val="32"/>
          <w:szCs w:val="32"/>
          <w:lang w:eastAsia="zh-CN"/>
        </w:rPr>
        <w:t>激发公众参与的积极性。</w:t>
      </w:r>
    </w:p>
    <w:p>
      <w:pPr>
        <w:spacing w:line="584" w:lineRule="exact"/>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（三）工作保障措施</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完善制度建设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制定完善预算绩效管理制度、资金管理办法、工作保障制度等，为全年预算绩效目标的实现奠定制度基础。</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加强支出管理</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通过优化支出结构、编细编实预算、加快履行政府采购手续、尽快启动项目、及时支付资金、6月底前细化代编预算、按规定及时下达资金等多种措施，确保支出进度达标。</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加强绩效运行监控</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按要求开展绩效运行监控，发现问题及时采取措施，确保绩效目标如期保质实现。</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做好绩效自评</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按要求开展上年度部门预算绩效自评和重点评价工作，对评价中发现的问题及时整改，调整优化支出结构， 提高财政资金使用效益。</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规范财务资产管理</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完善财务管理制度，严格审批程序，加强固定资产登记、使用和报废处置管理，做到支出合理，物尽其用。</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6、</w:t>
      </w:r>
      <w:r>
        <w:rPr>
          <w:rFonts w:hint="eastAsia" w:ascii="仿宋" w:hAnsi="仿宋" w:eastAsia="仿宋" w:cs="仿宋"/>
          <w:b/>
          <w:sz w:val="32"/>
          <w:szCs w:val="32"/>
        </w:rPr>
        <w:t>加强内部监督</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leftChars="200" w:firstLine="321" w:firstLineChars="100"/>
        <w:rPr>
          <w:rFonts w:hint="eastAsia" w:ascii="仿宋" w:hAnsi="仿宋" w:eastAsia="仿宋" w:cs="仿宋"/>
          <w:b/>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加强宣传培训调研等</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rPr>
          <w:rFonts w:hint="eastAsia" w:ascii="仿宋" w:hAnsi="仿宋" w:eastAsia="仿宋" w:cs="仿宋"/>
          <w:color w:val="000000"/>
          <w:sz w:val="32"/>
          <w:szCs w:val="32"/>
        </w:rPr>
      </w:pP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rPr>
          <w:rFonts w:hint="eastAsia" w:ascii="仿宋" w:hAnsi="仿宋" w:eastAsia="仿宋" w:cs="仿宋"/>
          <w:color w:val="000000"/>
          <w:sz w:val="32"/>
          <w:szCs w:val="32"/>
        </w:rPr>
      </w:pP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rPr>
          <w:rFonts w:hint="eastAsia" w:ascii="仿宋" w:hAnsi="仿宋" w:eastAsia="仿宋" w:cs="仿宋"/>
          <w:color w:val="000000"/>
          <w:sz w:val="32"/>
          <w:szCs w:val="32"/>
        </w:rPr>
      </w:pP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rPr>
          <w:rFonts w:hint="eastAsia" w:ascii="仿宋" w:hAnsi="仿宋" w:eastAsia="仿宋" w:cs="仿宋"/>
          <w:color w:val="000000"/>
          <w:sz w:val="32"/>
          <w:szCs w:val="32"/>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13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35"/>
        <w:gridCol w:w="1234"/>
        <w:gridCol w:w="1400"/>
        <w:gridCol w:w="2309"/>
        <w:gridCol w:w="2475"/>
        <w:gridCol w:w="1020"/>
        <w:gridCol w:w="825"/>
        <w:gridCol w:w="1365"/>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6" w:hRule="atLeast"/>
          <w:tblHeader/>
          <w:jc w:val="center"/>
        </w:trPr>
        <w:tc>
          <w:tcPr>
            <w:tcW w:w="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30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4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21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5" w:hRule="atLeast"/>
          <w:tblHeader/>
          <w:jc w:val="center"/>
        </w:trPr>
        <w:tc>
          <w:tcPr>
            <w:tcW w:w="835" w:type="dxa"/>
            <w:vMerge w:val="continue"/>
            <w:tcBorders>
              <w:tl2br w:val="nil"/>
              <w:tr2bl w:val="nil"/>
            </w:tcBorders>
            <w:vAlign w:val="center"/>
          </w:tcPr>
          <w:p/>
        </w:tc>
        <w:tc>
          <w:tcPr>
            <w:tcW w:w="1234" w:type="dxa"/>
            <w:vMerge w:val="continue"/>
            <w:tcBorders>
              <w:tl2br w:val="nil"/>
              <w:tr2bl w:val="nil"/>
            </w:tcBorders>
            <w:vAlign w:val="center"/>
          </w:tcPr>
          <w:p/>
        </w:tc>
        <w:tc>
          <w:tcPr>
            <w:tcW w:w="1400" w:type="dxa"/>
            <w:vMerge w:val="continue"/>
            <w:tcBorders>
              <w:tl2br w:val="nil"/>
              <w:tr2bl w:val="nil"/>
            </w:tcBorders>
            <w:vAlign w:val="center"/>
          </w:tcPr>
          <w:p/>
        </w:tc>
        <w:tc>
          <w:tcPr>
            <w:tcW w:w="2309" w:type="dxa"/>
            <w:vMerge w:val="continue"/>
            <w:tcBorders>
              <w:tl2br w:val="nil"/>
              <w:tr2bl w:val="nil"/>
            </w:tcBorders>
            <w:vAlign w:val="center"/>
          </w:tcPr>
          <w:p/>
        </w:tc>
        <w:tc>
          <w:tcPr>
            <w:tcW w:w="2475" w:type="dxa"/>
            <w:vMerge w:val="continue"/>
            <w:tcBorders>
              <w:tl2br w:val="nil"/>
              <w:tr2bl w:val="nil"/>
            </w:tcBorders>
            <w:vAlign w:val="center"/>
          </w:tcPr>
          <w:p/>
        </w:tc>
        <w:tc>
          <w:tcPr>
            <w:tcW w:w="10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2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2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0" w:hRule="atLeast"/>
          <w:jc w:val="center"/>
        </w:trPr>
        <w:tc>
          <w:tcPr>
            <w:tcW w:w="835"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人员经费发放</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按单位职工人数发放</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人员经费保障人数包括在职人数及离退休人数</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按照单位实际存在人数发放</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按单位职工实际人数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经费发放的精准性</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人员工资精准发放</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工资福利等发放人员范围的精准性</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100</w:t>
            </w: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按照实际情况精准发放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质量</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保障各项日常办公需要</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100</w:t>
            </w: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7"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项目经费保障及时性</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按项目进度及时拨付项目资金</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项目经费拨付的及时性</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按项目进度及时拨付资金</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预算资金成本控制</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合理安排预算资金支出</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按照预算安排，合理安排资金支付</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100</w:t>
            </w: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万元</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合理安排预算资金支出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社会稳定水平</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政府工作对于社会稳定的影响</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加强工作人员归属感</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通过按时按标准发放工资福利，增强人员的归属感</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通过按时按标准发放工资福利，增强人员的归属感</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增强干部职工归属感</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增强干部职工归属感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镇区生态环境显著提升</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有利于镇区生态环境显著提升</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镇区生态环境改善提升</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显著提升</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有利于镇区生态环境显著提升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群众满意度</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提高社会公众对政府工作的满意度</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社会公众对政府工作的满意度</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90</w:t>
            </w: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提高社会公众对政府工作的满意度</w:t>
            </w:r>
          </w:p>
        </w:tc>
      </w:tr>
    </w:tbl>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安监经费</w:t>
      </w:r>
      <w:r>
        <w:rPr>
          <w:rFonts w:ascii="Times New Roman" w:hAnsi="Times New Roman" w:eastAsia="仿宋_GB2312" w:cs="Times New Roman"/>
          <w:sz w:val="28"/>
        </w:rPr>
        <w:t>绩效目标表</w:t>
      </w:r>
      <w:bookmarkStart w:id="0" w:name="_Toc29799657"/>
      <w:bookmarkEnd w:id="0"/>
    </w:p>
    <w:tbl>
      <w:tblPr>
        <w:tblStyle w:val="9"/>
        <w:tblW w:w="145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44"/>
        <w:gridCol w:w="1665"/>
        <w:gridCol w:w="3555"/>
        <w:gridCol w:w="1357"/>
        <w:gridCol w:w="1062"/>
        <w:gridCol w:w="1871"/>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66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13102522P00899410001M</w:t>
            </w:r>
            <w:r>
              <w:rPr>
                <w:rFonts w:hint="eastAsia" w:ascii="宋体" w:hAnsi="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2022年安监经费</w:t>
            </w:r>
          </w:p>
        </w:tc>
        <w:tc>
          <w:tcPr>
            <w:tcW w:w="24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7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664"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750"/>
              </w:tabs>
              <w:jc w:val="both"/>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大城县权村镇人民政府</w:t>
            </w:r>
            <w:r>
              <w:rPr>
                <w:rFonts w:hint="eastAsia" w:ascii="宋体" w:hAnsi="宋体" w:eastAsia="宋体" w:cs="宋体"/>
                <w:i w:val="0"/>
                <w:iCs w:val="0"/>
                <w:color w:val="000000"/>
                <w:sz w:val="18"/>
                <w:szCs w:val="18"/>
                <w:u w:val="none"/>
              </w:rPr>
              <w:t>本级</w:t>
            </w:r>
          </w:p>
        </w:tc>
        <w:tc>
          <w:tcPr>
            <w:tcW w:w="24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7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84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lang w:eastAsia="zh-CN"/>
              </w:rPr>
            </w:pPr>
            <w:r>
              <w:rPr>
                <w:rFonts w:hint="eastAsia"/>
                <w:sz w:val="18"/>
                <w:szCs w:val="20"/>
              </w:rPr>
              <w:t>每年都安排安监项目资金，对辖区内企业进行安全生产巡查，进行食品药品安全巡查、宣传安全生产及日常生活中的应注意的安全问题，及时处理发生的安全事故，保证辖区内安全生产及日常生活的安全。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p>
        </w:tc>
        <w:tc>
          <w:tcPr>
            <w:tcW w:w="4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0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安监办通过巡查及时处理镇区存在的安全生产隐患，年度巡查次数不少48次，实现镇区内企业安全生产意识、安全生产验收达标率、</w:t>
            </w:r>
          </w:p>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安全隐患整改率的提高,达到主管部门整体要求，项目经费控制在10万元，建立安全监管长效工作机制，创造一个安全生产生活环境。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巡查次数</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反映年度巡查次数</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48</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次</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安全生产标准达标率</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反映达标的安全生产企业的比率</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100</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事故处理及时率</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反映事故处理及时率</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100</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预算控制数</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预算控制总量不超过预算金额</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10</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万元</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生产经营单位安全隐患整改率</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已整改隐患占执法发现隐患总数的比率</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95</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长期影响性</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反映企业安全生产行为是否长期改善</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改善</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回头看工作考核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群众满意度</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反映群众满意度</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90</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实际调查</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妇联基层组织建设经费</w:t>
      </w:r>
      <w:r>
        <w:rPr>
          <w:rFonts w:ascii="Times New Roman" w:hAnsi="Times New Roman" w:eastAsia="仿宋_GB2312" w:cs="Times New Roman"/>
          <w:sz w:val="28"/>
        </w:rPr>
        <w:t>绩效目标表</w:t>
      </w:r>
    </w:p>
    <w:tbl>
      <w:tblPr>
        <w:tblStyle w:val="9"/>
        <w:tblW w:w="1459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44"/>
        <w:gridCol w:w="1695"/>
        <w:gridCol w:w="3740"/>
        <w:gridCol w:w="1150"/>
        <w:gridCol w:w="1065"/>
        <w:gridCol w:w="189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13102522P00899710001N</w:t>
            </w:r>
            <w:r>
              <w:rPr>
                <w:rFonts w:hint="eastAsia" w:ascii="宋体" w:hAnsi="宋体" w:cs="宋体"/>
                <w:i w:val="0"/>
                <w:iCs w:val="0"/>
                <w:color w:val="000000"/>
                <w:sz w:val="18"/>
                <w:szCs w:val="18"/>
                <w:u w:val="none"/>
                <w:lang w:val="en-US" w:eastAsia="zh-CN"/>
              </w:rPr>
              <w:t xml:space="preserve">   2022年妇联基层组织建设经费</w:t>
            </w:r>
          </w:p>
        </w:tc>
        <w:tc>
          <w:tcPr>
            <w:tcW w:w="2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3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9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加快镇内妇女之家建设，尽量不少于10个，通过按期开展相关妇联培训、“春蕾计划”等工作，提升妇女干部谋划工作、服务发展的能力。项目经费控制在1万元。进一步加强基层妇女组织建设，充分地发挥基层妇女组织的作用，推动妇女工作和妇女事业的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镇区内妇女之家的数量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反映镇区内妇女之家的数量</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开展活动质量达标率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反映开展活动质量达标率</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培训计划按期完成情况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反映培训计划按期完成情况</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反映项目经费控制量情况</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对社会的影响情况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反映社会对妇女能力评价的影响情况</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妇女后备干部队伍建设</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反映妇女后备干部队伍建设情况</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公众满意度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调查中公众满意数占总调查人数的比例</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3.环保经费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2280"/>
        <w:gridCol w:w="31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13102522P00899510001B</w:t>
            </w:r>
            <w:r>
              <w:rPr>
                <w:rFonts w:hint="eastAsia" w:ascii="宋体" w:hAnsi="宋体" w:cs="宋体"/>
                <w:i w:val="0"/>
                <w:iCs w:val="0"/>
                <w:color w:val="000000"/>
                <w:sz w:val="18"/>
                <w:szCs w:val="18"/>
                <w:u w:val="none"/>
                <w:lang w:val="en-US" w:eastAsia="zh-CN"/>
              </w:rPr>
              <w:t xml:space="preserve">   2022年环保经费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2018年开始，每年都有安排环保工作，主要负责辖区内进行环保宣传、巡查，雇佣机械、人工，对散乱污等不符合政策的企业进行清理，加强大气、水体、机动车污染防治，主要开展企业经营单位固体废弃物、重金属等重点污染治理的防治工作；增强群众的环保意识，确保环保工作正常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7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按期及时检查企业生产，对工业固体废物处置率达到90%以上，最大限度地发现、纠正、督促企业消除各类违法排污，预防和减少环境污染，实现全年优良天气数量增加，遏制少数散乱污经营户，项目经费控制在10万元。促进乡镇环保形势持续稳定好转，使全镇企业经营安全、规范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2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2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工业固体废物处置率</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反映处置及综合利用的工业固体废物的比率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巡查企业合格率</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反映巡查企业中合格企业的比率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95</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工作目标按计划完成情况</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反映工作目标按计划的完成情况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项目预算经费控制量</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4.3</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全年优良天气数量增长率</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全年优良天气数量较去年的增长率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30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环保设施使用年限</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反映相关环保设施使用年限</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6</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基层党建团建工作经费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13102522P00899810001C</w:t>
            </w:r>
            <w:r>
              <w:rPr>
                <w:rFonts w:hint="eastAsia" w:ascii="宋体" w:hAnsi="宋体" w:cs="宋体"/>
                <w:i w:val="0"/>
                <w:iCs w:val="0"/>
                <w:color w:val="000000"/>
                <w:sz w:val="18"/>
                <w:szCs w:val="18"/>
                <w:u w:val="none"/>
                <w:lang w:val="en-US" w:eastAsia="zh-CN"/>
              </w:rPr>
              <w:t xml:space="preserve">   2022年基层党建团建工作经费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基层当建团建工作主要是以带团干部队伍建设为关键，已带基层组织建设为基础，通过定期开展教育与培训工作，注重青年人才的培养使用，重视对党员的综合素质以及道德素养提升，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不少于12次，及时按照绩效考核标准对党建团建工作进行考核，争取100%合格率，实现党建团建工作水平提高和富有活力的基层组织的广泛建立覆盖。项目经费控制在2万元。实现党建团建工作水平提高和富有活力的基层组织的广泛建立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开展党性教育次数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反映本年度开展党性教育的次数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党建团建工作考核合格率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反映党建团建工作考核合格率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党建团建活动的完成及时率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反映党建团建活动的完成及时率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党建团建工作社会影响</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反映群众对党建团建工作的评价</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党团后备干部建设</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反映党团后备干部队伍建设情况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公众满意度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调查中公众满意数占总调查人数的比例</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95</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13102522P008999100012</w:t>
            </w:r>
            <w:r>
              <w:rPr>
                <w:rFonts w:hint="eastAsia" w:ascii="宋体" w:hAnsi="宋体" w:cs="宋体"/>
                <w:i w:val="0"/>
                <w:iCs w:val="0"/>
                <w:color w:val="000000"/>
                <w:sz w:val="18"/>
                <w:szCs w:val="18"/>
                <w:u w:val="none"/>
                <w:lang w:val="en-US" w:eastAsia="zh-CN"/>
              </w:rPr>
              <w:t xml:space="preserve">       2022年</w:t>
            </w:r>
            <w:r>
              <w:rPr>
                <w:rFonts w:hint="eastAsia" w:ascii="宋体" w:hAnsi="宋体" w:eastAsia="宋体" w:cs="宋体"/>
                <w:i w:val="0"/>
                <w:iCs w:val="0"/>
                <w:color w:val="000000"/>
                <w:sz w:val="18"/>
                <w:szCs w:val="18"/>
                <w:u w:val="none"/>
              </w:rPr>
              <w:t>建档立卡脱贫户生产生活补助金</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该项目主要用于解决贫困户日常生活问题，权村镇建档立卡贫困户总共18户，按照每个贫困户2000元标准，用于贫困户帮扶慰问，改善贫困户日常生活条件。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通过对镇区内18户建档立卡贫困户按照2000元标准及时有效发放帮扶资金，有效改善贫困户日常生活，实现贫困户不愁吃、不愁穿，保障子女义务教育、基本医疗和住房目标，最终实现贫困稳定退出。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扶助户数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年度内享受帮扶政策户数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户</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生活质量达标率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反映生活质量达标率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扶助资金到位率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实际到位扶助资金的比率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贫困户慰问金发放标准</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反映贫困户慰问金发放标准</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元/人</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扶贫帮扶工作对镇区社会安定情况的影响</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扶贫帮扶工作对镇区社会安定情况的影响</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有利于镇区稳定</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扶贫帮扶是否长期满足贫困户的需求</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反映扶贫帮扶是否能够长期满足贫困户的需求</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满足</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被扶贫帮扶对象满意度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反映被扶贫帮扶对象满意度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农村环境整治经费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920"/>
        <w:gridCol w:w="350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13102522P008996100011</w:t>
            </w:r>
            <w:r>
              <w:rPr>
                <w:rFonts w:hint="eastAsia" w:ascii="宋体" w:hAnsi="宋体" w:cs="宋体"/>
                <w:i w:val="0"/>
                <w:iCs w:val="0"/>
                <w:color w:val="000000"/>
                <w:sz w:val="18"/>
                <w:szCs w:val="18"/>
                <w:u w:val="none"/>
                <w:lang w:val="en-US" w:eastAsia="zh-CN"/>
              </w:rPr>
              <w:t xml:space="preserve">   2022年农村环境整治经费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每年都开展环境治理工作，主要用于对镇区内22个村街及京沪连接线两侧进行环境治理，宣传环境治理政策，保持镇区内环境卫生、整洁,创造良好的人居环境。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3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增设垃圾处理点数量，保障每个村街垃圾处理点数量不少于1个，使镇区内垃圾及时有效处理，提高群众环境保护意识，使环境质量明显改善，争取环境质量100%达标，持镇区环境卫生、整洁，建立农村环境治理长效管理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9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排查垃圾处理点数量</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反映排查村街垃圾处理点的数量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环境质量达标率</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反映环境质量达标率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农村环境整治工作完成时间</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反映农村环境整治工作完成时间</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2022年底</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项目预算经费控制量</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反映项目预算成本控制量情况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农村环境提升情况</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反映农村环境提升情况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长期影响性</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反映农村环境整治工作是否长期满足群众需求</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满足</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7.人大代表联络站经费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950"/>
        <w:gridCol w:w="347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13102522P00900110001G</w:t>
            </w:r>
            <w:r>
              <w:rPr>
                <w:rFonts w:hint="eastAsia" w:ascii="宋体" w:hAnsi="宋体" w:cs="宋体"/>
                <w:i w:val="0"/>
                <w:iCs w:val="0"/>
                <w:color w:val="000000"/>
                <w:sz w:val="18"/>
                <w:szCs w:val="18"/>
                <w:u w:val="none"/>
                <w:lang w:val="en-US" w:eastAsia="zh-CN"/>
              </w:rPr>
              <w:t xml:space="preserve">    2022年人大代表联络站经费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sz w:val="18"/>
                <w:szCs w:val="20"/>
              </w:rPr>
              <w:t>大城县权村镇人民政府</w:t>
            </w:r>
            <w:r>
              <w:rPr>
                <w:rFonts w:hint="eastAsia"/>
                <w:sz w:val="18"/>
                <w:szCs w:val="20"/>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20"/>
              </w:rPr>
              <w:t>通过创建人大代表联络站，方便代表联系群众，拉近代表与群众的距离，提升辖区社会稳定水平</w:t>
            </w:r>
            <w:r>
              <w:rPr>
                <w:rFonts w:hint="eastAsia"/>
                <w:sz w:val="18"/>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4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为群众解决了大量最关心、最直接、最现实的问题的同时，进一步拉近了人大代表和群众之间的距离，有效促进了基层社会的和谐稳定</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9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9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联络站建立个数</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反映联络站建立个数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4</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个</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群众对联络站建立的评价</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反映群众对联络站建立的评价</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联络站建立完成的实限</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反映联络站建立完成的实限</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项目经费预算控制量</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反映项目经费预算控制量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8</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社会稳定水平</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反映社会稳定水平</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显著提升</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代表联系群众工作环境提升情况</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代表联系群众工作环境提升情况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显著提升</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联络站制度健全性</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联络站制度健全性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健全</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《河北省安全生产监管责任清单》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群众满意度</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实际情况</w:t>
            </w:r>
          </w:p>
        </w:tc>
      </w:tr>
    </w:tbl>
    <w:p>
      <w:pPr>
        <w:numPr>
          <w:ilvl w:val="0"/>
          <w:numId w:val="0"/>
        </w:numPr>
        <w:jc w:val="left"/>
        <w:outlineLvl w:val="1"/>
        <w:rPr>
          <w:rFonts w:ascii="Times New Roman" w:hAnsi="Times New Roman" w:eastAsia="仿宋_GB2312" w:cs="Times New Roma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hint="eastAsia" w:ascii="Times New Roman" w:hAnsi="Times New Roman" w:eastAsia="仿宋_GB2312" w:cs="Times New Roman"/>
          <w:sz w:val="28"/>
        </w:rPr>
        <w:t>荣庆污水处理厂日常管理及维护经费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13102522P008993100010</w:t>
            </w:r>
            <w:r>
              <w:rPr>
                <w:rFonts w:hint="eastAsia" w:ascii="宋体" w:hAnsi="宋体" w:cs="宋体"/>
                <w:i w:val="0"/>
                <w:iCs w:val="0"/>
                <w:color w:val="000000"/>
                <w:sz w:val="18"/>
                <w:szCs w:val="18"/>
                <w:u w:val="none"/>
                <w:lang w:val="en-US" w:eastAsia="zh-CN"/>
              </w:rPr>
              <w:t xml:space="preserve">    2022年荣庆污水处理厂日常管理及维护经费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lang w:eastAsia="zh-CN"/>
              </w:rPr>
            </w:pPr>
            <w:r>
              <w:rPr>
                <w:rFonts w:hint="eastAsia"/>
                <w:sz w:val="18"/>
                <w:szCs w:val="20"/>
              </w:rPr>
              <w:t>自2016年以来开展本项目，主要用于荣庆污水处理厂日常管理及维护，在项目实施过程中，本单位主要负责监督、检查等工作。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通过权村镇环保所聘请第三方对荣庆污水处理厂的设备每季度维护不少于4次，使污水处理达标率达到100%，使污水处理及时率100%，项目成本不超过2万元，提升群众生态环境健康。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季度维护次数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反映季度维护次数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4</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污水处理达标率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反映污水处理达标率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污水处理及时率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反映污水处理及时率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项目预算控制数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反映项目预算控制数量不超过预算数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社会效益指标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受益人口数量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受益人口数量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4.1</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万人</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生态效益指标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水生态环境提升情况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反映水生态环境提升情况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改善</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长效管理机制</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反映长效管理机制是否健全</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健全</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关于《荣庆污水处理厂日常维修维护》的方案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群众满意度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三砖厂大坑、烟村干渠治理资金</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13102522P00899210001A</w:t>
            </w:r>
            <w:r>
              <w:rPr>
                <w:rFonts w:hint="eastAsia" w:ascii="宋体" w:hAnsi="宋体" w:cs="宋体"/>
                <w:i w:val="0"/>
                <w:iCs w:val="0"/>
                <w:color w:val="000000"/>
                <w:sz w:val="18"/>
                <w:szCs w:val="18"/>
                <w:u w:val="none"/>
                <w:lang w:val="en-US" w:eastAsia="zh-CN"/>
              </w:rPr>
              <w:t xml:space="preserve">    2022年三砖厂大坑、烟村干渠治理资金</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20"/>
              </w:rPr>
              <w:t>本工程主要是对坑塘和干渠的污水进行治理，权村镇三砖厂坑塘占地400米×270米，深度约5.5米，水量约60万</w:t>
            </w:r>
            <w:r>
              <w:rPr>
                <w:rFonts w:hint="eastAsia"/>
                <w:sz w:val="18"/>
                <w:szCs w:val="20"/>
                <w:lang w:val="en-US" w:eastAsia="zh-CN"/>
              </w:rPr>
              <w:t>m³</w:t>
            </w:r>
            <w:r>
              <w:rPr>
                <w:rFonts w:hint="eastAsia"/>
                <w:sz w:val="18"/>
                <w:szCs w:val="20"/>
              </w:rPr>
              <w:t>，烟村干渠占地2000米×20米，深度约2米，水量约8万</w:t>
            </w:r>
            <w:r>
              <w:rPr>
                <w:rFonts w:hint="eastAsia"/>
                <w:sz w:val="18"/>
                <w:szCs w:val="20"/>
                <w:lang w:val="en-US" w:eastAsia="zh-CN"/>
              </w:rPr>
              <w:t>m³</w:t>
            </w:r>
            <w:r>
              <w:rPr>
                <w:rFonts w:hint="eastAsia"/>
                <w:sz w:val="18"/>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鉴于2018年项目已验收竣工，2022年由项目负责人发起资金拨付申请，单位按照财政拨付资金情况进行项目结款，保障项目资金及时拨付到位，按期完成工作计划。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项目资金拨付笔数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反映项目资金拨付笔数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笔</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资金拨付到位率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反映项目资金拨付到位率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eastAsia"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项目完成及时性</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反映项目工作完成及时性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default" w:ascii="宋体" w:hAnsi="宋体" w:eastAsia="宋体" w:cs="宋体"/>
                <w:i w:val="0"/>
                <w:iCs w:val="0"/>
                <w:color w:val="000000"/>
                <w:sz w:val="15"/>
                <w:szCs w:val="15"/>
                <w:u w:val="none"/>
                <w:lang w:val="en-US"/>
              </w:rPr>
            </w:pPr>
            <w:r>
              <w:rPr>
                <w:rFonts w:hint="eastAsia"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项目资金控制量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反映项目资金控制量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697.32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生态效益指标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水生态环境改善情况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反映水生态环境改善情况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both"/>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长期影响性</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反映生态环境改善的长期影响性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both"/>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公众满意度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调查中公众满意数占总调查人数的比率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退役军人服务站工作经费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845"/>
        <w:gridCol w:w="3575"/>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13102522P00900010001T</w:t>
            </w:r>
            <w:r>
              <w:rPr>
                <w:rFonts w:hint="eastAsia" w:ascii="宋体" w:hAnsi="宋体" w:cs="宋体"/>
                <w:i w:val="0"/>
                <w:iCs w:val="0"/>
                <w:color w:val="000000"/>
                <w:sz w:val="18"/>
                <w:szCs w:val="18"/>
                <w:u w:val="none"/>
                <w:lang w:val="en-US" w:eastAsia="zh-CN"/>
              </w:rPr>
              <w:t xml:space="preserve">    2022年退役军人服务站工作经费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专门成立退役军人服务站，全面做好就业创业扶持、走访慰问、帮扶解困、信访接待、涉核人员体检、权益保障等工作，切实把广大退役军人工作和生活保障好，激励他们为改革发展和社会稳定作出积极贡献。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退役军人服务站帮扶退役军人次数不少于50次，及时准确的将慰问金发放到位，争取年度重大退役军人投诉事件为0，项目经费控制在3万元，做好就业创业扶持、走访慰问、帮扶解困、信访接待、权益保障等工作，切实维护好退役军人合法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帮扶退役军人次数</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反映帮扶退役军人次数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50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年度重大退役军人投诉事件</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反映年度重大退役军人投诉事件</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0.00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件</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慰问金发放完成及时率</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反映慰问金发放完成及时率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项目经费的控制量</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反映项目经费的控制量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3</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帮扶退役军人工作对镇区信访工作的影响</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反映帮扶退役军人工作对镇区信访工作的影响</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利于信访稳定</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帮扶工作的长期影响性</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反映帮扶工作能否长期改善退役军人的工作状况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可以</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冀办发[2019]10号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服务对象满意度</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接受服务的重点人群对提供服务的满意程度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11.</w:t>
      </w:r>
      <w:r>
        <w:rPr>
          <w:rFonts w:hint="eastAsia" w:ascii="Times New Roman" w:hAnsi="Times New Roman" w:eastAsia="仿宋_GB2312" w:cs="Times New Roman"/>
          <w:sz w:val="28"/>
        </w:rPr>
        <w:t>乡镇武装部武装工作经费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13102522P009002100016</w:t>
            </w:r>
            <w:r>
              <w:rPr>
                <w:rFonts w:hint="eastAsia" w:ascii="宋体" w:hAnsi="宋体" w:cs="宋体"/>
                <w:i w:val="0"/>
                <w:iCs w:val="0"/>
                <w:color w:val="000000"/>
                <w:sz w:val="18"/>
                <w:szCs w:val="18"/>
                <w:u w:val="none"/>
                <w:lang w:val="en-US" w:eastAsia="zh-CN"/>
              </w:rPr>
              <w:t xml:space="preserve">    2022年乡镇武装部武装工作经费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全面做好武装部征兵工作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全面做好武装部征兵工作，严格把关兵役体检合格率，在辖区内征兵工作良好开展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年度内征兵次数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反映年度内征兵次数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兵役体检合格率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反映兵役体检合格率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征兵时间及时率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反映征兵时间及时率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项目经费控制量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反映项目经费控制量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3</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社会效益指标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征兵对辖区内影响性</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反映征兵对辖区内影响性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征兵工作长期影响性</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反映征兵工作长期影响性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参军人员满意度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参军人员满意度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12.权村镇文化站免费开放专项资金</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874"/>
        <w:gridCol w:w="3546"/>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sz w:val="18"/>
                <w:szCs w:val="20"/>
                <w:lang w:val="en-US" w:eastAsia="zh-CN"/>
              </w:rPr>
              <w:t xml:space="preserve"> 权村镇文化站免费开放专项资金</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lang w:val="en-US" w:eastAsia="zh-CN"/>
              </w:rPr>
              <w:t>主要用于文化站组织公益性群众文化活动，举办公益性讲座和展览宣传等方面，促进群众文化事业发展，保障群众基本文化权益，面向公众提供各类科普文化知识，丰富群众生活，提高群众基本文化素质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3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20"/>
                <w:lang w:val="en-US" w:eastAsia="zh-CN"/>
              </w:rPr>
              <w:t>促进群众文化事业发展，保障群众基本文化权益，面向公众提供各类科普文化知识，丰富群众生活，提高群众基本文化素质。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8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8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数量指标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年度内组织开展文化活动次数</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年度内组织开展文化活动次数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6</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质量指标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组织开展文化活动质量达标率</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组织开展文化活动质量达标率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时效指标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项目资金支付及时率</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项目资金支付及时率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项目预算经费控制量</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项目预算经费控制量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1.01</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社会效益指标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文化站开放活动对社会的影响</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文化站开放活动对社会的影响</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可持续影响指标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项目建设能否长期满足村民对精神文化的需求</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项目建设能否长期满足村民对精神文化的需求</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服务对象满意度指标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公众满意度</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eastAsia"/>
                <w:sz w:val="18"/>
                <w:szCs w:val="20"/>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1"/>
    </w:p>
    <w:p>
      <w:pPr>
        <w:pStyle w:val="2"/>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1035"/>
        <w:gridCol w:w="1397"/>
        <w:gridCol w:w="1397"/>
        <w:gridCol w:w="647"/>
        <w:gridCol w:w="828"/>
        <w:gridCol w:w="831"/>
        <w:gridCol w:w="1034"/>
        <w:gridCol w:w="1034"/>
        <w:gridCol w:w="1034"/>
        <w:gridCol w:w="1034"/>
        <w:gridCol w:w="1034"/>
        <w:gridCol w:w="1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7946"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权村镇人民政府</w:t>
            </w:r>
          </w:p>
        </w:tc>
        <w:tc>
          <w:tcPr>
            <w:tcW w:w="6213"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2846"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39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39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4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28"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8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213"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8" w:hRule="atLeast"/>
          <w:tblHeader/>
          <w:jc w:val="center"/>
        </w:trPr>
        <w:tc>
          <w:tcPr>
            <w:tcW w:w="181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35"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397" w:type="dxa"/>
            <w:vMerge w:val="continue"/>
            <w:vAlign w:val="center"/>
          </w:tcPr>
          <w:p/>
        </w:tc>
        <w:tc>
          <w:tcPr>
            <w:tcW w:w="1397" w:type="dxa"/>
            <w:vMerge w:val="continue"/>
            <w:vAlign w:val="center"/>
          </w:tcPr>
          <w:p/>
        </w:tc>
        <w:tc>
          <w:tcPr>
            <w:tcW w:w="647" w:type="dxa"/>
            <w:vMerge w:val="continue"/>
            <w:vAlign w:val="center"/>
          </w:tcPr>
          <w:p/>
        </w:tc>
        <w:tc>
          <w:tcPr>
            <w:tcW w:w="828" w:type="dxa"/>
            <w:vMerge w:val="continue"/>
            <w:vAlign w:val="center"/>
          </w:tcPr>
          <w:p/>
        </w:tc>
        <w:tc>
          <w:tcPr>
            <w:tcW w:w="831" w:type="dxa"/>
            <w:vMerge w:val="continue"/>
            <w:vAlign w:val="center"/>
          </w:tcP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043"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center"/>
              <w:rPr>
                <w:rFonts w:ascii="方正书宋_GBK" w:eastAsia="方正书宋_GBK" w:cs="Times New Roman"/>
                <w:b/>
              </w:rPr>
            </w:pPr>
          </w:p>
        </w:tc>
        <w:tc>
          <w:tcPr>
            <w:tcW w:w="1035" w:type="dxa"/>
            <w:vAlign w:val="center"/>
          </w:tcPr>
          <w:p>
            <w:pPr>
              <w:spacing w:line="300" w:lineRule="exact"/>
              <w:jc w:val="righ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647" w:type="dxa"/>
            <w:vAlign w:val="center"/>
          </w:tcPr>
          <w:p>
            <w:pPr>
              <w:spacing w:line="300" w:lineRule="exact"/>
              <w:jc w:val="center"/>
              <w:rPr>
                <w:rFonts w:ascii="方正书宋_GBK" w:eastAsia="方正书宋_GBK" w:cs="Times New Roman"/>
                <w:b/>
              </w:rPr>
            </w:pPr>
          </w:p>
        </w:tc>
        <w:tc>
          <w:tcPr>
            <w:tcW w:w="828" w:type="dxa"/>
            <w:vAlign w:val="center"/>
          </w:tcPr>
          <w:p>
            <w:pPr>
              <w:spacing w:line="300" w:lineRule="exact"/>
              <w:jc w:val="right"/>
              <w:rPr>
                <w:rFonts w:ascii="方正书宋_GBK" w:eastAsia="方正书宋_GBK" w:cs="Times New Roman"/>
                <w:b/>
              </w:rPr>
            </w:pPr>
          </w:p>
        </w:tc>
        <w:tc>
          <w:tcPr>
            <w:tcW w:w="831"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43"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center"/>
              <w:rPr>
                <w:rFonts w:ascii="方正书宋_GBK" w:eastAsia="方正书宋_GBK" w:cs="Times New Roman"/>
                <w:b/>
              </w:rPr>
            </w:pPr>
          </w:p>
        </w:tc>
        <w:tc>
          <w:tcPr>
            <w:tcW w:w="1035" w:type="dxa"/>
            <w:vAlign w:val="center"/>
          </w:tcPr>
          <w:p>
            <w:pPr>
              <w:spacing w:line="300" w:lineRule="exact"/>
              <w:jc w:val="righ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647" w:type="dxa"/>
            <w:vAlign w:val="center"/>
          </w:tcPr>
          <w:p>
            <w:pPr>
              <w:spacing w:line="300" w:lineRule="exact"/>
              <w:jc w:val="center"/>
              <w:rPr>
                <w:rFonts w:ascii="方正书宋_GBK" w:eastAsia="方正书宋_GBK" w:cs="Times New Roman"/>
                <w:b/>
              </w:rPr>
            </w:pPr>
          </w:p>
        </w:tc>
        <w:tc>
          <w:tcPr>
            <w:tcW w:w="828" w:type="dxa"/>
            <w:vAlign w:val="center"/>
          </w:tcPr>
          <w:p>
            <w:pPr>
              <w:spacing w:line="300" w:lineRule="exact"/>
              <w:jc w:val="right"/>
              <w:rPr>
                <w:rFonts w:ascii="方正书宋_GBK" w:eastAsia="方正书宋_GBK" w:cs="Times New Roman"/>
                <w:b/>
              </w:rPr>
            </w:pPr>
          </w:p>
        </w:tc>
        <w:tc>
          <w:tcPr>
            <w:tcW w:w="831"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43"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bl>
    <w:p>
      <w:pPr>
        <w:pStyle w:val="2"/>
        <w:rPr>
          <w:rFonts w:hint="eastAsia" w:eastAsia="微软雅黑"/>
          <w:sz w:val="21"/>
          <w:szCs w:val="21"/>
          <w:lang w:eastAsia="zh-CN"/>
        </w:rPr>
      </w:pPr>
      <w:r>
        <w:rPr>
          <w:rFonts w:hint="eastAsia"/>
          <w:sz w:val="21"/>
          <w:szCs w:val="21"/>
          <w:lang w:eastAsia="zh-CN"/>
        </w:rPr>
        <w:t>注：无部门政府采购预算，</w:t>
      </w:r>
      <w:bookmarkStart w:id="3" w:name="_GoBack"/>
      <w:bookmarkEnd w:id="3"/>
      <w:r>
        <w:rPr>
          <w:rFonts w:hint="eastAsia"/>
          <w:sz w:val="21"/>
          <w:szCs w:val="21"/>
          <w:lang w:eastAsia="zh-CN"/>
        </w:rPr>
        <w:t>空表列示。</w:t>
      </w:r>
    </w:p>
    <w:p>
      <w:pPr>
        <w:spacing w:line="584" w:lineRule="exact"/>
        <w:ind w:firstLine="640" w:firstLineChars="200"/>
        <w:outlineLvl w:val="0"/>
        <w:rPr>
          <w:rFonts w:ascii="Times New Roman" w:hAnsi="Times New Roman" w:eastAsia="仿宋_GB2312" w:cs="Times New Roman"/>
          <w:sz w:val="32"/>
          <w:szCs w:val="2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大城县权村镇人民政府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436.99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黑体" w:eastAsia="仿宋_GB2312" w:cs="Times New Roman"/>
          <w:b w:val="0"/>
          <w:bCs w:val="0"/>
          <w:color w:val="auto"/>
          <w:sz w:val="32"/>
          <w:szCs w:val="32"/>
          <w:lang w:eastAsia="zh-CN"/>
        </w:rPr>
        <w:t>本年度</w:t>
      </w:r>
      <w:r>
        <w:rPr>
          <w:rFonts w:ascii="仿宋_GB2312" w:hAnsi="黑体" w:eastAsia="仿宋_GB2312" w:cs="Times New Roman"/>
          <w:b w:val="0"/>
          <w:bCs w:val="0"/>
          <w:color w:val="auto"/>
          <w:sz w:val="32"/>
          <w:szCs w:val="32"/>
        </w:rPr>
        <w:t>我部门无新增固定资产计划</w:t>
      </w:r>
      <w:r>
        <w:rPr>
          <w:rFonts w:ascii="Times New Roman" w:hAnsi="Times New Roman" w:eastAsia="仿宋_GB2312" w:cs="Times New Roman"/>
          <w:sz w:val="32"/>
          <w:szCs w:val="32"/>
        </w:rPr>
        <w:t>。</w:t>
      </w: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大城县权村镇人民政府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3070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3050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88.32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WMzODQ4ZmM5ZWIwMjA0OWY3ZDUxOThjNzY4ZjhlNmMifQ=="/>
  </w:docVars>
  <w:rsids>
    <w:rsidRoot w:val="00D347CC"/>
    <w:rsid w:val="004A54AA"/>
    <w:rsid w:val="00B80935"/>
    <w:rsid w:val="00D347CC"/>
    <w:rsid w:val="02093E73"/>
    <w:rsid w:val="02732F88"/>
    <w:rsid w:val="02B70580"/>
    <w:rsid w:val="0DC416D0"/>
    <w:rsid w:val="0EF5468B"/>
    <w:rsid w:val="109E653B"/>
    <w:rsid w:val="23EF3090"/>
    <w:rsid w:val="24843CD9"/>
    <w:rsid w:val="25AC2667"/>
    <w:rsid w:val="26881206"/>
    <w:rsid w:val="27FB020E"/>
    <w:rsid w:val="2A542B10"/>
    <w:rsid w:val="2C6C36C8"/>
    <w:rsid w:val="34B025C1"/>
    <w:rsid w:val="36113FC2"/>
    <w:rsid w:val="3C32085B"/>
    <w:rsid w:val="3CF07978"/>
    <w:rsid w:val="3F8A033F"/>
    <w:rsid w:val="434A406F"/>
    <w:rsid w:val="46E71798"/>
    <w:rsid w:val="48205DCD"/>
    <w:rsid w:val="4DAC7E5D"/>
    <w:rsid w:val="4F750978"/>
    <w:rsid w:val="506640F7"/>
    <w:rsid w:val="55E73D2F"/>
    <w:rsid w:val="56823062"/>
    <w:rsid w:val="59194A38"/>
    <w:rsid w:val="5A343A92"/>
    <w:rsid w:val="5F967413"/>
    <w:rsid w:val="63D14E9F"/>
    <w:rsid w:val="687C0C91"/>
    <w:rsid w:val="68AD08CA"/>
    <w:rsid w:val="69B60547"/>
    <w:rsid w:val="6A0B63B3"/>
    <w:rsid w:val="6BE73775"/>
    <w:rsid w:val="6C7E42C1"/>
    <w:rsid w:val="6D0D4676"/>
    <w:rsid w:val="6D686D7A"/>
    <w:rsid w:val="70BB2FFE"/>
    <w:rsid w:val="75901DEC"/>
    <w:rsid w:val="79BF63DC"/>
    <w:rsid w:val="7A3A3474"/>
    <w:rsid w:val="7A411B9B"/>
    <w:rsid w:val="7CF20C86"/>
    <w:rsid w:val="7D6A55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0"/>
    <w:basedOn w:val="1"/>
    <w:qFormat/>
    <w:uiPriority w:val="0"/>
    <w:pPr>
      <w:ind w:firstLine="420"/>
    </w:pPr>
    <w:rPr>
      <w:sz w:val="20"/>
    </w:rPr>
  </w:style>
  <w:style w:type="paragraph" w:customStyle="1" w:styleId="14">
    <w:name w:val="Body Text"/>
    <w:basedOn w:val="1"/>
    <w:qFormat/>
    <w:uiPriority w:val="0"/>
    <w:pPr>
      <w:spacing w:after="120"/>
    </w:pPr>
  </w:style>
  <w:style w:type="paragraph" w:customStyle="1" w:styleId="15">
    <w:name w:val="Heading 2"/>
    <w:basedOn w:val="1"/>
    <w:qFormat/>
    <w:uiPriority w:val="0"/>
    <w:pPr>
      <w:ind w:left="760"/>
    </w:pPr>
    <w:rPr>
      <w:rFonts w:ascii="微软雅黑" w:hAnsi="微软雅黑" w:eastAsia="微软雅黑"/>
      <w:b/>
      <w:sz w:val="32"/>
    </w:rPr>
  </w:style>
  <w:style w:type="character" w:customStyle="1" w:styleId="16">
    <w:name w:val="font41"/>
    <w:basedOn w:val="10"/>
    <w:qFormat/>
    <w:uiPriority w:val="0"/>
    <w:rPr>
      <w:rFonts w:hint="default" w:ascii="Calibri" w:hAnsi="Calibri" w:cs="Calibri"/>
      <w:color w:val="000000"/>
      <w:sz w:val="18"/>
      <w:szCs w:val="18"/>
      <w:u w:val="none"/>
    </w:rPr>
  </w:style>
  <w:style w:type="character" w:customStyle="1" w:styleId="17">
    <w:name w:val="font3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13728</Words>
  <Characters>14471</Characters>
  <Lines>23</Lines>
  <Paragraphs>6</Paragraphs>
  <TotalTime>1</TotalTime>
  <ScaleCrop>false</ScaleCrop>
  <LinksUpToDate>false</LinksUpToDate>
  <CharactersWithSpaces>14540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石头</cp:lastModifiedBy>
  <cp:lastPrinted>2022-03-30T00:52:00Z</cp:lastPrinted>
  <dcterms:modified xsi:type="dcterms:W3CDTF">2022-09-02T08:19:07Z</dcterms:modified>
  <dc:title>大城县权村镇人民政府2022年部门预算信息公开情况说明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E8F324BF07EC42B0B2159CBB4BE17433</vt:lpwstr>
  </property>
</Properties>
</file>